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20"/>
      </w:pPr>
      <w:r>
        <w:t xml:space="preserve"/>
      </w:r>
    </w:p>
    <w:p>
      <w:pPr>
        <w:spacing w:after="200" w:before="0"/>
        <w:jc w:val="center"/>
      </w:pPr>
      <w:r>
        <w:rPr>
          <w:rFonts w:ascii="Arial" w:cs="Arial" w:eastAsia="Arial" w:hAnsi="Arial"/>
          <w:b/>
          <w:bCs/>
          <w:color w:val="1F4E79"/>
          <w:sz w:val="52"/>
          <w:szCs w:val="52"/>
        </w:rPr>
        <w:t xml:space="preserve">PRODUCT REQUIREMENTS DOCUMENT</w:t>
      </w:r>
    </w:p>
    <w:p>
      <w:pPr>
        <w:pBdr>
          <w:bottom w:val="single" w:color="2E75B6" w:sz="12" w:space="4"/>
        </w:pBdr>
        <w:spacing w:after="160" w:before="0"/>
        <w:jc w:val="center"/>
      </w:pPr>
      <w:r>
        <w:rPr>
          <w:rFonts w:ascii="Arial" w:cs="Arial" w:eastAsia="Arial" w:hAnsi="Arial"/>
          <w:b w:val="false"/>
          <w:bCs w:val="false"/>
          <w:color w:val="2E75B6"/>
          <w:sz w:val="36"/>
          <w:szCs w:val="36"/>
        </w:rPr>
        <w:t xml:space="preserve">Enterprise Employee Travel &amp; Expense Management System</w:t>
      </w:r>
    </w:p>
    <w:p>
      <w:pPr>
        <w:spacing w:after="0" w:before="160"/>
      </w:pPr>
      <w:r>
        <w:t xml:space="preserve"/>
      </w:r>
    </w:p>
    <w:p>
      <w:pPr>
        <w:spacing w:after="80" w:before="0"/>
        <w:jc w:val="center"/>
      </w:pPr>
      <w:r>
        <w:rPr>
          <w:rFonts w:ascii="Arial" w:cs="Arial" w:eastAsia="Arial" w:hAnsi="Arial"/>
          <w:color w:val="595959"/>
          <w:sz w:val="24"/>
          <w:szCs w:val="24"/>
        </w:rPr>
        <w:t xml:space="preserve">PRD Version 1.0</w:t>
      </w:r>
    </w:p>
    <w:p>
      <w:pPr>
        <w:spacing w:after="80" w:before="0"/>
        <w:jc w:val="center"/>
      </w:pPr>
      <w:r>
        <w:rPr>
          <w:rFonts w:ascii="Arial" w:cs="Arial" w:eastAsia="Arial" w:hAnsi="Arial"/>
          <w:i/>
          <w:iCs/>
          <w:color w:val="595959"/>
          <w:sz w:val="22"/>
          <w:szCs w:val="22"/>
        </w:rPr>
        <w:t xml:space="preserve">Prepared by: Senior Product Manager &amp; System Architect</w:t>
      </w:r>
    </w:p>
    <w:p>
      <w:pPr>
        <w:spacing w:after="80" w:before="0"/>
        <w:jc w:val="center"/>
      </w:pPr>
      <w:r>
        <w:rPr>
          <w:rFonts w:ascii="Arial" w:cs="Arial" w:eastAsia="Arial" w:hAnsi="Arial"/>
          <w:color w:val="595959"/>
          <w:sz w:val="22"/>
          <w:szCs w:val="22"/>
        </w:rPr>
        <w:t xml:space="preserve">Organisation: Large Enterprise (10,000+ Employees, Multi-Location)</w:t>
      </w:r>
    </w:p>
    <w:p>
      <w:pPr>
        <w:spacing w:after="80" w:before="0"/>
        <w:jc w:val="center"/>
      </w:pPr>
      <w:r>
        <w:rPr>
          <w:rFonts w:ascii="Arial" w:cs="Arial" w:eastAsia="Arial" w:hAnsi="Arial"/>
          <w:b/>
          <w:bCs/>
          <w:color w:val="C00000"/>
          <w:sz w:val="22"/>
          <w:szCs w:val="22"/>
        </w:rPr>
        <w:t xml:space="preserve">Status: Draft for Review</w:t>
      </w:r>
    </w:p>
    <w:p>
      <w:pPr>
        <w:spacing w:after="0" w:before="16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Borders>
              <w:top w:val="single" w:color="D9D9D9" w:sz="4"/>
              <w:left w:val="single" w:color="D9D9D9" w:sz="4"/>
              <w:bottom w:val="single" w:color="D9D9D9" w:sz="4"/>
              <w:right w:val="single" w:color="D9D9D9" w:sz="4"/>
            </w:tcBorders>
            <w:shd w:fill="D6E4F0" w:val="clear"/>
            <w:tcMar>
              <w:top w:type="dxa" w:w="80"/>
              <w:left w:type="dxa" w:w="120"/>
              <w:bottom w:type="dxa" w:w="80"/>
              <w:right w:type="dxa" w:w="120"/>
            </w:tcMar>
          </w:tcPr>
          <w:p>
            <w:r>
              <w:rPr>
                <w:rFonts w:ascii="Arial" w:cs="Arial" w:eastAsia="Arial" w:hAnsi="Arial"/>
                <w:b/>
                <w:bCs/>
                <w:sz w:val="20"/>
                <w:szCs w:val="20"/>
              </w:rPr>
              <w:t xml:space="preserve">Document Type</w:t>
            </w:r>
          </w:p>
        </w:tc>
        <w:tc>
          <w:tcPr>
            <w:tcBorders>
              <w:top w:val="single" w:color="D9D9D9" w:sz="4"/>
              <w:left w:val="single" w:color="D9D9D9" w:sz="4"/>
              <w:bottom w:val="single" w:color="D9D9D9" w:sz="4"/>
              <w:right w:val="single" w:color="D9D9D9" w:sz="4"/>
            </w:tcBorders>
            <w:shd w:fill="D6E4F0" w:val="clear"/>
            <w:tcMar>
              <w:top w:type="dxa" w:w="80"/>
              <w:left w:type="dxa" w:w="120"/>
              <w:bottom w:type="dxa" w:w="80"/>
              <w:right w:type="dxa" w:w="120"/>
            </w:tcMar>
          </w:tcPr>
          <w:p>
            <w:r>
              <w:rPr>
                <w:rFonts w:ascii="Arial" w:cs="Arial" w:eastAsia="Arial" w:hAnsi="Arial"/>
                <w:sz w:val="20"/>
                <w:szCs w:val="20"/>
              </w:rPr>
              <w:t xml:space="preserve">Product Requirements Document</w:t>
            </w:r>
          </w:p>
        </w:tc>
      </w:tr>
      <w:tr>
        <w:tc>
          <w:tcPr>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b/>
                <w:bCs/>
                <w:sz w:val="20"/>
                <w:szCs w:val="20"/>
              </w:rPr>
              <w:t xml:space="preserve">Project Code</w:t>
            </w:r>
          </w:p>
        </w:tc>
        <w:tc>
          <w:tcPr>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sz w:val="20"/>
                <w:szCs w:val="20"/>
              </w:rPr>
              <w:t xml:space="preserve">ETEMS-2025</w:t>
            </w:r>
          </w:p>
        </w:tc>
      </w:tr>
      <w:tr>
        <w:tc>
          <w:tcPr>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b/>
                <w:bCs/>
                <w:sz w:val="20"/>
                <w:szCs w:val="20"/>
              </w:rPr>
              <w:t xml:space="preserve">Target Release</w:t>
            </w:r>
          </w:p>
        </w:tc>
        <w:tc>
          <w:tcPr>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sz w:val="20"/>
                <w:szCs w:val="20"/>
              </w:rPr>
              <w:t xml:space="preserve">Q3 2025 (Phase 1 Go-Live)</w:t>
            </w:r>
          </w:p>
        </w:tc>
      </w:tr>
      <w:tr>
        <w:tc>
          <w:tcPr>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b/>
                <w:bCs/>
                <w:sz w:val="20"/>
                <w:szCs w:val="20"/>
              </w:rPr>
              <w:t xml:space="preserve">Confidentiality</w:t>
            </w:r>
          </w:p>
        </w:tc>
        <w:tc>
          <w:tcPr>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sz w:val="20"/>
                <w:szCs w:val="20"/>
              </w:rPr>
              <w:t xml:space="preserve">Internal — Restricted</w:t>
            </w:r>
          </w:p>
        </w:tc>
      </w:tr>
    </w:tbl>
    <w:p>
      <w:r>
        <w:br w:type="page"/>
      </w:r>
    </w:p>
    <w:p>
      <w:pPr>
        <w:pStyle w:val="Heading1"/>
        <w:pBdr>
          <w:bottom w:val="single" w:color="2E75B6" w:sz="6" w:space="4"/>
        </w:pBdr>
        <w:spacing w:after="120" w:before="360"/>
      </w:pPr>
      <w:r>
        <w:rPr>
          <w:rFonts w:ascii="Arial" w:cs="Arial" w:eastAsia="Arial" w:hAnsi="Arial"/>
          <w:b/>
          <w:bCs/>
          <w:color w:val="1F4E79"/>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E75B6" w:sz="6" w:space="4"/>
        </w:pBdr>
        <w:spacing w:after="120" w:before="360"/>
      </w:pPr>
      <w:r>
        <w:rPr>
          <w:rFonts w:ascii="Arial" w:cs="Arial" w:eastAsia="Arial" w:hAnsi="Arial"/>
          <w:b/>
          <w:bCs/>
          <w:color w:val="1F4E79"/>
          <w:sz w:val="32"/>
          <w:szCs w:val="32"/>
        </w:rPr>
        <w:t xml:space="preserve">1. Document Control</w:t>
      </w:r>
    </w:p>
    <w:p>
      <w:pPr>
        <w:pStyle w:val="Heading2"/>
        <w:spacing w:after="100" w:before="280"/>
      </w:pPr>
      <w:r>
        <w:rPr>
          <w:rFonts w:ascii="Arial" w:cs="Arial" w:eastAsia="Arial" w:hAnsi="Arial"/>
          <w:b/>
          <w:bCs/>
          <w:color w:val="2E75B6"/>
          <w:sz w:val="26"/>
          <w:szCs w:val="26"/>
        </w:rPr>
        <w:t xml:space="preserve">1.1 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2500"/>
        <w:gridCol w:w="4160"/>
      </w:tblGrid>
      <w:tr>
        <w:trPr>
          <w:tblHeader/>
        </w:trPr>
        <w:tc>
          <w:tcPr>
            <w:tcW w:type="dxa" w:w="1200"/>
            <w:tcBorders>
              <w:top w:val="single" w:color="D9D9D9" w:sz="4"/>
              <w:left w:val="single" w:color="D9D9D9" w:sz="4"/>
              <w:bottom w:val="single" w:color="D9D9D9" w:sz="4"/>
              <w:right w:val="single" w:color="D9D9D9" w:sz="4"/>
            </w:tcBorders>
            <w:shd w:fill="1F4E79"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Version</w:t>
            </w:r>
          </w:p>
        </w:tc>
        <w:tc>
          <w:tcPr>
            <w:tcW w:type="dxa" w:w="1500"/>
            <w:tcBorders>
              <w:top w:val="single" w:color="D9D9D9" w:sz="4"/>
              <w:left w:val="single" w:color="D9D9D9" w:sz="4"/>
              <w:bottom w:val="single" w:color="D9D9D9" w:sz="4"/>
              <w:right w:val="single" w:color="D9D9D9" w:sz="4"/>
            </w:tcBorders>
            <w:shd w:fill="1F4E79"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Date</w:t>
            </w:r>
          </w:p>
        </w:tc>
        <w:tc>
          <w:tcPr>
            <w:tcW w:type="dxa" w:w="2500"/>
            <w:tcBorders>
              <w:top w:val="single" w:color="D9D9D9" w:sz="4"/>
              <w:left w:val="single" w:color="D9D9D9" w:sz="4"/>
              <w:bottom w:val="single" w:color="D9D9D9" w:sz="4"/>
              <w:right w:val="single" w:color="D9D9D9" w:sz="4"/>
            </w:tcBorders>
            <w:shd w:fill="1F4E79"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Author</w:t>
            </w:r>
          </w:p>
        </w:tc>
        <w:tc>
          <w:tcPr>
            <w:tcW w:type="dxa" w:w="4160"/>
            <w:tcBorders>
              <w:top w:val="single" w:color="D9D9D9" w:sz="4"/>
              <w:left w:val="single" w:color="D9D9D9" w:sz="4"/>
              <w:bottom w:val="single" w:color="D9D9D9" w:sz="4"/>
              <w:right w:val="single" w:color="D9D9D9" w:sz="4"/>
            </w:tcBorders>
            <w:shd w:fill="1F4E79"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Changes</w:t>
            </w:r>
          </w:p>
        </w:tc>
      </w:tr>
      <w:tr>
        <w:tc>
          <w:tcPr>
            <w:tcW w:type="dxa" w:w="12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15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sz w:val="20"/>
                <w:szCs w:val="20"/>
              </w:rPr>
              <w:t xml:space="preserve">June 2025</w:t>
            </w:r>
          </w:p>
        </w:tc>
        <w:tc>
          <w:tcPr>
            <w:tcW w:type="dxa" w:w="25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sz w:val="20"/>
                <w:szCs w:val="20"/>
              </w:rPr>
              <w:t xml:space="preserve">Senior PM &amp; Architect</w:t>
            </w:r>
          </w:p>
        </w:tc>
        <w:tc>
          <w:tcPr>
            <w:tcW w:type="dxa" w:w="41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sz w:val="20"/>
                <w:szCs w:val="20"/>
              </w:rPr>
              <w:t xml:space="preserve">Initial draft for stakeholder review</w:t>
            </w:r>
          </w:p>
        </w:tc>
      </w:tr>
      <w:tr>
        <w:tc>
          <w:tcPr>
            <w:tcW w:type="dxa" w:w="12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sz w:val="20"/>
                <w:szCs w:val="20"/>
              </w:rPr>
              <w:t xml:space="preserve">1.1</w:t>
            </w:r>
          </w:p>
        </w:tc>
        <w:tc>
          <w:tcPr>
            <w:tcW w:type="dxa" w:w="15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sz w:val="20"/>
                <w:szCs w:val="20"/>
              </w:rPr>
              <w:t xml:space="preserve">TBD</w:t>
            </w:r>
          </w:p>
        </w:tc>
        <w:tc>
          <w:tcPr>
            <w:tcW w:type="dxa" w:w="25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sz w:val="20"/>
                <w:szCs w:val="20"/>
              </w:rPr>
              <w:t xml:space="preserve">TBD</w:t>
            </w:r>
          </w:p>
        </w:tc>
        <w:tc>
          <w:tcPr>
            <w:tcW w:type="dxa" w:w="41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sz w:val="20"/>
                <w:szCs w:val="20"/>
              </w:rPr>
              <w:t xml:space="preserve">Incorporate stakeholder feedback</w:t>
            </w:r>
          </w:p>
        </w:tc>
      </w:tr>
      <w:tr>
        <w:tc>
          <w:tcPr>
            <w:tcW w:type="dxa" w:w="12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sz w:val="20"/>
                <w:szCs w:val="20"/>
              </w:rPr>
              <w:t xml:space="preserve">2.0</w:t>
            </w:r>
          </w:p>
        </w:tc>
        <w:tc>
          <w:tcPr>
            <w:tcW w:type="dxa" w:w="15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sz w:val="20"/>
                <w:szCs w:val="20"/>
              </w:rPr>
              <w:t xml:space="preserve">TBD</w:t>
            </w:r>
          </w:p>
        </w:tc>
        <w:tc>
          <w:tcPr>
            <w:tcW w:type="dxa" w:w="25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sz w:val="20"/>
                <w:szCs w:val="20"/>
              </w:rPr>
              <w:t xml:space="preserve">TBD</w:t>
            </w:r>
          </w:p>
        </w:tc>
        <w:tc>
          <w:tcPr>
            <w:tcW w:type="dxa" w:w="41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sz w:val="20"/>
                <w:szCs w:val="20"/>
              </w:rPr>
              <w:t xml:space="preserve">Finalised baseline for development</w:t>
            </w:r>
          </w:p>
        </w:tc>
      </w:tr>
    </w:tbl>
    <w:p>
      <w:pPr>
        <w:spacing w:after="0" w:before="80"/>
      </w:pPr>
      <w:r>
        <w:t xml:space="preserve"/>
      </w:r>
    </w:p>
    <w:p>
      <w:pPr>
        <w:pStyle w:val="Heading2"/>
        <w:spacing w:after="100" w:before="280"/>
      </w:pPr>
      <w:r>
        <w:rPr>
          <w:rFonts w:ascii="Arial" w:cs="Arial" w:eastAsia="Arial" w:hAnsi="Arial"/>
          <w:b/>
          <w:bCs/>
          <w:color w:val="2E75B6"/>
          <w:sz w:val="26"/>
          <w:szCs w:val="26"/>
        </w:rPr>
        <w:t xml:space="preserve">1.2 Stakeholder 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3160"/>
      </w:tblGrid>
      <w:tr>
        <w:trPr>
          <w:tblHeader/>
        </w:trPr>
        <w:tc>
          <w:tcPr>
            <w:tcW w:type="dxa" w:w="2200"/>
            <w:tcBorders>
              <w:top w:val="single" w:color="D9D9D9" w:sz="4"/>
              <w:left w:val="single" w:color="D9D9D9" w:sz="4"/>
              <w:bottom w:val="single" w:color="D9D9D9" w:sz="4"/>
              <w:right w:val="single" w:color="D9D9D9" w:sz="4"/>
            </w:tcBorders>
            <w:shd w:fill="1F4E79"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Role</w:t>
            </w:r>
          </w:p>
        </w:tc>
        <w:tc>
          <w:tcPr>
            <w:tcW w:type="dxa" w:w="2000"/>
            <w:tcBorders>
              <w:top w:val="single" w:color="D9D9D9" w:sz="4"/>
              <w:left w:val="single" w:color="D9D9D9" w:sz="4"/>
              <w:bottom w:val="single" w:color="D9D9D9" w:sz="4"/>
              <w:right w:val="single" w:color="D9D9D9" w:sz="4"/>
            </w:tcBorders>
            <w:shd w:fill="1F4E79"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Name</w:t>
            </w:r>
          </w:p>
        </w:tc>
        <w:tc>
          <w:tcPr>
            <w:tcW w:type="dxa" w:w="2000"/>
            <w:tcBorders>
              <w:top w:val="single" w:color="D9D9D9" w:sz="4"/>
              <w:left w:val="single" w:color="D9D9D9" w:sz="4"/>
              <w:bottom w:val="single" w:color="D9D9D9" w:sz="4"/>
              <w:right w:val="single" w:color="D9D9D9" w:sz="4"/>
            </w:tcBorders>
            <w:shd w:fill="1F4E79"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Sign-off Status</w:t>
            </w:r>
          </w:p>
        </w:tc>
        <w:tc>
          <w:tcPr>
            <w:tcW w:type="dxa" w:w="3160"/>
            <w:tcBorders>
              <w:top w:val="single" w:color="D9D9D9" w:sz="4"/>
              <w:left w:val="single" w:color="D9D9D9" w:sz="4"/>
              <w:bottom w:val="single" w:color="D9D9D9" w:sz="4"/>
              <w:right w:val="single" w:color="D9D9D9" w:sz="4"/>
            </w:tcBorders>
            <w:shd w:fill="1F4E79"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Date</w:t>
            </w:r>
          </w:p>
        </w:tc>
      </w:tr>
      <w:tr>
        <w:tc>
          <w:tcPr>
            <w:tcW w:type="dxa" w:w="22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sz w:val="20"/>
                <w:szCs w:val="20"/>
              </w:rPr>
              <w:t xml:space="preserve">Chief Financial Officer</w:t>
            </w:r>
          </w:p>
        </w:tc>
        <w:tc>
          <w:tcPr>
            <w:tcW w:type="dxa" w:w="2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sz w:val="20"/>
                <w:szCs w:val="20"/>
              </w:rPr>
              <w:t xml:space="preserve">TBD</w:t>
            </w:r>
          </w:p>
        </w:tc>
        <w:tc>
          <w:tcPr>
            <w:tcW w:type="dxa" w:w="2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sz w:val="20"/>
                <w:szCs w:val="20"/>
              </w:rPr>
              <w:t xml:space="preserve">Pending</w:t>
            </w:r>
          </w:p>
        </w:tc>
        <w:tc>
          <w:tcPr>
            <w:tcW w:type="dxa" w:w="31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sz w:val="20"/>
                <w:szCs w:val="20"/>
              </w:rPr>
              <w:t xml:space="preserve">Chief HR Officer</w:t>
            </w:r>
          </w:p>
        </w:tc>
        <w:tc>
          <w:tcPr>
            <w:tcW w:type="dxa" w:w="20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sz w:val="20"/>
                <w:szCs w:val="20"/>
              </w:rPr>
              <w:t xml:space="preserve">TBD</w:t>
            </w:r>
          </w:p>
        </w:tc>
        <w:tc>
          <w:tcPr>
            <w:tcW w:type="dxa" w:w="20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sz w:val="20"/>
                <w:szCs w:val="20"/>
              </w:rPr>
              <w:t xml:space="preserve">Pending</w:t>
            </w:r>
          </w:p>
        </w:tc>
        <w:tc>
          <w:tcPr>
            <w:tcW w:type="dxa" w:w="31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sz w:val="20"/>
                <w:szCs w:val="20"/>
              </w:rPr>
              <w:t xml:space="preserve">Chief Technology Officer</w:t>
            </w:r>
          </w:p>
        </w:tc>
        <w:tc>
          <w:tcPr>
            <w:tcW w:type="dxa" w:w="2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sz w:val="20"/>
                <w:szCs w:val="20"/>
              </w:rPr>
              <w:t xml:space="preserve">TBD</w:t>
            </w:r>
          </w:p>
        </w:tc>
        <w:tc>
          <w:tcPr>
            <w:tcW w:type="dxa" w:w="2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sz w:val="20"/>
                <w:szCs w:val="20"/>
              </w:rPr>
              <w:t xml:space="preserve">Pending</w:t>
            </w:r>
          </w:p>
        </w:tc>
        <w:tc>
          <w:tcPr>
            <w:tcW w:type="dxa" w:w="31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sz w:val="20"/>
                <w:szCs w:val="20"/>
              </w:rPr>
              <w:t xml:space="preserve">Head of Compliance</w:t>
            </w:r>
          </w:p>
        </w:tc>
        <w:tc>
          <w:tcPr>
            <w:tcW w:type="dxa" w:w="20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sz w:val="20"/>
                <w:szCs w:val="20"/>
              </w:rPr>
              <w:t xml:space="preserve">TBD</w:t>
            </w:r>
          </w:p>
        </w:tc>
        <w:tc>
          <w:tcPr>
            <w:tcW w:type="dxa" w:w="20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sz w:val="20"/>
                <w:szCs w:val="20"/>
              </w:rPr>
              <w:t xml:space="preserve">Pending</w:t>
            </w:r>
          </w:p>
        </w:tc>
        <w:tc>
          <w:tcPr>
            <w:tcW w:type="dxa" w:w="31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sz w:val="20"/>
                <w:szCs w:val="20"/>
              </w:rPr>
              <w:t xml:space="preserve">PMO Lead</w:t>
            </w:r>
          </w:p>
        </w:tc>
        <w:tc>
          <w:tcPr>
            <w:tcW w:type="dxa" w:w="2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sz w:val="20"/>
                <w:szCs w:val="20"/>
              </w:rPr>
              <w:t xml:space="preserve">TBD</w:t>
            </w:r>
          </w:p>
        </w:tc>
        <w:tc>
          <w:tcPr>
            <w:tcW w:type="dxa" w:w="2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sz w:val="20"/>
                <w:szCs w:val="20"/>
              </w:rPr>
              <w:t xml:space="preserve">Pending</w:t>
            </w:r>
          </w:p>
        </w:tc>
        <w:tc>
          <w:tcPr>
            <w:tcW w:type="dxa" w:w="31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sz w:val="20"/>
                <w:szCs w:val="20"/>
              </w:rPr>
              <w:t xml:space="preserve"/>
            </w:r>
          </w:p>
        </w:tc>
      </w:tr>
    </w:tbl>
    <w:p>
      <w:pPr>
        <w:spacing w:after="0" w:before="80"/>
      </w:pPr>
      <w:r>
        <w:t xml:space="preserve"/>
      </w:r>
    </w:p>
    <w:p>
      <w:pPr>
        <w:pStyle w:val="Heading2"/>
        <w:spacing w:after="100" w:before="280"/>
      </w:pPr>
      <w:r>
        <w:rPr>
          <w:rFonts w:ascii="Arial" w:cs="Arial" w:eastAsia="Arial" w:hAnsi="Arial"/>
          <w:b/>
          <w:bCs/>
          <w:color w:val="2E75B6"/>
          <w:sz w:val="26"/>
          <w:szCs w:val="26"/>
        </w:rPr>
        <w:t xml:space="preserve">1.3 Document Scope</w:t>
      </w:r>
    </w:p>
    <w:p>
      <w:pPr>
        <w:spacing w:after="60" w:before="60"/>
      </w:pPr>
      <w:r>
        <w:rPr>
          <w:rFonts w:ascii="Arial" w:cs="Arial" w:eastAsia="Arial" w:hAnsi="Arial"/>
          <w:sz w:val="22"/>
          <w:szCs w:val="22"/>
        </w:rPr>
        <w:t xml:space="preserve">This PRD defines all functional, non-functional, integration, security, and compliance requirements for the Enterprise Employee Travel &amp; Expense Management System (ETEMS). It serves as the authoritative contract between business stakeholders, product management, and the engineering team throughout the design, build, and deployment lifecycle.</w:t>
      </w:r>
    </w:p>
    <w:p>
      <w:pPr>
        <w:spacing w:after="0" w:before="80"/>
      </w:pPr>
      <w:r>
        <w:t xml:space="preserve"/>
      </w:r>
    </w:p>
    <w:p>
      <w:r>
        <w:br w:type="page"/>
      </w:r>
    </w:p>
    <w:p>
      <w:pPr>
        <w:pStyle w:val="Heading1"/>
        <w:pBdr>
          <w:bottom w:val="single" w:color="2E75B6" w:sz="6" w:space="4"/>
        </w:pBdr>
        <w:spacing w:after="120" w:before="360"/>
      </w:pPr>
      <w:r>
        <w:rPr>
          <w:rFonts w:ascii="Arial" w:cs="Arial" w:eastAsia="Arial" w:hAnsi="Arial"/>
          <w:b/>
          <w:bCs/>
          <w:color w:val="1F4E79"/>
          <w:sz w:val="32"/>
          <w:szCs w:val="32"/>
        </w:rPr>
        <w:t xml:space="preserve">2. Executive Summary</w:t>
      </w:r>
    </w:p>
    <w:p>
      <w:pPr>
        <w:pStyle w:val="Heading2"/>
        <w:spacing w:after="100" w:before="280"/>
      </w:pPr>
      <w:r>
        <w:rPr>
          <w:rFonts w:ascii="Arial" w:cs="Arial" w:eastAsia="Arial" w:hAnsi="Arial"/>
          <w:b/>
          <w:bCs/>
          <w:color w:val="2E75B6"/>
          <w:sz w:val="26"/>
          <w:szCs w:val="26"/>
        </w:rPr>
        <w:t xml:space="preserve">2.1 Problem Statement</w:t>
      </w:r>
    </w:p>
    <w:p>
      <w:pPr>
        <w:spacing w:after="60" w:before="60"/>
      </w:pPr>
      <w:r>
        <w:rPr>
          <w:rFonts w:ascii="Arial" w:cs="Arial" w:eastAsia="Arial" w:hAnsi="Arial"/>
          <w:sz w:val="22"/>
          <w:szCs w:val="22"/>
        </w:rPr>
        <w:t xml:space="preserve">The organisation currently manages travel requests, approvals, expense claims, and reimbursements through a combination of emails, Excel spreadsheets, phone calls, and paper documents for a workforce of 10,000+ employees across multiple locations. This approach creates systemic operational challenges:</w:t>
      </w:r>
    </w:p>
    <w:p>
      <w:pPr>
        <w:pStyle w:val="ListParagraph"/>
        <w:numPr>
          <w:ilvl w:val="0"/>
          <w:numId w:val="2"/>
        </w:numPr>
        <w:spacing w:after="40" w:before="40"/>
      </w:pPr>
      <w:r>
        <w:rPr>
          <w:rFonts w:ascii="Arial" w:cs="Arial" w:eastAsia="Arial" w:hAnsi="Arial"/>
          <w:sz w:val="22"/>
          <w:szCs w:val="22"/>
        </w:rPr>
        <w:t xml:space="preserve">Approval cycle times of 3–5 days for travel requests and 7–14 days for expense claims.</w:t>
      </w:r>
    </w:p>
    <w:p>
      <w:pPr>
        <w:pStyle w:val="ListParagraph"/>
        <w:numPr>
          <w:ilvl w:val="0"/>
          <w:numId w:val="2"/>
        </w:numPr>
        <w:spacing w:after="40" w:before="40"/>
      </w:pPr>
      <w:r>
        <w:rPr>
          <w:rFonts w:ascii="Arial" w:cs="Arial" w:eastAsia="Arial" w:hAnsi="Arial"/>
          <w:sz w:val="22"/>
          <w:szCs w:val="22"/>
        </w:rPr>
        <w:t xml:space="preserve">Reimbursement delays of 15–30 days causing employee dissatisfaction.</w:t>
      </w:r>
    </w:p>
    <w:p>
      <w:pPr>
        <w:pStyle w:val="ListParagraph"/>
        <w:numPr>
          <w:ilvl w:val="0"/>
          <w:numId w:val="2"/>
        </w:numPr>
        <w:spacing w:after="40" w:before="40"/>
      </w:pPr>
      <w:r>
        <w:rPr>
          <w:rFonts w:ascii="Arial" w:cs="Arial" w:eastAsia="Arial" w:hAnsi="Arial"/>
          <w:sz w:val="22"/>
          <w:szCs w:val="22"/>
        </w:rPr>
        <w:t xml:space="preserve">Zero automated duplicate detection, enabling financial leakage.</w:t>
      </w:r>
    </w:p>
    <w:p>
      <w:pPr>
        <w:pStyle w:val="ListParagraph"/>
        <w:numPr>
          <w:ilvl w:val="0"/>
          <w:numId w:val="2"/>
        </w:numPr>
        <w:spacing w:after="40" w:before="40"/>
      </w:pPr>
      <w:r>
        <w:rPr>
          <w:rFonts w:ascii="Arial" w:cs="Arial" w:eastAsia="Arial" w:hAnsi="Arial"/>
          <w:sz w:val="22"/>
          <w:szCs w:val="22"/>
        </w:rPr>
        <w:t xml:space="preserve">No centralised audit trail, creating compliance and statutory risk.</w:t>
      </w:r>
    </w:p>
    <w:p>
      <w:pPr>
        <w:pStyle w:val="ListParagraph"/>
        <w:numPr>
          <w:ilvl w:val="0"/>
          <w:numId w:val="2"/>
        </w:numPr>
        <w:spacing w:after="40" w:before="40"/>
      </w:pPr>
      <w:r>
        <w:rPr>
          <w:rFonts w:ascii="Arial" w:cs="Arial" w:eastAsia="Arial" w:hAnsi="Arial"/>
          <w:sz w:val="22"/>
          <w:szCs w:val="22"/>
        </w:rPr>
        <w:t xml:space="preserve">Manual processing cost estimated at ₹800–₹1,200 per expense report.</w:t>
      </w:r>
    </w:p>
    <w:p>
      <w:pPr>
        <w:pStyle w:val="ListParagraph"/>
        <w:numPr>
          <w:ilvl w:val="0"/>
          <w:numId w:val="2"/>
        </w:numPr>
        <w:spacing w:after="40" w:before="40"/>
      </w:pPr>
      <w:r>
        <w:rPr>
          <w:rFonts w:ascii="Arial" w:cs="Arial" w:eastAsia="Arial" w:hAnsi="Arial"/>
          <w:sz w:val="22"/>
          <w:szCs w:val="22"/>
        </w:rPr>
        <w:t xml:space="preserve">No real-time spend visibility for finance or management.</w:t>
      </w:r>
    </w:p>
    <w:p>
      <w:pPr>
        <w:pStyle w:val="ListParagraph"/>
        <w:numPr>
          <w:ilvl w:val="0"/>
          <w:numId w:val="2"/>
        </w:numPr>
        <w:spacing w:after="40" w:before="40"/>
      </w:pPr>
      <w:r>
        <w:rPr>
          <w:rFonts w:ascii="Arial" w:cs="Arial" w:eastAsia="Arial" w:hAnsi="Arial"/>
          <w:sz w:val="22"/>
          <w:szCs w:val="22"/>
        </w:rPr>
        <w:t xml:space="preserve">Receipt loss rates of approximately 45%, undermining policy enforcement.</w:t>
      </w:r>
    </w:p>
    <w:p>
      <w:pPr>
        <w:spacing w:after="0" w:before="80"/>
      </w:pPr>
      <w:r>
        <w:t xml:space="preserve"/>
      </w:r>
    </w:p>
    <w:p>
      <w:pPr>
        <w:pStyle w:val="Heading2"/>
        <w:spacing w:after="100" w:before="280"/>
      </w:pPr>
      <w:r>
        <w:rPr>
          <w:rFonts w:ascii="Arial" w:cs="Arial" w:eastAsia="Arial" w:hAnsi="Arial"/>
          <w:b/>
          <w:bCs/>
          <w:color w:val="2E75B6"/>
          <w:sz w:val="26"/>
          <w:szCs w:val="26"/>
        </w:rPr>
        <w:t xml:space="preserve">2.2 Proposed Solution</w:t>
      </w:r>
    </w:p>
    <w:p>
      <w:pPr>
        <w:spacing w:after="60" w:before="60"/>
      </w:pPr>
      <w:r>
        <w:rPr>
          <w:rFonts w:ascii="Arial" w:cs="Arial" w:eastAsia="Arial" w:hAnsi="Arial"/>
          <w:sz w:val="22"/>
          <w:szCs w:val="22"/>
        </w:rPr>
        <w:t xml:space="preserve">ETEMS is a centralised, cloud-based digital platform that automates end-to-end travel and expense workflows — from travel request initiation and multi-level approval to expense submission, policy enforcement, reimbursement, and management reporting. The system will serve all 10,000+ employees via web and mobile interfaces, with deep integration into the organisation's ERP and payroll systems.</w:t>
      </w:r>
    </w:p>
    <w:p>
      <w:pPr>
        <w:spacing w:after="0" w:before="80"/>
      </w:pPr>
      <w:r>
        <w:t xml:space="preserve"/>
      </w:r>
    </w:p>
    <w:p>
      <w:pPr>
        <w:pStyle w:val="Heading2"/>
        <w:spacing w:after="100" w:before="280"/>
      </w:pPr>
      <w:r>
        <w:rPr>
          <w:rFonts w:ascii="Arial" w:cs="Arial" w:eastAsia="Arial" w:hAnsi="Arial"/>
          <w:b/>
          <w:bCs/>
          <w:color w:val="2E75B6"/>
          <w:sz w:val="26"/>
          <w:szCs w:val="26"/>
        </w:rPr>
        <w:t xml:space="preserve">2.3 Strategic Objectives</w:t>
      </w:r>
    </w:p>
    <w:p>
      <w:pPr>
        <w:pStyle w:val="ListParagraph"/>
        <w:numPr>
          <w:ilvl w:val="0"/>
          <w:numId w:val="3"/>
        </w:numPr>
        <w:spacing w:after="40" w:before="40"/>
      </w:pPr>
      <w:r>
        <w:rPr>
          <w:rFonts w:ascii="Arial" w:cs="Arial" w:eastAsia="Arial" w:hAnsi="Arial"/>
          <w:sz w:val="22"/>
          <w:szCs w:val="22"/>
        </w:rPr>
        <w:t xml:space="preserve">Reduce travel request approval time from 3–5 days to under 24 hours.</w:t>
      </w:r>
    </w:p>
    <w:p>
      <w:pPr>
        <w:pStyle w:val="ListParagraph"/>
        <w:numPr>
          <w:ilvl w:val="0"/>
          <w:numId w:val="3"/>
        </w:numPr>
        <w:spacing w:after="40" w:before="40"/>
      </w:pPr>
      <w:r>
        <w:rPr>
          <w:rFonts w:ascii="Arial" w:cs="Arial" w:eastAsia="Arial" w:hAnsi="Arial"/>
          <w:sz w:val="22"/>
          <w:szCs w:val="22"/>
        </w:rPr>
        <w:t xml:space="preserve">Achieve ≥ 80% straight-through processing (automated, no manual touch) of expense claims within 12 months.</w:t>
      </w:r>
    </w:p>
    <w:p>
      <w:pPr>
        <w:pStyle w:val="ListParagraph"/>
        <w:numPr>
          <w:ilvl w:val="0"/>
          <w:numId w:val="3"/>
        </w:numPr>
        <w:spacing w:after="40" w:before="40"/>
      </w:pPr>
      <w:r>
        <w:rPr>
          <w:rFonts w:ascii="Arial" w:cs="Arial" w:eastAsia="Arial" w:hAnsi="Arial"/>
          <w:sz w:val="22"/>
          <w:szCs w:val="22"/>
        </w:rPr>
        <w:t xml:space="preserve">Deliver ≥ 200% ROI within 24 months of go-live.</w:t>
      </w:r>
    </w:p>
    <w:p>
      <w:pPr>
        <w:pStyle w:val="ListParagraph"/>
        <w:numPr>
          <w:ilvl w:val="0"/>
          <w:numId w:val="3"/>
        </w:numPr>
        <w:spacing w:after="40" w:before="40"/>
      </w:pPr>
      <w:r>
        <w:rPr>
          <w:rFonts w:ascii="Arial" w:cs="Arial" w:eastAsia="Arial" w:hAnsi="Arial"/>
          <w:sz w:val="22"/>
          <w:szCs w:val="22"/>
        </w:rPr>
        <w:t xml:space="preserve">Reduce per-report processing cost by 60% vs the manual baseline.</w:t>
      </w:r>
    </w:p>
    <w:p>
      <w:pPr>
        <w:pStyle w:val="ListParagraph"/>
        <w:numPr>
          <w:ilvl w:val="0"/>
          <w:numId w:val="3"/>
        </w:numPr>
        <w:spacing w:after="40" w:before="40"/>
      </w:pPr>
      <w:r>
        <w:rPr>
          <w:rFonts w:ascii="Arial" w:cs="Arial" w:eastAsia="Arial" w:hAnsi="Arial"/>
          <w:sz w:val="22"/>
          <w:szCs w:val="22"/>
        </w:rPr>
        <w:t xml:space="preserve">Achieve 100% digital audit trail and receipt compliance.</w:t>
      </w:r>
    </w:p>
    <w:p>
      <w:pPr>
        <w:pStyle w:val="ListParagraph"/>
        <w:numPr>
          <w:ilvl w:val="0"/>
          <w:numId w:val="3"/>
        </w:numPr>
        <w:spacing w:after="40" w:before="40"/>
      </w:pPr>
      <w:r>
        <w:rPr>
          <w:rFonts w:ascii="Arial" w:cs="Arial" w:eastAsia="Arial" w:hAnsi="Arial"/>
          <w:sz w:val="22"/>
          <w:szCs w:val="22"/>
        </w:rPr>
        <w:t xml:space="preserve">Enable real-time management reporting on T&amp;E spend with zero reporting lag.</w:t>
      </w:r>
    </w:p>
    <w:p>
      <w:pPr>
        <w:spacing w:after="0" w:before="80"/>
      </w:pPr>
      <w:r>
        <w:t xml:space="preserve"/>
      </w:r>
    </w:p>
    <w:p>
      <w:pPr>
        <w:pStyle w:val="Heading2"/>
        <w:spacing w:after="100" w:before="280"/>
      </w:pPr>
      <w:r>
        <w:rPr>
          <w:rFonts w:ascii="Arial" w:cs="Arial" w:eastAsia="Arial" w:hAnsi="Arial"/>
          <w:b/>
          <w:bCs/>
          <w:color w:val="2E75B6"/>
          <w:sz w:val="26"/>
          <w:szCs w:val="26"/>
        </w:rPr>
        <w:t xml:space="preserve">2.4 Project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2"/>
              <w:left w:val="none" w:color="FFFFFF" w:sz="0"/>
              <w:bottom w:val="single" w:color="D9D9D9" w:sz="4"/>
              <w:right w:val="none" w:color="FFFFFF" w:sz="0"/>
            </w:tcBorders>
            <w:shd w:fill="D6E4F0" w:val="clear"/>
            <w:tcMar>
              <w:top w:type="dxa" w:w="100"/>
              <w:left w:type="dxa" w:w="160"/>
              <w:bottom w:type="dxa" w:w="100"/>
              <w:right w:type="dxa" w:w="160"/>
            </w:tcMar>
          </w:tcPr>
          <w:p>
            <w:pPr>
              <w:spacing w:after="40" w:before="0"/>
            </w:pPr>
            <w:r>
              <w:rPr>
                <w:rFonts w:ascii="Arial" w:cs="Arial" w:eastAsia="Arial" w:hAnsi="Arial"/>
                <w:b/>
                <w:bCs/>
                <w:color w:val="1F4E79"/>
                <w:sz w:val="20"/>
                <w:szCs w:val="20"/>
              </w:rPr>
              <w:t xml:space="preserve">In Scope</w:t>
            </w:r>
          </w:p>
          <w:p>
            <w:pPr>
              <w:spacing w:after="0" w:before="0"/>
            </w:pPr>
            <w:r>
              <w:rPr>
                <w:rFonts w:ascii="Arial" w:cs="Arial" w:eastAsia="Arial" w:hAnsi="Arial"/>
                <w:i/>
                <w:iCs/>
                <w:color w:val="333333"/>
                <w:sz w:val="20"/>
                <w:szCs w:val="20"/>
              </w:rPr>
              <w:t xml:space="preserve">Travel request and approval workflows; expense claim submission (web + mobile); policy enforcement engine; multi-level approval workflows; advance management; ERP/payroll integration; OCR receipt capture; management dashboards; compliance audit trail; GST/tax categorisation; preferred vendor tracking; carbon emission reporting.</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2"/>
              <w:left w:val="none" w:color="FFFFFF" w:sz="0"/>
              <w:bottom w:val="single" w:color="D9D9D9" w:sz="4"/>
              <w:right w:val="none" w:color="FFFFFF" w:sz="0"/>
            </w:tcBorders>
            <w:shd w:fill="D6E4F0" w:val="clear"/>
            <w:tcMar>
              <w:top w:type="dxa" w:w="100"/>
              <w:left w:type="dxa" w:w="160"/>
              <w:bottom w:type="dxa" w:w="100"/>
              <w:right w:type="dxa" w:w="160"/>
            </w:tcMar>
          </w:tcPr>
          <w:p>
            <w:pPr>
              <w:spacing w:after="40" w:before="0"/>
            </w:pPr>
            <w:r>
              <w:rPr>
                <w:rFonts w:ascii="Arial" w:cs="Arial" w:eastAsia="Arial" w:hAnsi="Arial"/>
                <w:b/>
                <w:bCs/>
                <w:color w:val="1F4E79"/>
                <w:sz w:val="20"/>
                <w:szCs w:val="20"/>
              </w:rPr>
              <w:t xml:space="preserve">Out of Scope (Phase 1)</w:t>
            </w:r>
          </w:p>
          <w:p>
            <w:pPr>
              <w:spacing w:after="0" w:before="0"/>
            </w:pPr>
            <w:r>
              <w:rPr>
                <w:rFonts w:ascii="Arial" w:cs="Arial" w:eastAsia="Arial" w:hAnsi="Arial"/>
                <w:i/>
                <w:iCs/>
                <w:color w:val="333333"/>
                <w:sz w:val="20"/>
                <w:szCs w:val="20"/>
              </w:rPr>
              <w:t xml:space="preserve">Online travel booking engine; corporate credit card issuing; international tax compliance (beyond GST); HR performance management integration; customer expense billing/chargeback workflows.</w:t>
            </w:r>
          </w:p>
        </w:tc>
      </w:tr>
    </w:tbl>
    <w:p>
      <w:pPr>
        <w:spacing w:after="0" w:before="80"/>
      </w:pPr>
      <w:r>
        <w:t xml:space="preserve"/>
      </w:r>
    </w:p>
    <w:p>
      <w:r>
        <w:br w:type="page"/>
      </w:r>
    </w:p>
    <w:p>
      <w:pPr>
        <w:pStyle w:val="Heading1"/>
        <w:pBdr>
          <w:bottom w:val="single" w:color="2E75B6" w:sz="6" w:space="4"/>
        </w:pBdr>
        <w:spacing w:after="120" w:before="360"/>
      </w:pPr>
      <w:r>
        <w:rPr>
          <w:rFonts w:ascii="Arial" w:cs="Arial" w:eastAsia="Arial" w:hAnsi="Arial"/>
          <w:b/>
          <w:bCs/>
          <w:color w:val="1F4E79"/>
          <w:sz w:val="32"/>
          <w:szCs w:val="32"/>
        </w:rPr>
        <w:t xml:space="preserve">3. Stakeholders &amp; User Personas</w:t>
      </w:r>
    </w:p>
    <w:p>
      <w:pPr>
        <w:pStyle w:val="Heading2"/>
        <w:spacing w:after="100" w:before="280"/>
      </w:pPr>
      <w:r>
        <w:rPr>
          <w:rFonts w:ascii="Arial" w:cs="Arial" w:eastAsia="Arial" w:hAnsi="Arial"/>
          <w:b/>
          <w:bCs/>
          <w:color w:val="2E75B6"/>
          <w:sz w:val="26"/>
          <w:szCs w:val="26"/>
        </w:rPr>
        <w:t xml:space="preserve">3.1 Stakeholder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3200"/>
        <w:gridCol w:w="2160"/>
      </w:tblGrid>
      <w:tr>
        <w:trPr>
          <w:tblHeader/>
        </w:trPr>
        <w:tc>
          <w:tcPr>
            <w:tcW w:type="dxa" w:w="1800"/>
            <w:tcBorders>
              <w:top w:val="single" w:color="D9D9D9" w:sz="4"/>
              <w:left w:val="single" w:color="D9D9D9" w:sz="4"/>
              <w:bottom w:val="single" w:color="D9D9D9" w:sz="4"/>
              <w:right w:val="single" w:color="D9D9D9" w:sz="4"/>
            </w:tcBorders>
            <w:shd w:fill="1F4E79"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Stakeholder</w:t>
            </w:r>
          </w:p>
        </w:tc>
        <w:tc>
          <w:tcPr>
            <w:tcW w:type="dxa" w:w="2200"/>
            <w:tcBorders>
              <w:top w:val="single" w:color="D9D9D9" w:sz="4"/>
              <w:left w:val="single" w:color="D9D9D9" w:sz="4"/>
              <w:bottom w:val="single" w:color="D9D9D9" w:sz="4"/>
              <w:right w:val="single" w:color="D9D9D9" w:sz="4"/>
            </w:tcBorders>
            <w:shd w:fill="1F4E79"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Role</w:t>
            </w:r>
          </w:p>
        </w:tc>
        <w:tc>
          <w:tcPr>
            <w:tcW w:type="dxa" w:w="3200"/>
            <w:tcBorders>
              <w:top w:val="single" w:color="D9D9D9" w:sz="4"/>
              <w:left w:val="single" w:color="D9D9D9" w:sz="4"/>
              <w:bottom w:val="single" w:color="D9D9D9" w:sz="4"/>
              <w:right w:val="single" w:color="D9D9D9" w:sz="4"/>
            </w:tcBorders>
            <w:shd w:fill="1F4E79"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Primary Interest</w:t>
            </w:r>
          </w:p>
        </w:tc>
        <w:tc>
          <w:tcPr>
            <w:tcW w:type="dxa" w:w="2160"/>
            <w:tcBorders>
              <w:top w:val="single" w:color="D9D9D9" w:sz="4"/>
              <w:left w:val="single" w:color="D9D9D9" w:sz="4"/>
              <w:bottom w:val="single" w:color="D9D9D9" w:sz="4"/>
              <w:right w:val="single" w:color="D9D9D9" w:sz="4"/>
            </w:tcBorders>
            <w:shd w:fill="1F4E79"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Influence</w:t>
            </w:r>
          </w:p>
        </w:tc>
      </w:tr>
      <w:tr>
        <w:tc>
          <w:tcPr>
            <w:tcW w:type="dxa" w:w="1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sz w:val="20"/>
                <w:szCs w:val="20"/>
              </w:rPr>
              <w:t xml:space="preserve">CFO</w:t>
            </w:r>
          </w:p>
        </w:tc>
        <w:tc>
          <w:tcPr>
            <w:tcW w:type="dxa" w:w="22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sz w:val="20"/>
                <w:szCs w:val="20"/>
              </w:rPr>
              <w:t xml:space="preserve">Executive Sponsor</w:t>
            </w:r>
          </w:p>
        </w:tc>
        <w:tc>
          <w:tcPr>
            <w:tcW w:type="dxa" w:w="32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sz w:val="20"/>
                <w:szCs w:val="20"/>
              </w:rPr>
              <w:t xml:space="preserve">Cost control, ROI, financial compliance</w:t>
            </w:r>
          </w:p>
        </w:tc>
        <w:tc>
          <w:tcPr>
            <w:tcW w:type="dxa" w:w="21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1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sz w:val="20"/>
                <w:szCs w:val="20"/>
              </w:rPr>
              <w:t xml:space="preserve">CHRO</w:t>
            </w:r>
          </w:p>
        </w:tc>
        <w:tc>
          <w:tcPr>
            <w:tcW w:type="dxa" w:w="22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sz w:val="20"/>
                <w:szCs w:val="20"/>
              </w:rPr>
              <w:t xml:space="preserve">Business Sponsor</w:t>
            </w:r>
          </w:p>
        </w:tc>
        <w:tc>
          <w:tcPr>
            <w:tcW w:type="dxa" w:w="32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sz w:val="20"/>
                <w:szCs w:val="20"/>
              </w:rPr>
              <w:t xml:space="preserve">Employee experience, adoption, policy</w:t>
            </w:r>
          </w:p>
        </w:tc>
        <w:tc>
          <w:tcPr>
            <w:tcW w:type="dxa" w:w="21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1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sz w:val="20"/>
                <w:szCs w:val="20"/>
              </w:rPr>
              <w:t xml:space="preserve">CTO / IT Head</w:t>
            </w:r>
          </w:p>
        </w:tc>
        <w:tc>
          <w:tcPr>
            <w:tcW w:type="dxa" w:w="22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sz w:val="20"/>
                <w:szCs w:val="20"/>
              </w:rPr>
              <w:t xml:space="preserve">Technical Sponsor</w:t>
            </w:r>
          </w:p>
        </w:tc>
        <w:tc>
          <w:tcPr>
            <w:tcW w:type="dxa" w:w="32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sz w:val="20"/>
                <w:szCs w:val="20"/>
              </w:rPr>
              <w:t xml:space="preserve">Architecture, security, integrations</w:t>
            </w:r>
          </w:p>
        </w:tc>
        <w:tc>
          <w:tcPr>
            <w:tcW w:type="dxa" w:w="21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1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sz w:val="20"/>
                <w:szCs w:val="20"/>
              </w:rPr>
              <w:t xml:space="preserve">Finance Head</w:t>
            </w:r>
          </w:p>
        </w:tc>
        <w:tc>
          <w:tcPr>
            <w:tcW w:type="dxa" w:w="22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sz w:val="20"/>
                <w:szCs w:val="20"/>
              </w:rPr>
              <w:t xml:space="preserve">Primary User Group Owner</w:t>
            </w:r>
          </w:p>
        </w:tc>
        <w:tc>
          <w:tcPr>
            <w:tcW w:type="dxa" w:w="32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sz w:val="20"/>
                <w:szCs w:val="20"/>
              </w:rPr>
              <w:t xml:space="preserve">Accuracy, speed, reporting</w:t>
            </w:r>
          </w:p>
        </w:tc>
        <w:tc>
          <w:tcPr>
            <w:tcW w:type="dxa" w:w="21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1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sz w:val="20"/>
                <w:szCs w:val="20"/>
              </w:rPr>
              <w:t xml:space="preserve">HR Head</w:t>
            </w:r>
          </w:p>
        </w:tc>
        <w:tc>
          <w:tcPr>
            <w:tcW w:type="dxa" w:w="22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sz w:val="20"/>
                <w:szCs w:val="20"/>
              </w:rPr>
              <w:t xml:space="preserve">Change Management Lead</w:t>
            </w:r>
          </w:p>
        </w:tc>
        <w:tc>
          <w:tcPr>
            <w:tcW w:type="dxa" w:w="32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sz w:val="20"/>
                <w:szCs w:val="20"/>
              </w:rPr>
              <w:t xml:space="preserve">Adoption, training, satisfaction</w:t>
            </w:r>
          </w:p>
        </w:tc>
        <w:tc>
          <w:tcPr>
            <w:tcW w:type="dxa" w:w="21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1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sz w:val="20"/>
                <w:szCs w:val="20"/>
              </w:rPr>
              <w:t xml:space="preserve">Internal Audit</w:t>
            </w:r>
          </w:p>
        </w:tc>
        <w:tc>
          <w:tcPr>
            <w:tcW w:type="dxa" w:w="22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sz w:val="20"/>
                <w:szCs w:val="20"/>
              </w:rPr>
              <w:t xml:space="preserve">Compliance Oversight</w:t>
            </w:r>
          </w:p>
        </w:tc>
        <w:tc>
          <w:tcPr>
            <w:tcW w:type="dxa" w:w="32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sz w:val="20"/>
                <w:szCs w:val="20"/>
              </w:rPr>
              <w:t xml:space="preserve">Audit trail, policy enforcement</w:t>
            </w:r>
          </w:p>
        </w:tc>
        <w:tc>
          <w:tcPr>
            <w:tcW w:type="dxa" w:w="21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1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sz w:val="20"/>
                <w:szCs w:val="20"/>
              </w:rPr>
              <w:t xml:space="preserve">Procurement Head</w:t>
            </w:r>
          </w:p>
        </w:tc>
        <w:tc>
          <w:tcPr>
            <w:tcW w:type="dxa" w:w="22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sz w:val="20"/>
                <w:szCs w:val="20"/>
              </w:rPr>
              <w:t xml:space="preserve">Vendor Management</w:t>
            </w:r>
          </w:p>
        </w:tc>
        <w:tc>
          <w:tcPr>
            <w:tcW w:type="dxa" w:w="32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sz w:val="20"/>
                <w:szCs w:val="20"/>
              </w:rPr>
              <w:t xml:space="preserve">Preferred vendor adherence</w:t>
            </w:r>
          </w:p>
        </w:tc>
        <w:tc>
          <w:tcPr>
            <w:tcW w:type="dxa" w:w="21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1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sz w:val="20"/>
                <w:szCs w:val="20"/>
              </w:rPr>
              <w:t xml:space="preserve">Line Managers</w:t>
            </w:r>
          </w:p>
        </w:tc>
        <w:tc>
          <w:tcPr>
            <w:tcW w:type="dxa" w:w="22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sz w:val="20"/>
                <w:szCs w:val="20"/>
              </w:rPr>
              <w:t xml:space="preserve">Approver Group</w:t>
            </w:r>
          </w:p>
        </w:tc>
        <w:tc>
          <w:tcPr>
            <w:tcW w:type="dxa" w:w="32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sz w:val="20"/>
                <w:szCs w:val="20"/>
              </w:rPr>
              <w:t xml:space="preserve">Fast approvals, visibility into team spend</w:t>
            </w:r>
          </w:p>
        </w:tc>
        <w:tc>
          <w:tcPr>
            <w:tcW w:type="dxa" w:w="21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1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sz w:val="20"/>
                <w:szCs w:val="20"/>
              </w:rPr>
              <w:t xml:space="preserve">Employees (all)</w:t>
            </w:r>
          </w:p>
        </w:tc>
        <w:tc>
          <w:tcPr>
            <w:tcW w:type="dxa" w:w="22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sz w:val="20"/>
                <w:szCs w:val="20"/>
              </w:rPr>
              <w:t xml:space="preserve">End Users</w:t>
            </w:r>
          </w:p>
        </w:tc>
        <w:tc>
          <w:tcPr>
            <w:tcW w:type="dxa" w:w="32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sz w:val="20"/>
                <w:szCs w:val="20"/>
              </w:rPr>
              <w:t xml:space="preserve">Easy submission, fast reimbursement</w:t>
            </w:r>
          </w:p>
        </w:tc>
        <w:tc>
          <w:tcPr>
            <w:tcW w:type="dxa" w:w="21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sz w:val="20"/>
                <w:szCs w:val="20"/>
              </w:rPr>
              <w:t xml:space="preserve">High (volume)</w:t>
            </w:r>
          </w:p>
        </w:tc>
      </w:tr>
      <w:tr>
        <w:tc>
          <w:tcPr>
            <w:tcW w:type="dxa" w:w="1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sz w:val="20"/>
                <w:szCs w:val="20"/>
              </w:rPr>
              <w:t xml:space="preserve">IT / Infra Team</w:t>
            </w:r>
          </w:p>
        </w:tc>
        <w:tc>
          <w:tcPr>
            <w:tcW w:type="dxa" w:w="22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sz w:val="20"/>
                <w:szCs w:val="20"/>
              </w:rPr>
              <w:t xml:space="preserve">Implementation Partner</w:t>
            </w:r>
          </w:p>
        </w:tc>
        <w:tc>
          <w:tcPr>
            <w:tcW w:type="dxa" w:w="32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sz w:val="20"/>
                <w:szCs w:val="20"/>
              </w:rPr>
              <w:t xml:space="preserve">Uptime, integration, security</w:t>
            </w:r>
          </w:p>
        </w:tc>
        <w:tc>
          <w:tcPr>
            <w:tcW w:type="dxa" w:w="21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1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sz w:val="20"/>
                <w:szCs w:val="20"/>
              </w:rPr>
              <w:t xml:space="preserve">ERP Vendor</w:t>
            </w:r>
          </w:p>
        </w:tc>
        <w:tc>
          <w:tcPr>
            <w:tcW w:type="dxa" w:w="22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sz w:val="20"/>
                <w:szCs w:val="20"/>
              </w:rPr>
              <w:t xml:space="preserve">Integration Partner</w:t>
            </w:r>
          </w:p>
        </w:tc>
        <w:tc>
          <w:tcPr>
            <w:tcW w:type="dxa" w:w="32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sz w:val="20"/>
                <w:szCs w:val="20"/>
              </w:rPr>
              <w:t xml:space="preserve">Stable API contracts</w:t>
            </w:r>
          </w:p>
        </w:tc>
        <w:tc>
          <w:tcPr>
            <w:tcW w:type="dxa" w:w="21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sz w:val="20"/>
                <w:szCs w:val="20"/>
              </w:rPr>
              <w:t xml:space="preserve">Low</w:t>
            </w:r>
          </w:p>
        </w:tc>
      </w:tr>
    </w:tbl>
    <w:p>
      <w:pPr>
        <w:spacing w:after="0" w:before="80"/>
      </w:pPr>
      <w:r>
        <w:t xml:space="preserve"/>
      </w:r>
    </w:p>
    <w:p>
      <w:pPr>
        <w:pStyle w:val="Heading2"/>
        <w:spacing w:after="100" w:before="280"/>
      </w:pPr>
      <w:r>
        <w:rPr>
          <w:rFonts w:ascii="Arial" w:cs="Arial" w:eastAsia="Arial" w:hAnsi="Arial"/>
          <w:b/>
          <w:bCs/>
          <w:color w:val="2E75B6"/>
          <w:sz w:val="26"/>
          <w:szCs w:val="26"/>
        </w:rPr>
        <w:t xml:space="preserve">3.2 User Personas</w:t>
      </w:r>
    </w:p>
    <w:p>
      <w:pPr>
        <w:pStyle w:val="Heading3"/>
        <w:spacing w:after="80" w:before="200"/>
      </w:pPr>
      <w:r>
        <w:rPr>
          <w:rFonts w:ascii="Arial" w:cs="Arial" w:eastAsia="Arial" w:hAnsi="Arial"/>
          <w:b/>
          <w:bCs/>
          <w:color w:val="1D7874"/>
          <w:sz w:val="24"/>
          <w:szCs w:val="24"/>
        </w:rPr>
        <w:t xml:space="preserve">Persona 1 — Priya (The Travelling Employee)</w:t>
      </w:r>
    </w:p>
    <w:p>
      <w:pPr>
        <w:spacing w:after="60" w:before="60"/>
      </w:pPr>
      <w:r>
        <w:rPr>
          <w:rFonts w:ascii="Arial" w:cs="Arial" w:eastAsia="Arial" w:hAnsi="Arial"/>
          <w:sz w:val="22"/>
          <w:szCs w:val="22"/>
        </w:rPr>
        <w:t xml:space="preserve">Priya is a Senior Sales Manager based in Mumbai, travelling 8–10 days per month for client meetings. She books her own travel, collects receipts, and submits expense claims after each trip. Currently she spends 45–60 minutes per report filling Excel sheets, attaching scanned receipts, and chasing approvals over WhatsApp. She expects the new system to be fast, mobile-first, and to deliver her reimbursement within a week.</w:t>
      </w:r>
    </w:p>
    <w:p>
      <w:pPr>
        <w:pStyle w:val="Heading3"/>
        <w:spacing w:after="80" w:before="200"/>
      </w:pPr>
      <w:r>
        <w:rPr>
          <w:rFonts w:ascii="Arial" w:cs="Arial" w:eastAsia="Arial" w:hAnsi="Arial"/>
          <w:b/>
          <w:bCs/>
          <w:color w:val="1D7874"/>
          <w:sz w:val="24"/>
          <w:szCs w:val="24"/>
        </w:rPr>
        <w:t xml:space="preserve">Persona 2 — Ramesh (The Finance Reviewer)</w:t>
      </w:r>
    </w:p>
    <w:p>
      <w:pPr>
        <w:spacing w:after="60" w:before="60"/>
      </w:pPr>
      <w:r>
        <w:rPr>
          <w:rFonts w:ascii="Arial" w:cs="Arial" w:eastAsia="Arial" w:hAnsi="Arial"/>
          <w:sz w:val="22"/>
          <w:szCs w:val="22"/>
        </w:rPr>
        <w:t xml:space="preserve">Ramesh is an Accounts Executive in the Finance department, manually verifying 200+ expense claims per month — checking receipts, policy limits, and ledger codes before processing payroll entries. He currently spends 40% of his working week on T&amp;E activities. He needs automated policy checks, ERP reconciliation, and a dashboard to manage his workload.</w:t>
      </w:r>
    </w:p>
    <w:p>
      <w:pPr>
        <w:pStyle w:val="Heading3"/>
        <w:spacing w:after="80" w:before="200"/>
      </w:pPr>
      <w:r>
        <w:rPr>
          <w:rFonts w:ascii="Arial" w:cs="Arial" w:eastAsia="Arial" w:hAnsi="Arial"/>
          <w:b/>
          <w:bCs/>
          <w:color w:val="1D7874"/>
          <w:sz w:val="24"/>
          <w:szCs w:val="24"/>
        </w:rPr>
        <w:t xml:space="preserve">Persona 3 — Shalini (The Line Manager / Approver)</w:t>
      </w:r>
    </w:p>
    <w:p>
      <w:pPr>
        <w:spacing w:after="60" w:before="60"/>
      </w:pPr>
      <w:r>
        <w:rPr>
          <w:rFonts w:ascii="Arial" w:cs="Arial" w:eastAsia="Arial" w:hAnsi="Arial"/>
          <w:sz w:val="22"/>
          <w:szCs w:val="22"/>
        </w:rPr>
        <w:t xml:space="preserve">Shalini manages a team of 15 and approves 25–30 travel requests and expense reports monthly. She currently approves via email, often losing track of pending items. She needs a quick mobile approval interface with adequate context (purpose, budget impact, policy status) to make informed decisions in under 2 minutes.</w:t>
      </w:r>
    </w:p>
    <w:p>
      <w:pPr>
        <w:pStyle w:val="Heading3"/>
        <w:spacing w:after="80" w:before="200"/>
      </w:pPr>
      <w:r>
        <w:rPr>
          <w:rFonts w:ascii="Arial" w:cs="Arial" w:eastAsia="Arial" w:hAnsi="Arial"/>
          <w:b/>
          <w:bCs/>
          <w:color w:val="1D7874"/>
          <w:sz w:val="24"/>
          <w:szCs w:val="24"/>
        </w:rPr>
        <w:t xml:space="preserve">Persona 4 — Vikram (The Finance Controller)</w:t>
      </w:r>
    </w:p>
    <w:p>
      <w:pPr>
        <w:spacing w:after="60" w:before="60"/>
      </w:pPr>
      <w:r>
        <w:rPr>
          <w:rFonts w:ascii="Arial" w:cs="Arial" w:eastAsia="Arial" w:hAnsi="Arial"/>
          <w:sz w:val="22"/>
          <w:szCs w:val="22"/>
        </w:rPr>
        <w:t xml:space="preserve">Vikram is the Head of Finance, responsible for T&amp;E budget control across all business units. He currently receives manual consolidated reports with a 5–7 day lag. He needs a real-time dashboard showing spend vs budget, out-of-policy trends, and department-level analytics.</w:t>
      </w:r>
    </w:p>
    <w:p>
      <w:pPr>
        <w:pStyle w:val="Heading3"/>
        <w:spacing w:after="80" w:before="200"/>
      </w:pPr>
      <w:r>
        <w:rPr>
          <w:rFonts w:ascii="Arial" w:cs="Arial" w:eastAsia="Arial" w:hAnsi="Arial"/>
          <w:b/>
          <w:bCs/>
          <w:color w:val="1D7874"/>
          <w:sz w:val="24"/>
          <w:szCs w:val="24"/>
        </w:rPr>
        <w:t xml:space="preserve">Persona 5 — Ananya (The Compliance Officer)</w:t>
      </w:r>
    </w:p>
    <w:p>
      <w:pPr>
        <w:spacing w:after="60" w:before="60"/>
      </w:pPr>
      <w:r>
        <w:rPr>
          <w:rFonts w:ascii="Arial" w:cs="Arial" w:eastAsia="Arial" w:hAnsi="Arial"/>
          <w:sz w:val="22"/>
          <w:szCs w:val="22"/>
        </w:rPr>
        <w:t xml:space="preserve">Ananya manages internal audit and compliance, responsible for ensuring T&amp;E activities meet the organisation's policy, GST regulations, and statutory requirements. She needs a complete, tamper-proof audit trail, anomaly detection alerts, and on-demand audit-ready reports.</w:t>
      </w:r>
    </w:p>
    <w:p>
      <w:pPr>
        <w:spacing w:after="0" w:before="80"/>
      </w:pPr>
      <w:r>
        <w:t xml:space="preserve"/>
      </w:r>
    </w:p>
    <w:p>
      <w:r>
        <w:br w:type="page"/>
      </w:r>
    </w:p>
    <w:p>
      <w:pPr>
        <w:pStyle w:val="Heading1"/>
        <w:pBdr>
          <w:bottom w:val="single" w:color="2E75B6" w:sz="6" w:space="4"/>
        </w:pBdr>
        <w:spacing w:after="120" w:before="360"/>
      </w:pPr>
      <w:r>
        <w:rPr>
          <w:rFonts w:ascii="Arial" w:cs="Arial" w:eastAsia="Arial" w:hAnsi="Arial"/>
          <w:b/>
          <w:bCs/>
          <w:color w:val="1F4E79"/>
          <w:sz w:val="32"/>
          <w:szCs w:val="32"/>
        </w:rPr>
        <w:t xml:space="preserve">4. Functional Requirements</w:t>
      </w:r>
    </w:p>
    <w:p>
      <w:pPr>
        <w:pStyle w:val="Heading2"/>
        <w:spacing w:after="100" w:before="280"/>
      </w:pPr>
      <w:r>
        <w:rPr>
          <w:rFonts w:ascii="Arial" w:cs="Arial" w:eastAsia="Arial" w:hAnsi="Arial"/>
          <w:b/>
          <w:bCs/>
          <w:color w:val="2E75B6"/>
          <w:sz w:val="26"/>
          <w:szCs w:val="26"/>
        </w:rPr>
        <w:t xml:space="preserve">Module 1: Travel Request Management</w:t>
      </w:r>
    </w:p>
    <w:p>
      <w:pPr>
        <w:pStyle w:val="Heading3"/>
        <w:spacing w:after="80" w:before="200"/>
      </w:pPr>
      <w:r>
        <w:rPr>
          <w:rFonts w:ascii="Arial" w:cs="Arial" w:eastAsia="Arial" w:hAnsi="Arial"/>
          <w:b/>
          <w:bCs/>
          <w:color w:val="1D7874"/>
          <w:sz w:val="24"/>
          <w:szCs w:val="24"/>
        </w:rPr>
        <w:t xml:space="preserve">FR-1.1 Travel Request Submission</w:t>
      </w:r>
    </w:p>
    <w:p>
      <w:pPr>
        <w:pStyle w:val="ListParagraph"/>
        <w:numPr>
          <w:ilvl w:val="0"/>
          <w:numId w:val="2"/>
        </w:numPr>
        <w:spacing w:after="40" w:before="40"/>
      </w:pPr>
      <w:r>
        <w:rPr>
          <w:rFonts w:ascii="Arial" w:cs="Arial" w:eastAsia="Arial" w:hAnsi="Arial"/>
          <w:sz w:val="22"/>
          <w:szCs w:val="22"/>
        </w:rPr>
        <w:t xml:space="preserve">Employees must be able to submit a travel request via web or mobile application.</w:t>
      </w:r>
    </w:p>
    <w:p>
      <w:pPr>
        <w:pStyle w:val="ListParagraph"/>
        <w:numPr>
          <w:ilvl w:val="0"/>
          <w:numId w:val="2"/>
        </w:numPr>
        <w:spacing w:after="40" w:before="40"/>
      </w:pPr>
      <w:r>
        <w:rPr>
          <w:rFonts w:ascii="Arial" w:cs="Arial" w:eastAsia="Arial" w:hAnsi="Arial"/>
          <w:sz w:val="22"/>
          <w:szCs w:val="22"/>
        </w:rPr>
        <w:t xml:space="preserve">Mandatory fields: purpose of travel, destination(s), travel dates, estimated cost (per category), cost centre, project code, and supporting documents.</w:t>
      </w:r>
    </w:p>
    <w:p>
      <w:pPr>
        <w:pStyle w:val="ListParagraph"/>
        <w:numPr>
          <w:ilvl w:val="0"/>
          <w:numId w:val="2"/>
        </w:numPr>
        <w:spacing w:after="40" w:before="40"/>
      </w:pPr>
      <w:r>
        <w:rPr>
          <w:rFonts w:ascii="Arial" w:cs="Arial" w:eastAsia="Arial" w:hAnsi="Arial"/>
          <w:sz w:val="22"/>
          <w:szCs w:val="22"/>
        </w:rPr>
        <w:t xml:space="preserve">The system must support domestic and international travel request types.</w:t>
      </w:r>
    </w:p>
    <w:p>
      <w:pPr>
        <w:pStyle w:val="ListParagraph"/>
        <w:numPr>
          <w:ilvl w:val="0"/>
          <w:numId w:val="2"/>
        </w:numPr>
        <w:spacing w:after="40" w:before="40"/>
      </w:pPr>
      <w:r>
        <w:rPr>
          <w:rFonts w:ascii="Arial" w:cs="Arial" w:eastAsia="Arial" w:hAnsi="Arial"/>
          <w:sz w:val="22"/>
          <w:szCs w:val="22"/>
        </w:rPr>
        <w:t xml:space="preserve">Employees must be able to attach supporting documents (invitation letters, event details, approvals from clients) to the request.</w:t>
      </w:r>
    </w:p>
    <w:p>
      <w:pPr>
        <w:pStyle w:val="ListParagraph"/>
        <w:numPr>
          <w:ilvl w:val="0"/>
          <w:numId w:val="2"/>
        </w:numPr>
        <w:spacing w:after="40" w:before="40"/>
      </w:pPr>
      <w:r>
        <w:rPr>
          <w:rFonts w:ascii="Arial" w:cs="Arial" w:eastAsia="Arial" w:hAnsi="Arial"/>
          <w:sz w:val="22"/>
          <w:szCs w:val="22"/>
        </w:rPr>
        <w:t xml:space="preserve">The system must auto-populate the employee's reporting manager and cost centre from the HRMS integration.</w:t>
      </w:r>
    </w:p>
    <w:p>
      <w:pPr>
        <w:pStyle w:val="ListParagraph"/>
        <w:numPr>
          <w:ilvl w:val="0"/>
          <w:numId w:val="2"/>
        </w:numPr>
        <w:spacing w:after="40" w:before="40"/>
      </w:pPr>
      <w:r>
        <w:rPr>
          <w:rFonts w:ascii="Arial" w:cs="Arial" w:eastAsia="Arial" w:hAnsi="Arial"/>
          <w:sz w:val="22"/>
          <w:szCs w:val="22"/>
        </w:rPr>
        <w:t xml:space="preserve">Employees must be able to save a draft request and return to complete it later.</w:t>
      </w:r>
    </w:p>
    <w:p>
      <w:pPr>
        <w:spacing w:after="0" w:before="80"/>
      </w:pPr>
      <w:r>
        <w:t xml:space="preserve"/>
      </w:r>
    </w:p>
    <w:p>
      <w:pPr>
        <w:pStyle w:val="Heading3"/>
        <w:spacing w:after="80" w:before="200"/>
      </w:pPr>
      <w:r>
        <w:rPr>
          <w:rFonts w:ascii="Arial" w:cs="Arial" w:eastAsia="Arial" w:hAnsi="Arial"/>
          <w:b/>
          <w:bCs/>
          <w:color w:val="1D7874"/>
          <w:sz w:val="24"/>
          <w:szCs w:val="24"/>
        </w:rPr>
        <w:t xml:space="preserve">FR-1.2 Travel Request Approval Workflow</w:t>
      </w:r>
    </w:p>
    <w:p>
      <w:pPr>
        <w:pStyle w:val="ListParagraph"/>
        <w:numPr>
          <w:ilvl w:val="0"/>
          <w:numId w:val="2"/>
        </w:numPr>
        <w:spacing w:after="40" w:before="40"/>
      </w:pPr>
      <w:r>
        <w:rPr>
          <w:rFonts w:ascii="Arial" w:cs="Arial" w:eastAsia="Arial" w:hAnsi="Arial"/>
          <w:sz w:val="22"/>
          <w:szCs w:val="22"/>
        </w:rPr>
        <w:t xml:space="preserve">The system must support configurable multi-level approval workflows (L1 = Line Manager, L2 = Department Head, L3 = Finance for high-value requests).</w:t>
      </w:r>
    </w:p>
    <w:p>
      <w:pPr>
        <w:pStyle w:val="ListParagraph"/>
        <w:numPr>
          <w:ilvl w:val="0"/>
          <w:numId w:val="2"/>
        </w:numPr>
        <w:spacing w:after="40" w:before="40"/>
      </w:pPr>
      <w:r>
        <w:rPr>
          <w:rFonts w:ascii="Arial" w:cs="Arial" w:eastAsia="Arial" w:hAnsi="Arial"/>
          <w:sz w:val="22"/>
          <w:szCs w:val="22"/>
        </w:rPr>
        <w:t xml:space="preserve">Approval thresholds must be configurable by cost centre, travel type, and amount.</w:t>
      </w:r>
    </w:p>
    <w:p>
      <w:pPr>
        <w:pStyle w:val="ListParagraph"/>
        <w:numPr>
          <w:ilvl w:val="0"/>
          <w:numId w:val="2"/>
        </w:numPr>
        <w:spacing w:after="40" w:before="40"/>
      </w:pPr>
      <w:r>
        <w:rPr>
          <w:rFonts w:ascii="Arial" w:cs="Arial" w:eastAsia="Arial" w:hAnsi="Arial"/>
          <w:sz w:val="22"/>
          <w:szCs w:val="22"/>
        </w:rPr>
        <w:t xml:space="preserve">Approvers must receive real-time push notifications (email + mobile app) on pending requests.</w:t>
      </w:r>
    </w:p>
    <w:p>
      <w:pPr>
        <w:pStyle w:val="ListParagraph"/>
        <w:numPr>
          <w:ilvl w:val="0"/>
          <w:numId w:val="2"/>
        </w:numPr>
        <w:spacing w:after="40" w:before="40"/>
      </w:pPr>
      <w:r>
        <w:rPr>
          <w:rFonts w:ascii="Arial" w:cs="Arial" w:eastAsia="Arial" w:hAnsi="Arial"/>
          <w:sz w:val="22"/>
          <w:szCs w:val="22"/>
        </w:rPr>
        <w:t xml:space="preserve">Approvers must be able to approve, reject, or return for clarification with a mandatory comment.</w:t>
      </w:r>
    </w:p>
    <w:p>
      <w:pPr>
        <w:pStyle w:val="ListParagraph"/>
        <w:numPr>
          <w:ilvl w:val="0"/>
          <w:numId w:val="2"/>
        </w:numPr>
        <w:spacing w:after="40" w:before="40"/>
      </w:pPr>
      <w:r>
        <w:rPr>
          <w:rFonts w:ascii="Arial" w:cs="Arial" w:eastAsia="Arial" w:hAnsi="Arial"/>
          <w:sz w:val="22"/>
          <w:szCs w:val="22"/>
        </w:rPr>
        <w:t xml:space="preserve">The system must auto-escalate pending approvals to the next level if the SLA (configurable, default 24 hours) is not met.</w:t>
      </w:r>
    </w:p>
    <w:p>
      <w:pPr>
        <w:pStyle w:val="ListParagraph"/>
        <w:numPr>
          <w:ilvl w:val="0"/>
          <w:numId w:val="2"/>
        </w:numPr>
        <w:spacing w:after="40" w:before="40"/>
      </w:pPr>
      <w:r>
        <w:rPr>
          <w:rFonts w:ascii="Arial" w:cs="Arial" w:eastAsia="Arial" w:hAnsi="Arial"/>
          <w:sz w:val="22"/>
          <w:szCs w:val="22"/>
        </w:rPr>
        <w:t xml:space="preserve">Delegation of approval authority must be supported for leave periods.</w:t>
      </w:r>
    </w:p>
    <w:p>
      <w:pPr>
        <w:spacing w:after="0" w:before="80"/>
      </w:pPr>
      <w:r>
        <w:t xml:space="preserve"/>
      </w:r>
    </w:p>
    <w:p>
      <w:pPr>
        <w:pStyle w:val="Heading3"/>
        <w:spacing w:after="80" w:before="200"/>
      </w:pPr>
      <w:r>
        <w:rPr>
          <w:rFonts w:ascii="Arial" w:cs="Arial" w:eastAsia="Arial" w:hAnsi="Arial"/>
          <w:b/>
          <w:bCs/>
          <w:color w:val="1D7874"/>
          <w:sz w:val="24"/>
          <w:szCs w:val="24"/>
        </w:rPr>
        <w:t xml:space="preserve">FR-1.3 Travel Advance Management</w:t>
      </w:r>
    </w:p>
    <w:p>
      <w:pPr>
        <w:pStyle w:val="ListParagraph"/>
        <w:numPr>
          <w:ilvl w:val="0"/>
          <w:numId w:val="2"/>
        </w:numPr>
        <w:spacing w:after="40" w:before="40"/>
      </w:pPr>
      <w:r>
        <w:rPr>
          <w:rFonts w:ascii="Arial" w:cs="Arial" w:eastAsia="Arial" w:hAnsi="Arial"/>
          <w:sz w:val="22"/>
          <w:szCs w:val="22"/>
        </w:rPr>
        <w:t xml:space="preserve">Employees must be able to request a travel advance linked to an approved travel request.</w:t>
      </w:r>
    </w:p>
    <w:p>
      <w:pPr>
        <w:pStyle w:val="ListParagraph"/>
        <w:numPr>
          <w:ilvl w:val="0"/>
          <w:numId w:val="2"/>
        </w:numPr>
        <w:spacing w:after="40" w:before="40"/>
      </w:pPr>
      <w:r>
        <w:rPr>
          <w:rFonts w:ascii="Arial" w:cs="Arial" w:eastAsia="Arial" w:hAnsi="Arial"/>
          <w:sz w:val="22"/>
          <w:szCs w:val="22"/>
        </w:rPr>
        <w:t xml:space="preserve">Advance requests must be routed through Finance approval.</w:t>
      </w:r>
    </w:p>
    <w:p>
      <w:pPr>
        <w:pStyle w:val="ListParagraph"/>
        <w:numPr>
          <w:ilvl w:val="0"/>
          <w:numId w:val="2"/>
        </w:numPr>
        <w:spacing w:after="40" w:before="40"/>
      </w:pPr>
      <w:r>
        <w:rPr>
          <w:rFonts w:ascii="Arial" w:cs="Arial" w:eastAsia="Arial" w:hAnsi="Arial"/>
          <w:sz w:val="22"/>
          <w:szCs w:val="22"/>
        </w:rPr>
        <w:t xml:space="preserve">The system must track advance issuance, outstanding balance, and settlement status.</w:t>
      </w:r>
    </w:p>
    <w:p>
      <w:pPr>
        <w:pStyle w:val="ListParagraph"/>
        <w:numPr>
          <w:ilvl w:val="0"/>
          <w:numId w:val="2"/>
        </w:numPr>
        <w:spacing w:after="40" w:before="40"/>
      </w:pPr>
      <w:r>
        <w:rPr>
          <w:rFonts w:ascii="Arial" w:cs="Arial" w:eastAsia="Arial" w:hAnsi="Arial"/>
          <w:sz w:val="22"/>
          <w:szCs w:val="22"/>
        </w:rPr>
        <w:t xml:space="preserve">Automated reminders must be sent to employees with unsettled advances beyond the configurable grace period (default 30 days after return date).</w:t>
      </w:r>
    </w:p>
    <w:p>
      <w:pPr>
        <w:pStyle w:val="ListParagraph"/>
        <w:numPr>
          <w:ilvl w:val="0"/>
          <w:numId w:val="2"/>
        </w:numPr>
        <w:spacing w:after="40" w:before="40"/>
      </w:pPr>
      <w:r>
        <w:rPr>
          <w:rFonts w:ascii="Arial" w:cs="Arial" w:eastAsia="Arial" w:hAnsi="Arial"/>
          <w:sz w:val="22"/>
          <w:szCs w:val="22"/>
        </w:rPr>
        <w:t xml:space="preserve">Finance must be able to set a maximum advance amount per employee grade/level.</w:t>
      </w:r>
    </w:p>
    <w:p>
      <w:pPr>
        <w:spacing w:after="0" w:before="80"/>
      </w:pPr>
      <w:r>
        <w:t xml:space="preserve"/>
      </w:r>
    </w:p>
    <w:p>
      <w:pPr>
        <w:pStyle w:val="Heading2"/>
        <w:spacing w:after="100" w:before="280"/>
      </w:pPr>
      <w:r>
        <w:rPr>
          <w:rFonts w:ascii="Arial" w:cs="Arial" w:eastAsia="Arial" w:hAnsi="Arial"/>
          <w:b/>
          <w:bCs/>
          <w:color w:val="2E75B6"/>
          <w:sz w:val="26"/>
          <w:szCs w:val="26"/>
        </w:rPr>
        <w:t xml:space="preserve">Module 2: Expense Claim Submission</w:t>
      </w:r>
    </w:p>
    <w:p>
      <w:pPr>
        <w:pStyle w:val="Heading3"/>
        <w:spacing w:after="80" w:before="200"/>
      </w:pPr>
      <w:r>
        <w:rPr>
          <w:rFonts w:ascii="Arial" w:cs="Arial" w:eastAsia="Arial" w:hAnsi="Arial"/>
          <w:b/>
          <w:bCs/>
          <w:color w:val="1D7874"/>
          <w:sz w:val="24"/>
          <w:szCs w:val="24"/>
        </w:rPr>
        <w:t xml:space="preserve">FR-2.1 Expense Report Creation</w:t>
      </w:r>
    </w:p>
    <w:p>
      <w:pPr>
        <w:pStyle w:val="ListParagraph"/>
        <w:numPr>
          <w:ilvl w:val="0"/>
          <w:numId w:val="2"/>
        </w:numPr>
        <w:spacing w:after="40" w:before="40"/>
      </w:pPr>
      <w:r>
        <w:rPr>
          <w:rFonts w:ascii="Arial" w:cs="Arial" w:eastAsia="Arial" w:hAnsi="Arial"/>
          <w:sz w:val="22"/>
          <w:szCs w:val="22"/>
        </w:rPr>
        <w:t xml:space="preserve">Employees must be able to create an expense report and add individual line items.</w:t>
      </w:r>
    </w:p>
    <w:p>
      <w:pPr>
        <w:pStyle w:val="ListParagraph"/>
        <w:numPr>
          <w:ilvl w:val="0"/>
          <w:numId w:val="2"/>
        </w:numPr>
        <w:spacing w:after="40" w:before="40"/>
      </w:pPr>
      <w:r>
        <w:rPr>
          <w:rFonts w:ascii="Arial" w:cs="Arial" w:eastAsia="Arial" w:hAnsi="Arial"/>
          <w:sz w:val="22"/>
          <w:szCs w:val="22"/>
        </w:rPr>
        <w:t xml:space="preserve">Expense categories must include: flights, trains, hotels, local transport, meals, client entertainment, conference fees, communication, and miscellaneous (configurable by admin).</w:t>
      </w:r>
    </w:p>
    <w:p>
      <w:pPr>
        <w:pStyle w:val="ListParagraph"/>
        <w:numPr>
          <w:ilvl w:val="0"/>
          <w:numId w:val="2"/>
        </w:numPr>
        <w:spacing w:after="40" w:before="40"/>
      </w:pPr>
      <w:r>
        <w:rPr>
          <w:rFonts w:ascii="Arial" w:cs="Arial" w:eastAsia="Arial" w:hAnsi="Arial"/>
          <w:sz w:val="22"/>
          <w:szCs w:val="22"/>
        </w:rPr>
        <w:t xml:space="preserve">The system must support multiple currencies with automatic conversion to INR using a configurable exchange rate source.</w:t>
      </w:r>
    </w:p>
    <w:p>
      <w:pPr>
        <w:pStyle w:val="ListParagraph"/>
        <w:numPr>
          <w:ilvl w:val="0"/>
          <w:numId w:val="2"/>
        </w:numPr>
        <w:spacing w:after="40" w:before="40"/>
      </w:pPr>
      <w:r>
        <w:rPr>
          <w:rFonts w:ascii="Arial" w:cs="Arial" w:eastAsia="Arial" w:hAnsi="Arial"/>
          <w:sz w:val="22"/>
          <w:szCs w:val="22"/>
        </w:rPr>
        <w:t xml:space="preserve">Line items must require: date, category, amount, currency, vendor/merchant name, purpose, project code, and cost centre.</w:t>
      </w:r>
    </w:p>
    <w:p>
      <w:pPr>
        <w:pStyle w:val="ListParagraph"/>
        <w:numPr>
          <w:ilvl w:val="0"/>
          <w:numId w:val="2"/>
        </w:numPr>
        <w:spacing w:after="40" w:before="40"/>
      </w:pPr>
      <w:r>
        <w:rPr>
          <w:rFonts w:ascii="Arial" w:cs="Arial" w:eastAsia="Arial" w:hAnsi="Arial"/>
          <w:sz w:val="22"/>
          <w:szCs w:val="22"/>
        </w:rPr>
        <w:t xml:space="preserve">Employees must be able to link an expense report to an approved travel request or submit standalone claims.</w:t>
      </w:r>
    </w:p>
    <w:p>
      <w:pPr>
        <w:spacing w:after="0" w:before="80"/>
      </w:pPr>
      <w:r>
        <w:t xml:space="preserve"/>
      </w:r>
    </w:p>
    <w:p>
      <w:pPr>
        <w:pStyle w:val="Heading3"/>
        <w:spacing w:after="80" w:before="200"/>
      </w:pPr>
      <w:r>
        <w:rPr>
          <w:rFonts w:ascii="Arial" w:cs="Arial" w:eastAsia="Arial" w:hAnsi="Arial"/>
          <w:b/>
          <w:bCs/>
          <w:color w:val="1D7874"/>
          <w:sz w:val="24"/>
          <w:szCs w:val="24"/>
        </w:rPr>
        <w:t xml:space="preserve">FR-2.2 Receipt Capture &amp; OCR</w:t>
      </w:r>
    </w:p>
    <w:p>
      <w:pPr>
        <w:pStyle w:val="ListParagraph"/>
        <w:numPr>
          <w:ilvl w:val="0"/>
          <w:numId w:val="2"/>
        </w:numPr>
        <w:spacing w:after="40" w:before="40"/>
      </w:pPr>
      <w:r>
        <w:rPr>
          <w:rFonts w:ascii="Arial" w:cs="Arial" w:eastAsia="Arial" w:hAnsi="Arial"/>
          <w:sz w:val="22"/>
          <w:szCs w:val="22"/>
        </w:rPr>
        <w:t xml:space="preserve">Employees must be able to photograph receipts directly via the mobile app.</w:t>
      </w:r>
    </w:p>
    <w:p>
      <w:pPr>
        <w:pStyle w:val="ListParagraph"/>
        <w:numPr>
          <w:ilvl w:val="0"/>
          <w:numId w:val="2"/>
        </w:numPr>
        <w:spacing w:after="40" w:before="40"/>
      </w:pPr>
      <w:r>
        <w:rPr>
          <w:rFonts w:ascii="Arial" w:cs="Arial" w:eastAsia="Arial" w:hAnsi="Arial"/>
          <w:sz w:val="22"/>
          <w:szCs w:val="22"/>
        </w:rPr>
        <w:t xml:space="preserve">The system must use OCR to auto-populate date, merchant name, and amount from scanned receipts.</w:t>
      </w:r>
    </w:p>
    <w:p>
      <w:pPr>
        <w:pStyle w:val="ListParagraph"/>
        <w:numPr>
          <w:ilvl w:val="0"/>
          <w:numId w:val="2"/>
        </w:numPr>
        <w:spacing w:after="40" w:before="40"/>
      </w:pPr>
      <w:r>
        <w:rPr>
          <w:rFonts w:ascii="Arial" w:cs="Arial" w:eastAsia="Arial" w:hAnsi="Arial"/>
          <w:sz w:val="22"/>
          <w:szCs w:val="22"/>
        </w:rPr>
        <w:t xml:space="preserve">OCR-extracted values must be editable by the employee before submission.</w:t>
      </w:r>
    </w:p>
    <w:p>
      <w:pPr>
        <w:pStyle w:val="ListParagraph"/>
        <w:numPr>
          <w:ilvl w:val="0"/>
          <w:numId w:val="2"/>
        </w:numPr>
        <w:spacing w:after="40" w:before="40"/>
      </w:pPr>
      <w:r>
        <w:rPr>
          <w:rFonts w:ascii="Arial" w:cs="Arial" w:eastAsia="Arial" w:hAnsi="Arial"/>
          <w:sz w:val="22"/>
          <w:szCs w:val="22"/>
        </w:rPr>
        <w:t xml:space="preserve">The system must support JPG, PNG, and PDF receipt formats.</w:t>
      </w:r>
    </w:p>
    <w:p>
      <w:pPr>
        <w:pStyle w:val="ListParagraph"/>
        <w:numPr>
          <w:ilvl w:val="0"/>
          <w:numId w:val="2"/>
        </w:numPr>
        <w:spacing w:after="40" w:before="40"/>
      </w:pPr>
      <w:r>
        <w:rPr>
          <w:rFonts w:ascii="Arial" w:cs="Arial" w:eastAsia="Arial" w:hAnsi="Arial"/>
          <w:sz w:val="22"/>
          <w:szCs w:val="22"/>
        </w:rPr>
        <w:t xml:space="preserve">The system must warn the employee if a submitted expense lacks a receipt (for claims above the configurable no-receipt threshold, default ₹500).</w:t>
      </w:r>
    </w:p>
    <w:p>
      <w:pPr>
        <w:spacing w:after="0" w:before="80"/>
      </w:pPr>
      <w:r>
        <w:t xml:space="preserve"/>
      </w:r>
    </w:p>
    <w:p>
      <w:pPr>
        <w:pStyle w:val="Heading3"/>
        <w:spacing w:after="80" w:before="200"/>
      </w:pPr>
      <w:r>
        <w:rPr>
          <w:rFonts w:ascii="Arial" w:cs="Arial" w:eastAsia="Arial" w:hAnsi="Arial"/>
          <w:b/>
          <w:bCs/>
          <w:color w:val="1D7874"/>
          <w:sz w:val="24"/>
          <w:szCs w:val="24"/>
        </w:rPr>
        <w:t xml:space="preserve">FR-2.3 Policy Validation Engine</w:t>
      </w:r>
    </w:p>
    <w:p>
      <w:pPr>
        <w:pStyle w:val="ListParagraph"/>
        <w:numPr>
          <w:ilvl w:val="0"/>
          <w:numId w:val="2"/>
        </w:numPr>
        <w:spacing w:after="40" w:before="40"/>
      </w:pPr>
      <w:r>
        <w:rPr>
          <w:rFonts w:ascii="Arial" w:cs="Arial" w:eastAsia="Arial" w:hAnsi="Arial"/>
          <w:sz w:val="22"/>
          <w:szCs w:val="22"/>
        </w:rPr>
        <w:t xml:space="preserve">The system must automatically validate each expense line item against the configured policy matrix at the time of submission.</w:t>
      </w:r>
    </w:p>
    <w:p>
      <w:pPr>
        <w:pStyle w:val="ListParagraph"/>
        <w:numPr>
          <w:ilvl w:val="0"/>
          <w:numId w:val="2"/>
        </w:numPr>
        <w:spacing w:after="40" w:before="40"/>
      </w:pPr>
      <w:r>
        <w:rPr>
          <w:rFonts w:ascii="Arial" w:cs="Arial" w:eastAsia="Arial" w:hAnsi="Arial"/>
          <w:sz w:val="22"/>
          <w:szCs w:val="22"/>
        </w:rPr>
        <w:t xml:space="preserve">Policy rules must include: per-diem limits by city/grade, category spending caps, non-reimbursable categories, receipt thresholds, and advance utilisation rules.</w:t>
      </w:r>
    </w:p>
    <w:p>
      <w:pPr>
        <w:pStyle w:val="ListParagraph"/>
        <w:numPr>
          <w:ilvl w:val="0"/>
          <w:numId w:val="2"/>
        </w:numPr>
        <w:spacing w:after="40" w:before="40"/>
      </w:pPr>
      <w:r>
        <w:rPr>
          <w:rFonts w:ascii="Arial" w:cs="Arial" w:eastAsia="Arial" w:hAnsi="Arial"/>
          <w:sz w:val="22"/>
          <w:szCs w:val="22"/>
        </w:rPr>
        <w:t xml:space="preserve">Policy violations must be flagged with a clear reason and allow the employee to either correct the entry or submit with a justification (configurable per violation type).</w:t>
      </w:r>
    </w:p>
    <w:p>
      <w:pPr>
        <w:pStyle w:val="ListParagraph"/>
        <w:numPr>
          <w:ilvl w:val="0"/>
          <w:numId w:val="2"/>
        </w:numPr>
        <w:spacing w:after="40" w:before="40"/>
      </w:pPr>
      <w:r>
        <w:rPr>
          <w:rFonts w:ascii="Arial" w:cs="Arial" w:eastAsia="Arial" w:hAnsi="Arial"/>
          <w:sz w:val="22"/>
          <w:szCs w:val="22"/>
        </w:rPr>
        <w:t xml:space="preserve">The system must detect duplicate claims (same date, same vendor, same amount within the last 90 days) and block submission with an alert.</w:t>
      </w:r>
    </w:p>
    <w:p>
      <w:pPr>
        <w:pStyle w:val="ListParagraph"/>
        <w:numPr>
          <w:ilvl w:val="0"/>
          <w:numId w:val="2"/>
        </w:numPr>
        <w:spacing w:after="40" w:before="40"/>
      </w:pPr>
      <w:r>
        <w:rPr>
          <w:rFonts w:ascii="Arial" w:cs="Arial" w:eastAsia="Arial" w:hAnsi="Arial"/>
          <w:sz w:val="22"/>
          <w:szCs w:val="22"/>
        </w:rPr>
        <w:t xml:space="preserve">Admins must be able to update policy rules via the admin console without a code release.</w:t>
      </w:r>
    </w:p>
    <w:p>
      <w:pPr>
        <w:spacing w:after="0" w:before="80"/>
      </w:pPr>
      <w:r>
        <w:t xml:space="preserve"/>
      </w:r>
    </w:p>
    <w:p>
      <w:pPr>
        <w:pStyle w:val="Heading3"/>
        <w:spacing w:after="80" w:before="200"/>
      </w:pPr>
      <w:r>
        <w:rPr>
          <w:rFonts w:ascii="Arial" w:cs="Arial" w:eastAsia="Arial" w:hAnsi="Arial"/>
          <w:b/>
          <w:bCs/>
          <w:color w:val="1D7874"/>
          <w:sz w:val="24"/>
          <w:szCs w:val="24"/>
        </w:rPr>
        <w:t xml:space="preserve">FR-2.4 Expense Claim Approval Workflow</w:t>
      </w:r>
    </w:p>
    <w:p>
      <w:pPr>
        <w:pStyle w:val="ListParagraph"/>
        <w:numPr>
          <w:ilvl w:val="0"/>
          <w:numId w:val="2"/>
        </w:numPr>
        <w:spacing w:after="40" w:before="40"/>
      </w:pPr>
      <w:r>
        <w:rPr>
          <w:rFonts w:ascii="Arial" w:cs="Arial" w:eastAsia="Arial" w:hAnsi="Arial"/>
          <w:sz w:val="22"/>
          <w:szCs w:val="22"/>
        </w:rPr>
        <w:t xml:space="preserve">Approved expense claims must follow a configurable approval chain (Line Manager → Finance Reviewer → Finance Controller for high-value claims).</w:t>
      </w:r>
    </w:p>
    <w:p>
      <w:pPr>
        <w:pStyle w:val="ListParagraph"/>
        <w:numPr>
          <w:ilvl w:val="0"/>
          <w:numId w:val="2"/>
        </w:numPr>
        <w:spacing w:after="40" w:before="40"/>
      </w:pPr>
      <w:r>
        <w:rPr>
          <w:rFonts w:ascii="Arial" w:cs="Arial" w:eastAsia="Arial" w:hAnsi="Arial"/>
          <w:sz w:val="22"/>
          <w:szCs w:val="22"/>
        </w:rPr>
        <w:t xml:space="preserve">Approvers must see the full expense report with policy violation flags, receipt thumbnails, and budget impact before acting.</w:t>
      </w:r>
    </w:p>
    <w:p>
      <w:pPr>
        <w:pStyle w:val="ListParagraph"/>
        <w:numPr>
          <w:ilvl w:val="0"/>
          <w:numId w:val="2"/>
        </w:numPr>
        <w:spacing w:after="40" w:before="40"/>
      </w:pPr>
      <w:r>
        <w:rPr>
          <w:rFonts w:ascii="Arial" w:cs="Arial" w:eastAsia="Arial" w:hAnsi="Arial"/>
          <w:sz w:val="22"/>
          <w:szCs w:val="22"/>
        </w:rPr>
        <w:t xml:space="preserve">Finance Reviewers must be able to approve, reject, partially approve, or query individual line items.</w:t>
      </w:r>
    </w:p>
    <w:p>
      <w:pPr>
        <w:pStyle w:val="ListParagraph"/>
        <w:numPr>
          <w:ilvl w:val="0"/>
          <w:numId w:val="2"/>
        </w:numPr>
        <w:spacing w:after="40" w:before="40"/>
      </w:pPr>
      <w:r>
        <w:rPr>
          <w:rFonts w:ascii="Arial" w:cs="Arial" w:eastAsia="Arial" w:hAnsi="Arial"/>
          <w:sz w:val="22"/>
          <w:szCs w:val="22"/>
        </w:rPr>
        <w:t xml:space="preserve">Rejected or queried claims must be returned to the employee with mandatory comments.</w:t>
      </w:r>
    </w:p>
    <w:p>
      <w:pPr>
        <w:pStyle w:val="ListParagraph"/>
        <w:numPr>
          <w:ilvl w:val="0"/>
          <w:numId w:val="2"/>
        </w:numPr>
        <w:spacing w:after="40" w:before="40"/>
      </w:pPr>
      <w:r>
        <w:rPr>
          <w:rFonts w:ascii="Arial" w:cs="Arial" w:eastAsia="Arial" w:hAnsi="Arial"/>
          <w:sz w:val="22"/>
          <w:szCs w:val="22"/>
        </w:rPr>
        <w:t xml:space="preserve">Approved claims must be automatically queued for payroll/reimbursement processing.</w:t>
      </w:r>
    </w:p>
    <w:p>
      <w:pPr>
        <w:spacing w:after="0" w:before="80"/>
      </w:pPr>
      <w:r>
        <w:t xml:space="preserve"/>
      </w:r>
    </w:p>
    <w:p>
      <w:pPr>
        <w:pStyle w:val="Heading2"/>
        <w:spacing w:after="100" w:before="280"/>
      </w:pPr>
      <w:r>
        <w:rPr>
          <w:rFonts w:ascii="Arial" w:cs="Arial" w:eastAsia="Arial" w:hAnsi="Arial"/>
          <w:b/>
          <w:bCs/>
          <w:color w:val="2E75B6"/>
          <w:sz w:val="26"/>
          <w:szCs w:val="26"/>
        </w:rPr>
        <w:t xml:space="preserve">Module 3: Reimbursement Processing</w:t>
      </w:r>
    </w:p>
    <w:p>
      <w:pPr>
        <w:pStyle w:val="Heading3"/>
        <w:spacing w:after="80" w:before="200"/>
      </w:pPr>
      <w:r>
        <w:rPr>
          <w:rFonts w:ascii="Arial" w:cs="Arial" w:eastAsia="Arial" w:hAnsi="Arial"/>
          <w:b/>
          <w:bCs/>
          <w:color w:val="1D7874"/>
          <w:sz w:val="24"/>
          <w:szCs w:val="24"/>
        </w:rPr>
        <w:t xml:space="preserve">FR-3.1 Reimbursement Workflow</w:t>
      </w:r>
    </w:p>
    <w:p>
      <w:pPr>
        <w:pStyle w:val="ListParagraph"/>
        <w:numPr>
          <w:ilvl w:val="0"/>
          <w:numId w:val="2"/>
        </w:numPr>
        <w:spacing w:after="40" w:before="40"/>
      </w:pPr>
      <w:r>
        <w:rPr>
          <w:rFonts w:ascii="Arial" w:cs="Arial" w:eastAsia="Arial" w:hAnsi="Arial"/>
          <w:sz w:val="22"/>
          <w:szCs w:val="22"/>
        </w:rPr>
        <w:t xml:space="preserve">Approved expense claims must be automatically queued for reimbursement processing without manual re-entry.</w:t>
      </w:r>
    </w:p>
    <w:p>
      <w:pPr>
        <w:pStyle w:val="ListParagraph"/>
        <w:numPr>
          <w:ilvl w:val="0"/>
          <w:numId w:val="2"/>
        </w:numPr>
        <w:spacing w:after="40" w:before="40"/>
      </w:pPr>
      <w:r>
        <w:rPr>
          <w:rFonts w:ascii="Arial" w:cs="Arial" w:eastAsia="Arial" w:hAnsi="Arial"/>
          <w:sz w:val="22"/>
          <w:szCs w:val="22"/>
        </w:rPr>
        <w:t xml:space="preserve">The system must integrate with the payroll system to process reimbursements in the next payroll cycle or via out-of-cycle bank transfer (Finance-configurable).</w:t>
      </w:r>
    </w:p>
    <w:p>
      <w:pPr>
        <w:pStyle w:val="ListParagraph"/>
        <w:numPr>
          <w:ilvl w:val="0"/>
          <w:numId w:val="2"/>
        </w:numPr>
        <w:spacing w:after="40" w:before="40"/>
      </w:pPr>
      <w:r>
        <w:rPr>
          <w:rFonts w:ascii="Arial" w:cs="Arial" w:eastAsia="Arial" w:hAnsi="Arial"/>
          <w:sz w:val="22"/>
          <w:szCs w:val="22"/>
        </w:rPr>
        <w:t xml:space="preserve">Employees must receive a notification when their reimbursement is processed, including the amount and expected credit date.</w:t>
      </w:r>
    </w:p>
    <w:p>
      <w:pPr>
        <w:pStyle w:val="ListParagraph"/>
        <w:numPr>
          <w:ilvl w:val="0"/>
          <w:numId w:val="2"/>
        </w:numPr>
        <w:spacing w:after="40" w:before="40"/>
      </w:pPr>
      <w:r>
        <w:rPr>
          <w:rFonts w:ascii="Arial" w:cs="Arial" w:eastAsia="Arial" w:hAnsi="Arial"/>
          <w:sz w:val="22"/>
          <w:szCs w:val="22"/>
        </w:rPr>
        <w:t xml:space="preserve">Finance must be able to place individual claims on hold pending further review without blocking other claims from the same employee.</w:t>
      </w:r>
    </w:p>
    <w:p>
      <w:pPr>
        <w:spacing w:after="0" w:before="80"/>
      </w:pPr>
      <w:r>
        <w:t xml:space="preserve"/>
      </w:r>
    </w:p>
    <w:p>
      <w:pPr>
        <w:pStyle w:val="Heading3"/>
        <w:spacing w:after="80" w:before="200"/>
      </w:pPr>
      <w:r>
        <w:rPr>
          <w:rFonts w:ascii="Arial" w:cs="Arial" w:eastAsia="Arial" w:hAnsi="Arial"/>
          <w:b/>
          <w:bCs/>
          <w:color w:val="1D7874"/>
          <w:sz w:val="24"/>
          <w:szCs w:val="24"/>
        </w:rPr>
        <w:t xml:space="preserve">FR-3.2 Advance Settlement</w:t>
      </w:r>
    </w:p>
    <w:p>
      <w:pPr>
        <w:pStyle w:val="ListParagraph"/>
        <w:numPr>
          <w:ilvl w:val="0"/>
          <w:numId w:val="2"/>
        </w:numPr>
        <w:spacing w:after="40" w:before="40"/>
      </w:pPr>
      <w:r>
        <w:rPr>
          <w:rFonts w:ascii="Arial" w:cs="Arial" w:eastAsia="Arial" w:hAnsi="Arial"/>
          <w:sz w:val="22"/>
          <w:szCs w:val="22"/>
        </w:rPr>
        <w:t xml:space="preserve">When a reimbursement is processed for a trip that had an advance, the system must automatically net off the advance balance.</w:t>
      </w:r>
    </w:p>
    <w:p>
      <w:pPr>
        <w:pStyle w:val="ListParagraph"/>
        <w:numPr>
          <w:ilvl w:val="0"/>
          <w:numId w:val="2"/>
        </w:numPr>
        <w:spacing w:after="40" w:before="40"/>
      </w:pPr>
      <w:r>
        <w:rPr>
          <w:rFonts w:ascii="Arial" w:cs="Arial" w:eastAsia="Arial" w:hAnsi="Arial"/>
          <w:sz w:val="22"/>
          <w:szCs w:val="22"/>
        </w:rPr>
        <w:t xml:space="preserve">If actual expenses are less than the advance, the system must generate a recovery request for the surplus amount.</w:t>
      </w:r>
    </w:p>
    <w:p>
      <w:pPr>
        <w:pStyle w:val="ListParagraph"/>
        <w:numPr>
          <w:ilvl w:val="0"/>
          <w:numId w:val="2"/>
        </w:numPr>
        <w:spacing w:after="40" w:before="40"/>
      </w:pPr>
      <w:r>
        <w:rPr>
          <w:rFonts w:ascii="Arial" w:cs="Arial" w:eastAsia="Arial" w:hAnsi="Arial"/>
          <w:sz w:val="22"/>
          <w:szCs w:val="22"/>
        </w:rPr>
        <w:t xml:space="preserve">If actual expenses exceed the advance, the system must calculate the net payable to the employee.</w:t>
      </w:r>
    </w:p>
    <w:p>
      <w:pPr>
        <w:spacing w:after="0" w:before="80"/>
      </w:pPr>
      <w:r>
        <w:t xml:space="preserve"/>
      </w:r>
    </w:p>
    <w:p>
      <w:pPr>
        <w:pStyle w:val="Heading2"/>
        <w:spacing w:after="100" w:before="280"/>
      </w:pPr>
      <w:r>
        <w:rPr>
          <w:rFonts w:ascii="Arial" w:cs="Arial" w:eastAsia="Arial" w:hAnsi="Arial"/>
          <w:b/>
          <w:bCs/>
          <w:color w:val="2E75B6"/>
          <w:sz w:val="26"/>
          <w:szCs w:val="26"/>
        </w:rPr>
        <w:t xml:space="preserve">Module 4: Administration &amp; Policy Configuration</w:t>
      </w:r>
    </w:p>
    <w:p>
      <w:pPr>
        <w:pStyle w:val="Heading3"/>
        <w:spacing w:after="80" w:before="200"/>
      </w:pPr>
      <w:r>
        <w:rPr>
          <w:rFonts w:ascii="Arial" w:cs="Arial" w:eastAsia="Arial" w:hAnsi="Arial"/>
          <w:b/>
          <w:bCs/>
          <w:color w:val="1D7874"/>
          <w:sz w:val="24"/>
          <w:szCs w:val="24"/>
        </w:rPr>
        <w:t xml:space="preserve">FR-4.1 Policy Management Console</w:t>
      </w:r>
    </w:p>
    <w:p>
      <w:pPr>
        <w:pStyle w:val="ListParagraph"/>
        <w:numPr>
          <w:ilvl w:val="0"/>
          <w:numId w:val="2"/>
        </w:numPr>
        <w:spacing w:after="40" w:before="40"/>
      </w:pPr>
      <w:r>
        <w:rPr>
          <w:rFonts w:ascii="Arial" w:cs="Arial" w:eastAsia="Arial" w:hAnsi="Arial"/>
          <w:sz w:val="22"/>
          <w:szCs w:val="22"/>
        </w:rPr>
        <w:t xml:space="preserve">Authorised administrators must be able to configure and update T&amp;E policies via a web-based admin console.</w:t>
      </w:r>
    </w:p>
    <w:p>
      <w:pPr>
        <w:pStyle w:val="ListParagraph"/>
        <w:numPr>
          <w:ilvl w:val="0"/>
          <w:numId w:val="2"/>
        </w:numPr>
        <w:spacing w:after="40" w:before="40"/>
      </w:pPr>
      <w:r>
        <w:rPr>
          <w:rFonts w:ascii="Arial" w:cs="Arial" w:eastAsia="Arial" w:hAnsi="Arial"/>
          <w:sz w:val="22"/>
          <w:szCs w:val="22"/>
        </w:rPr>
        <w:t xml:space="preserve">Configurable parameters must include: per-diem rates by city tier and employee grade, hotel caps, meal limits, category caps, non-reimbursable item list, advance limits, receipt thresholds, and claim submission window.</w:t>
      </w:r>
    </w:p>
    <w:p>
      <w:pPr>
        <w:pStyle w:val="ListParagraph"/>
        <w:numPr>
          <w:ilvl w:val="0"/>
          <w:numId w:val="2"/>
        </w:numPr>
        <w:spacing w:after="40" w:before="40"/>
      </w:pPr>
      <w:r>
        <w:rPr>
          <w:rFonts w:ascii="Arial" w:cs="Arial" w:eastAsia="Arial" w:hAnsi="Arial"/>
          <w:sz w:val="22"/>
          <w:szCs w:val="22"/>
        </w:rPr>
        <w:t xml:space="preserve">Policy changes must be versioned with an effective date, and historical claims evaluated against the policy in effect at the time of travel.</w:t>
      </w:r>
    </w:p>
    <w:p>
      <w:pPr>
        <w:spacing w:after="0" w:before="80"/>
      </w:pPr>
      <w:r>
        <w:t xml:space="preserve"/>
      </w:r>
    </w:p>
    <w:p>
      <w:pPr>
        <w:pStyle w:val="Heading3"/>
        <w:spacing w:after="80" w:before="200"/>
      </w:pPr>
      <w:r>
        <w:rPr>
          <w:rFonts w:ascii="Arial" w:cs="Arial" w:eastAsia="Arial" w:hAnsi="Arial"/>
          <w:b/>
          <w:bCs/>
          <w:color w:val="1D7874"/>
          <w:sz w:val="24"/>
          <w:szCs w:val="24"/>
        </w:rPr>
        <w:t xml:space="preserve">FR-4.2 User &amp; Role Management</w:t>
      </w:r>
    </w:p>
    <w:p>
      <w:pPr>
        <w:pStyle w:val="ListParagraph"/>
        <w:numPr>
          <w:ilvl w:val="0"/>
          <w:numId w:val="2"/>
        </w:numPr>
        <w:spacing w:after="40" w:before="40"/>
      </w:pPr>
      <w:r>
        <w:rPr>
          <w:rFonts w:ascii="Arial" w:cs="Arial" w:eastAsia="Arial" w:hAnsi="Arial"/>
          <w:sz w:val="22"/>
          <w:szCs w:val="22"/>
        </w:rPr>
        <w:t xml:space="preserve">The system must support role-based access control (RBAC) with the following standard roles: Employee, Line Manager/Approver, Finance Reviewer, Finance Controller, HR Admin, System Admin, Audit/Read-Only.</w:t>
      </w:r>
    </w:p>
    <w:p>
      <w:pPr>
        <w:pStyle w:val="ListParagraph"/>
        <w:numPr>
          <w:ilvl w:val="0"/>
          <w:numId w:val="2"/>
        </w:numPr>
        <w:spacing w:after="40" w:before="40"/>
      </w:pPr>
      <w:r>
        <w:rPr>
          <w:rFonts w:ascii="Arial" w:cs="Arial" w:eastAsia="Arial" w:hAnsi="Arial"/>
          <w:sz w:val="22"/>
          <w:szCs w:val="22"/>
        </w:rPr>
        <w:t xml:space="preserve">Roles must be assignable per user and must sync from the HRMS integration on a configurable schedule.</w:t>
      </w:r>
    </w:p>
    <w:p>
      <w:pPr>
        <w:pStyle w:val="ListParagraph"/>
        <w:numPr>
          <w:ilvl w:val="0"/>
          <w:numId w:val="2"/>
        </w:numPr>
        <w:spacing w:after="40" w:before="40"/>
      </w:pPr>
      <w:r>
        <w:rPr>
          <w:rFonts w:ascii="Arial" w:cs="Arial" w:eastAsia="Arial" w:hAnsi="Arial"/>
          <w:sz w:val="22"/>
          <w:szCs w:val="22"/>
        </w:rPr>
        <w:t xml:space="preserve">The system must support delegation of approval authority with a defined delegation period.</w:t>
      </w:r>
    </w:p>
    <w:p>
      <w:pPr>
        <w:spacing w:after="0" w:before="80"/>
      </w:pPr>
      <w:r>
        <w:t xml:space="preserve"/>
      </w:r>
    </w:p>
    <w:p>
      <w:pPr>
        <w:pStyle w:val="Heading3"/>
        <w:spacing w:after="80" w:before="200"/>
      </w:pPr>
      <w:r>
        <w:rPr>
          <w:rFonts w:ascii="Arial" w:cs="Arial" w:eastAsia="Arial" w:hAnsi="Arial"/>
          <w:b/>
          <w:bCs/>
          <w:color w:val="1D7874"/>
          <w:sz w:val="24"/>
          <w:szCs w:val="24"/>
        </w:rPr>
        <w:t xml:space="preserve">FR-4.3 Cost Centre &amp; Budget Management</w:t>
      </w:r>
    </w:p>
    <w:p>
      <w:pPr>
        <w:pStyle w:val="ListParagraph"/>
        <w:numPr>
          <w:ilvl w:val="0"/>
          <w:numId w:val="2"/>
        </w:numPr>
        <w:spacing w:after="40" w:before="40"/>
      </w:pPr>
      <w:r>
        <w:rPr>
          <w:rFonts w:ascii="Arial" w:cs="Arial" w:eastAsia="Arial" w:hAnsi="Arial"/>
          <w:sz w:val="22"/>
          <w:szCs w:val="22"/>
        </w:rPr>
        <w:t xml:space="preserve">The system must maintain a cost centre hierarchy synced from the ERP.</w:t>
      </w:r>
    </w:p>
    <w:p>
      <w:pPr>
        <w:pStyle w:val="ListParagraph"/>
        <w:numPr>
          <w:ilvl w:val="0"/>
          <w:numId w:val="2"/>
        </w:numPr>
        <w:spacing w:after="40" w:before="40"/>
      </w:pPr>
      <w:r>
        <w:rPr>
          <w:rFonts w:ascii="Arial" w:cs="Arial" w:eastAsia="Arial" w:hAnsi="Arial"/>
          <w:sz w:val="22"/>
          <w:szCs w:val="22"/>
        </w:rPr>
        <w:t xml:space="preserve">Budget allocations for each cost centre must be configurable per fiscal period.</w:t>
      </w:r>
    </w:p>
    <w:p>
      <w:pPr>
        <w:pStyle w:val="ListParagraph"/>
        <w:numPr>
          <w:ilvl w:val="0"/>
          <w:numId w:val="2"/>
        </w:numPr>
        <w:spacing w:after="40" w:before="40"/>
      </w:pPr>
      <w:r>
        <w:rPr>
          <w:rFonts w:ascii="Arial" w:cs="Arial" w:eastAsia="Arial" w:hAnsi="Arial"/>
          <w:sz w:val="22"/>
          <w:szCs w:val="22"/>
        </w:rPr>
        <w:t xml:space="preserve">The system must provide real-time budget utilisation alerts when spend reaches configurable thresholds (e.g., 75%, 90%, 100% of budget).</w:t>
      </w:r>
    </w:p>
    <w:p>
      <w:pPr>
        <w:spacing w:after="0" w:before="80"/>
      </w:pPr>
      <w:r>
        <w:t xml:space="preserve"/>
      </w:r>
    </w:p>
    <w:p>
      <w:pPr>
        <w:pStyle w:val="Heading2"/>
        <w:spacing w:after="100" w:before="280"/>
      </w:pPr>
      <w:r>
        <w:rPr>
          <w:rFonts w:ascii="Arial" w:cs="Arial" w:eastAsia="Arial" w:hAnsi="Arial"/>
          <w:b/>
          <w:bCs/>
          <w:color w:val="2E75B6"/>
          <w:sz w:val="26"/>
          <w:szCs w:val="26"/>
        </w:rPr>
        <w:t xml:space="preserve">Module 5: Reporting &amp; Analytics</w:t>
      </w:r>
    </w:p>
    <w:p>
      <w:pPr>
        <w:pStyle w:val="Heading3"/>
        <w:spacing w:after="80" w:before="200"/>
      </w:pPr>
      <w:r>
        <w:rPr>
          <w:rFonts w:ascii="Arial" w:cs="Arial" w:eastAsia="Arial" w:hAnsi="Arial"/>
          <w:b/>
          <w:bCs/>
          <w:color w:val="1D7874"/>
          <w:sz w:val="24"/>
          <w:szCs w:val="24"/>
        </w:rPr>
        <w:t xml:space="preserve">FR-5.1 Management Dashboard</w:t>
      </w:r>
    </w:p>
    <w:p>
      <w:pPr>
        <w:pStyle w:val="ListParagraph"/>
        <w:numPr>
          <w:ilvl w:val="0"/>
          <w:numId w:val="2"/>
        </w:numPr>
        <w:spacing w:after="40" w:before="40"/>
      </w:pPr>
      <w:r>
        <w:rPr>
          <w:rFonts w:ascii="Arial" w:cs="Arial" w:eastAsia="Arial" w:hAnsi="Arial"/>
          <w:sz w:val="22"/>
          <w:szCs w:val="22"/>
        </w:rPr>
        <w:t xml:space="preserve">A real-time dashboard must display: total T&amp;E spend vs budget, spend by department/cost centre/category, pending approval queue size, out-of-policy claim volume and value, and top spenders.</w:t>
      </w:r>
    </w:p>
    <w:p>
      <w:pPr>
        <w:pStyle w:val="ListParagraph"/>
        <w:numPr>
          <w:ilvl w:val="0"/>
          <w:numId w:val="2"/>
        </w:numPr>
        <w:spacing w:after="40" w:before="40"/>
      </w:pPr>
      <w:r>
        <w:rPr>
          <w:rFonts w:ascii="Arial" w:cs="Arial" w:eastAsia="Arial" w:hAnsi="Arial"/>
          <w:sz w:val="22"/>
          <w:szCs w:val="22"/>
        </w:rPr>
        <w:t xml:space="preserve">Finance Controllers and above must have access to the full organisation dashboard.</w:t>
      </w:r>
    </w:p>
    <w:p>
      <w:pPr>
        <w:pStyle w:val="ListParagraph"/>
        <w:numPr>
          <w:ilvl w:val="0"/>
          <w:numId w:val="2"/>
        </w:numPr>
        <w:spacing w:after="40" w:before="40"/>
      </w:pPr>
      <w:r>
        <w:rPr>
          <w:rFonts w:ascii="Arial" w:cs="Arial" w:eastAsia="Arial" w:hAnsi="Arial"/>
          <w:sz w:val="22"/>
          <w:szCs w:val="22"/>
        </w:rPr>
        <w:t xml:space="preserve">Department Heads must have access to a department-scoped dashboard.</w:t>
      </w:r>
    </w:p>
    <w:p>
      <w:pPr>
        <w:pStyle w:val="ListParagraph"/>
        <w:numPr>
          <w:ilvl w:val="0"/>
          <w:numId w:val="2"/>
        </w:numPr>
        <w:spacing w:after="40" w:before="40"/>
      </w:pPr>
      <w:r>
        <w:rPr>
          <w:rFonts w:ascii="Arial" w:cs="Arial" w:eastAsia="Arial" w:hAnsi="Arial"/>
          <w:sz w:val="22"/>
          <w:szCs w:val="22"/>
        </w:rPr>
        <w:t xml:space="preserve">All dashboard data must reflect the current state with no more than a 15-minute refresh lag.</w:t>
      </w:r>
    </w:p>
    <w:p>
      <w:pPr>
        <w:spacing w:after="0" w:before="80"/>
      </w:pPr>
      <w:r>
        <w:t xml:space="preserve"/>
      </w:r>
    </w:p>
    <w:p>
      <w:pPr>
        <w:pStyle w:val="Heading3"/>
        <w:spacing w:after="80" w:before="200"/>
      </w:pPr>
      <w:r>
        <w:rPr>
          <w:rFonts w:ascii="Arial" w:cs="Arial" w:eastAsia="Arial" w:hAnsi="Arial"/>
          <w:b/>
          <w:bCs/>
          <w:color w:val="1D7874"/>
          <w:sz w:val="24"/>
          <w:szCs w:val="24"/>
        </w:rPr>
        <w:t xml:space="preserve">FR-5.2 Standard Reports</w:t>
      </w:r>
    </w:p>
    <w:p>
      <w:pPr>
        <w:pStyle w:val="ListParagraph"/>
        <w:numPr>
          <w:ilvl w:val="0"/>
          <w:numId w:val="2"/>
        </w:numPr>
        <w:spacing w:after="40" w:before="40"/>
      </w:pPr>
      <w:r>
        <w:rPr>
          <w:rFonts w:ascii="Arial" w:cs="Arial" w:eastAsia="Arial" w:hAnsi="Arial"/>
          <w:sz w:val="22"/>
          <w:szCs w:val="22"/>
        </w:rPr>
        <w:t xml:space="preserve">The system must provide pre-built reports including: Expense Claim Status Report, Policy Violation Report, Advance Settlement Report, Reimbursement Register, Budget Utilisation Report, Vendor Analysis Report, Carbon Emission Report, and Preferred Vendor Utilisation Report.</w:t>
      </w:r>
    </w:p>
    <w:p>
      <w:pPr>
        <w:pStyle w:val="ListParagraph"/>
        <w:numPr>
          <w:ilvl w:val="0"/>
          <w:numId w:val="2"/>
        </w:numPr>
        <w:spacing w:after="40" w:before="40"/>
      </w:pPr>
      <w:r>
        <w:rPr>
          <w:rFonts w:ascii="Arial" w:cs="Arial" w:eastAsia="Arial" w:hAnsi="Arial"/>
          <w:sz w:val="22"/>
          <w:szCs w:val="22"/>
        </w:rPr>
        <w:t xml:space="preserve">All reports must be exportable to Excel (.xlsx) and PDF formats.</w:t>
      </w:r>
    </w:p>
    <w:p>
      <w:pPr>
        <w:pStyle w:val="ListParagraph"/>
        <w:numPr>
          <w:ilvl w:val="0"/>
          <w:numId w:val="2"/>
        </w:numPr>
        <w:spacing w:after="40" w:before="40"/>
      </w:pPr>
      <w:r>
        <w:rPr>
          <w:rFonts w:ascii="Arial" w:cs="Arial" w:eastAsia="Arial" w:hAnsi="Arial"/>
          <w:sz w:val="22"/>
          <w:szCs w:val="22"/>
        </w:rPr>
        <w:t xml:space="preserve">Reports must be schedulable for automated email delivery to defined recipients.</w:t>
      </w:r>
    </w:p>
    <w:p>
      <w:pPr>
        <w:spacing w:after="0" w:before="80"/>
      </w:pPr>
      <w:r>
        <w:t xml:space="preserve"/>
      </w:r>
    </w:p>
    <w:p>
      <w:pPr>
        <w:pStyle w:val="Heading3"/>
        <w:spacing w:after="80" w:before="200"/>
      </w:pPr>
      <w:r>
        <w:rPr>
          <w:rFonts w:ascii="Arial" w:cs="Arial" w:eastAsia="Arial" w:hAnsi="Arial"/>
          <w:b/>
          <w:bCs/>
          <w:color w:val="1D7874"/>
          <w:sz w:val="24"/>
          <w:szCs w:val="24"/>
        </w:rPr>
        <w:t xml:space="preserve">FR-5.3 Audit &amp; Compliance Reports</w:t>
      </w:r>
    </w:p>
    <w:p>
      <w:pPr>
        <w:pStyle w:val="ListParagraph"/>
        <w:numPr>
          <w:ilvl w:val="0"/>
          <w:numId w:val="2"/>
        </w:numPr>
        <w:spacing w:after="40" w:before="40"/>
      </w:pPr>
      <w:r>
        <w:rPr>
          <w:rFonts w:ascii="Arial" w:cs="Arial" w:eastAsia="Arial" w:hAnsi="Arial"/>
          <w:sz w:val="22"/>
          <w:szCs w:val="22"/>
        </w:rPr>
        <w:t xml:space="preserve">An Audit Trail Report must be available showing every action taken on every transaction (submission, edit, approval, rejection, payment) with timestamp and user identity.</w:t>
      </w:r>
    </w:p>
    <w:p>
      <w:pPr>
        <w:pStyle w:val="ListParagraph"/>
        <w:numPr>
          <w:ilvl w:val="0"/>
          <w:numId w:val="2"/>
        </w:numPr>
        <w:spacing w:after="40" w:before="40"/>
      </w:pPr>
      <w:r>
        <w:rPr>
          <w:rFonts w:ascii="Arial" w:cs="Arial" w:eastAsia="Arial" w:hAnsi="Arial"/>
          <w:sz w:val="22"/>
          <w:szCs w:val="22"/>
        </w:rPr>
        <w:t xml:space="preserve">The audit trail must be immutable and retained for a minimum of 7 years in line with statutory requirements.</w:t>
      </w:r>
    </w:p>
    <w:p>
      <w:pPr>
        <w:pStyle w:val="ListParagraph"/>
        <w:numPr>
          <w:ilvl w:val="0"/>
          <w:numId w:val="2"/>
        </w:numPr>
        <w:spacing w:after="40" w:before="40"/>
      </w:pPr>
      <w:r>
        <w:rPr>
          <w:rFonts w:ascii="Arial" w:cs="Arial" w:eastAsia="Arial" w:hAnsi="Arial"/>
          <w:sz w:val="22"/>
          <w:szCs w:val="22"/>
        </w:rPr>
        <w:t xml:space="preserve">The system must generate a GST Input Tax Credit (ITC) Report for Finance and Tax teams.</w:t>
      </w:r>
    </w:p>
    <w:p>
      <w:pPr>
        <w:spacing w:after="0" w:before="80"/>
      </w:pPr>
      <w:r>
        <w:t xml:space="preserve"/>
      </w:r>
    </w:p>
    <w:p>
      <w:r>
        <w:br w:type="page"/>
      </w:r>
    </w:p>
    <w:p>
      <w:pPr>
        <w:pStyle w:val="Heading1"/>
        <w:pBdr>
          <w:bottom w:val="single" w:color="2E75B6" w:sz="6" w:space="4"/>
        </w:pBdr>
        <w:spacing w:after="120" w:before="360"/>
      </w:pPr>
      <w:r>
        <w:rPr>
          <w:rFonts w:ascii="Arial" w:cs="Arial" w:eastAsia="Arial" w:hAnsi="Arial"/>
          <w:b/>
          <w:bCs/>
          <w:color w:val="1F4E79"/>
          <w:sz w:val="32"/>
          <w:szCs w:val="32"/>
        </w:rPr>
        <w:t xml:space="preserve">5. Non-Functional Requirements</w:t>
      </w:r>
    </w:p>
    <w:p>
      <w:pPr>
        <w:pStyle w:val="Heading2"/>
        <w:spacing w:after="100" w:before="280"/>
      </w:pPr>
      <w:r>
        <w:rPr>
          <w:rFonts w:ascii="Arial" w:cs="Arial" w:eastAsia="Arial" w:hAnsi="Arial"/>
          <w:b/>
          <w:bCs/>
          <w:color w:val="2E75B6"/>
          <w:sz w:val="26"/>
          <w:szCs w:val="26"/>
        </w:rPr>
        <w:t xml:space="preserve">5.1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9D9D9" w:sz="4"/>
              <w:left w:val="single" w:color="D9D9D9" w:sz="4"/>
              <w:bottom w:val="single" w:color="D9D9D9" w:sz="4"/>
              <w:right w:val="single" w:color="D9D9D9" w:sz="4"/>
            </w:tcBorders>
            <w:shd w:fill="1F4E79"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Requirement</w:t>
            </w:r>
          </w:p>
        </w:tc>
        <w:tc>
          <w:tcPr>
            <w:tcW w:type="dxa" w:w="6360"/>
            <w:tcBorders>
              <w:top w:val="single" w:color="D9D9D9" w:sz="4"/>
              <w:left w:val="single" w:color="D9D9D9" w:sz="4"/>
              <w:bottom w:val="single" w:color="D9D9D9" w:sz="4"/>
              <w:right w:val="single" w:color="D9D9D9" w:sz="4"/>
            </w:tcBorders>
            <w:shd w:fill="1F4E79"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Specification</w:t>
            </w:r>
          </w:p>
        </w:tc>
      </w:tr>
      <w:tr>
        <w:tc>
          <w:tcPr>
            <w:tcW w:type="dxa" w:w="3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sz w:val="20"/>
                <w:szCs w:val="20"/>
              </w:rPr>
              <w:t xml:space="preserve">Page load time</w:t>
            </w:r>
          </w:p>
        </w:tc>
        <w:tc>
          <w:tcPr>
            <w:tcW w:type="dxa" w:w="63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sz w:val="20"/>
                <w:szCs w:val="20"/>
              </w:rPr>
              <w:t xml:space="preserve">&lt; 2 seconds for all core user-facing pages (p95 under normal load)</w:t>
            </w:r>
          </w:p>
        </w:tc>
      </w:tr>
      <w:tr>
        <w:tc>
          <w:tcPr>
            <w:tcW w:type="dxa" w:w="30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sz w:val="20"/>
                <w:szCs w:val="20"/>
              </w:rPr>
              <w:t xml:space="preserve">API response time</w:t>
            </w:r>
          </w:p>
        </w:tc>
        <w:tc>
          <w:tcPr>
            <w:tcW w:type="dxa" w:w="63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sz w:val="20"/>
                <w:szCs w:val="20"/>
              </w:rPr>
              <w:t xml:space="preserve">&lt; 500 ms for all read operations; &lt; 1 second for write operations (p95)</w:t>
            </w:r>
          </w:p>
        </w:tc>
      </w:tr>
      <w:tr>
        <w:tc>
          <w:tcPr>
            <w:tcW w:type="dxa" w:w="3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sz w:val="20"/>
                <w:szCs w:val="20"/>
              </w:rPr>
              <w:t xml:space="preserve">Concurrent users</w:t>
            </w:r>
          </w:p>
        </w:tc>
        <w:tc>
          <w:tcPr>
            <w:tcW w:type="dxa" w:w="63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sz w:val="20"/>
                <w:szCs w:val="20"/>
              </w:rPr>
              <w:t xml:space="preserve">System must support ≥ 5,000 concurrent active sessions without degradation</w:t>
            </w:r>
          </w:p>
        </w:tc>
      </w:tr>
      <w:tr>
        <w:tc>
          <w:tcPr>
            <w:tcW w:type="dxa" w:w="30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sz w:val="20"/>
                <w:szCs w:val="20"/>
              </w:rPr>
              <w:t xml:space="preserve">Throughput</w:t>
            </w:r>
          </w:p>
        </w:tc>
        <w:tc>
          <w:tcPr>
            <w:tcW w:type="dxa" w:w="63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sz w:val="20"/>
                <w:szCs w:val="20"/>
              </w:rPr>
              <w:t xml:space="preserve">Must process ≥ 1,000 expense claim submissions per hour during peak periods</w:t>
            </w:r>
          </w:p>
        </w:tc>
      </w:tr>
      <w:tr>
        <w:tc>
          <w:tcPr>
            <w:tcW w:type="dxa" w:w="3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sz w:val="20"/>
                <w:szCs w:val="20"/>
              </w:rPr>
              <w:t xml:space="preserve">Report generation</w:t>
            </w:r>
          </w:p>
        </w:tc>
        <w:tc>
          <w:tcPr>
            <w:tcW w:type="dxa" w:w="63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sz w:val="20"/>
                <w:szCs w:val="20"/>
              </w:rPr>
              <w:t xml:space="preserve">Standard reports must generate within 30 seconds for up to 12 months of data</w:t>
            </w:r>
          </w:p>
        </w:tc>
      </w:tr>
      <w:tr>
        <w:tc>
          <w:tcPr>
            <w:tcW w:type="dxa" w:w="30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sz w:val="20"/>
                <w:szCs w:val="20"/>
              </w:rPr>
              <w:t xml:space="preserve">OCR processing</w:t>
            </w:r>
          </w:p>
        </w:tc>
        <w:tc>
          <w:tcPr>
            <w:tcW w:type="dxa" w:w="63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sz w:val="20"/>
                <w:szCs w:val="20"/>
              </w:rPr>
              <w:t xml:space="preserve">Receipt scan results must be returned within 5 seconds of upload</w:t>
            </w:r>
          </w:p>
        </w:tc>
      </w:tr>
    </w:tbl>
    <w:p>
      <w:pPr>
        <w:spacing w:after="0" w:before="80"/>
      </w:pPr>
      <w:r>
        <w:t xml:space="preserve"/>
      </w:r>
    </w:p>
    <w:p>
      <w:pPr>
        <w:pStyle w:val="Heading2"/>
        <w:spacing w:after="100" w:before="280"/>
      </w:pPr>
      <w:r>
        <w:rPr>
          <w:rFonts w:ascii="Arial" w:cs="Arial" w:eastAsia="Arial" w:hAnsi="Arial"/>
          <w:b/>
          <w:bCs/>
          <w:color w:val="2E75B6"/>
          <w:sz w:val="26"/>
          <w:szCs w:val="26"/>
        </w:rPr>
        <w:t xml:space="preserve">5.2 Availability &amp; Reliability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9D9D9" w:sz="4"/>
              <w:left w:val="single" w:color="D9D9D9" w:sz="4"/>
              <w:bottom w:val="single" w:color="D9D9D9" w:sz="4"/>
              <w:right w:val="single" w:color="D9D9D9" w:sz="4"/>
            </w:tcBorders>
            <w:shd w:fill="1F4E79"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Requirement</w:t>
            </w:r>
          </w:p>
        </w:tc>
        <w:tc>
          <w:tcPr>
            <w:tcW w:type="dxa" w:w="6360"/>
            <w:tcBorders>
              <w:top w:val="single" w:color="D9D9D9" w:sz="4"/>
              <w:left w:val="single" w:color="D9D9D9" w:sz="4"/>
              <w:bottom w:val="single" w:color="D9D9D9" w:sz="4"/>
              <w:right w:val="single" w:color="D9D9D9" w:sz="4"/>
            </w:tcBorders>
            <w:shd w:fill="1F4E79"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Specification</w:t>
            </w:r>
          </w:p>
        </w:tc>
      </w:tr>
      <w:tr>
        <w:tc>
          <w:tcPr>
            <w:tcW w:type="dxa" w:w="3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sz w:val="20"/>
                <w:szCs w:val="20"/>
              </w:rPr>
              <w:t xml:space="preserve">Uptime SLA</w:t>
            </w:r>
          </w:p>
        </w:tc>
        <w:tc>
          <w:tcPr>
            <w:tcW w:type="dxa" w:w="63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sz w:val="20"/>
                <w:szCs w:val="20"/>
              </w:rPr>
              <w:t xml:space="preserve">≥ 99.5% measured monthly (excludes scheduled maintenance windows)</w:t>
            </w:r>
          </w:p>
        </w:tc>
      </w:tr>
      <w:tr>
        <w:tc>
          <w:tcPr>
            <w:tcW w:type="dxa" w:w="30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sz w:val="20"/>
                <w:szCs w:val="20"/>
              </w:rPr>
              <w:t xml:space="preserve">Scheduled maintenance</w:t>
            </w:r>
          </w:p>
        </w:tc>
        <w:tc>
          <w:tcPr>
            <w:tcW w:type="dxa" w:w="63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sz w:val="20"/>
                <w:szCs w:val="20"/>
              </w:rPr>
              <w:t xml:space="preserve">Maximum 4 hours per month; during off-peak hours only (11 PM – 4 AM IST)</w:t>
            </w:r>
          </w:p>
        </w:tc>
      </w:tr>
      <w:tr>
        <w:tc>
          <w:tcPr>
            <w:tcW w:type="dxa" w:w="3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sz w:val="20"/>
                <w:szCs w:val="20"/>
              </w:rPr>
              <w:t xml:space="preserve">Disaster recovery RTO</w:t>
            </w:r>
          </w:p>
        </w:tc>
        <w:tc>
          <w:tcPr>
            <w:tcW w:type="dxa" w:w="63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sz w:val="20"/>
                <w:szCs w:val="20"/>
              </w:rPr>
              <w:t xml:space="preserve">Recovery Time Objective: ≤ 4 hours for P1 outages</w:t>
            </w:r>
          </w:p>
        </w:tc>
      </w:tr>
      <w:tr>
        <w:tc>
          <w:tcPr>
            <w:tcW w:type="dxa" w:w="30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sz w:val="20"/>
                <w:szCs w:val="20"/>
              </w:rPr>
              <w:t xml:space="preserve">Disaster recovery RPO</w:t>
            </w:r>
          </w:p>
        </w:tc>
        <w:tc>
          <w:tcPr>
            <w:tcW w:type="dxa" w:w="63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sz w:val="20"/>
                <w:szCs w:val="20"/>
              </w:rPr>
              <w:t xml:space="preserve">Recovery Point Objective: ≤ 1 hour (maximum data loss on catastrophic failure)</w:t>
            </w:r>
          </w:p>
        </w:tc>
      </w:tr>
      <w:tr>
        <w:tc>
          <w:tcPr>
            <w:tcW w:type="dxa" w:w="3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sz w:val="20"/>
                <w:szCs w:val="20"/>
              </w:rPr>
              <w:t xml:space="preserve">Data backup</w:t>
            </w:r>
          </w:p>
        </w:tc>
        <w:tc>
          <w:tcPr>
            <w:tcW w:type="dxa" w:w="63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sz w:val="20"/>
                <w:szCs w:val="20"/>
              </w:rPr>
              <w:t xml:space="preserve">Full daily backups; incremental every 4 hours; retained for 90 days</w:t>
            </w:r>
          </w:p>
        </w:tc>
      </w:tr>
      <w:tr>
        <w:tc>
          <w:tcPr>
            <w:tcW w:type="dxa" w:w="30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sz w:val="20"/>
                <w:szCs w:val="20"/>
              </w:rPr>
              <w:t xml:space="preserve">Failover</w:t>
            </w:r>
          </w:p>
        </w:tc>
        <w:tc>
          <w:tcPr>
            <w:tcW w:type="dxa" w:w="63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sz w:val="20"/>
                <w:szCs w:val="20"/>
              </w:rPr>
              <w:t xml:space="preserve">Automated failover to standby region with no manual intervention required</w:t>
            </w:r>
          </w:p>
        </w:tc>
      </w:tr>
    </w:tbl>
    <w:p>
      <w:pPr>
        <w:spacing w:after="0" w:before="80"/>
      </w:pPr>
      <w:r>
        <w:t xml:space="preserve"/>
      </w:r>
    </w:p>
    <w:p>
      <w:pPr>
        <w:pStyle w:val="Heading2"/>
        <w:spacing w:after="100" w:before="280"/>
      </w:pPr>
      <w:r>
        <w:rPr>
          <w:rFonts w:ascii="Arial" w:cs="Arial" w:eastAsia="Arial" w:hAnsi="Arial"/>
          <w:b/>
          <w:bCs/>
          <w:color w:val="2E75B6"/>
          <w:sz w:val="26"/>
          <w:szCs w:val="26"/>
        </w:rPr>
        <w:t xml:space="preserve">5.3 Scalability</w:t>
      </w:r>
    </w:p>
    <w:p>
      <w:pPr>
        <w:pStyle w:val="ListParagraph"/>
        <w:numPr>
          <w:ilvl w:val="0"/>
          <w:numId w:val="2"/>
        </w:numPr>
        <w:spacing w:after="40" w:before="40"/>
      </w:pPr>
      <w:r>
        <w:rPr>
          <w:rFonts w:ascii="Arial" w:cs="Arial" w:eastAsia="Arial" w:hAnsi="Arial"/>
          <w:sz w:val="22"/>
          <w:szCs w:val="22"/>
        </w:rPr>
        <w:t xml:space="preserve">The architecture must support horizontal scaling to accommodate a 50% growth in user base (up to 15,000 employees) without infrastructure redesign.</w:t>
      </w:r>
    </w:p>
    <w:p>
      <w:pPr>
        <w:pStyle w:val="ListParagraph"/>
        <w:numPr>
          <w:ilvl w:val="0"/>
          <w:numId w:val="2"/>
        </w:numPr>
        <w:spacing w:after="40" w:before="40"/>
      </w:pPr>
      <w:r>
        <w:rPr>
          <w:rFonts w:ascii="Arial" w:cs="Arial" w:eastAsia="Arial" w:hAnsi="Arial"/>
          <w:sz w:val="22"/>
          <w:szCs w:val="22"/>
        </w:rPr>
        <w:t xml:space="preserve">The database tier must support partitioning/sharding strategies as transaction volumes grow.</w:t>
      </w:r>
    </w:p>
    <w:p>
      <w:pPr>
        <w:pStyle w:val="ListParagraph"/>
        <w:numPr>
          <w:ilvl w:val="0"/>
          <w:numId w:val="2"/>
        </w:numPr>
        <w:spacing w:after="40" w:before="40"/>
      </w:pPr>
      <w:r>
        <w:rPr>
          <w:rFonts w:ascii="Arial" w:cs="Arial" w:eastAsia="Arial" w:hAnsi="Arial"/>
          <w:sz w:val="22"/>
          <w:szCs w:val="22"/>
        </w:rPr>
        <w:t xml:space="preserve">Storage for receipt images and documents must scale to accommodate 5 years of historical data without performance degradation.</w:t>
      </w:r>
    </w:p>
    <w:p>
      <w:pPr>
        <w:spacing w:after="0" w:before="80"/>
      </w:pPr>
      <w:r>
        <w:t xml:space="preserve"/>
      </w:r>
    </w:p>
    <w:p>
      <w:pPr>
        <w:pStyle w:val="Heading2"/>
        <w:spacing w:after="100" w:before="280"/>
      </w:pPr>
      <w:r>
        <w:rPr>
          <w:rFonts w:ascii="Arial" w:cs="Arial" w:eastAsia="Arial" w:hAnsi="Arial"/>
          <w:b/>
          <w:bCs/>
          <w:color w:val="2E75B6"/>
          <w:sz w:val="26"/>
          <w:szCs w:val="26"/>
        </w:rPr>
        <w:t xml:space="preserve">5.4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9D9D9" w:sz="4"/>
              <w:left w:val="single" w:color="D9D9D9" w:sz="4"/>
              <w:bottom w:val="single" w:color="D9D9D9" w:sz="4"/>
              <w:right w:val="single" w:color="D9D9D9" w:sz="4"/>
            </w:tcBorders>
            <w:shd w:fill="1F4E79"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Requirement</w:t>
            </w:r>
          </w:p>
        </w:tc>
        <w:tc>
          <w:tcPr>
            <w:tcW w:type="dxa" w:w="6560"/>
            <w:tcBorders>
              <w:top w:val="single" w:color="D9D9D9" w:sz="4"/>
              <w:left w:val="single" w:color="D9D9D9" w:sz="4"/>
              <w:bottom w:val="single" w:color="D9D9D9" w:sz="4"/>
              <w:right w:val="single" w:color="D9D9D9" w:sz="4"/>
            </w:tcBorders>
            <w:shd w:fill="1F4E79"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Specification</w:t>
            </w:r>
          </w:p>
        </w:tc>
      </w:tr>
      <w:tr>
        <w:tc>
          <w:tcPr>
            <w:tcW w:type="dxa" w:w="2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sz w:val="20"/>
                <w:szCs w:val="20"/>
              </w:rPr>
              <w:t xml:space="preserve">Authentication</w:t>
            </w:r>
          </w:p>
        </w:tc>
        <w:tc>
          <w:tcPr>
            <w:tcW w:type="dxa" w:w="65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sz w:val="20"/>
                <w:szCs w:val="20"/>
              </w:rPr>
              <w:t xml:space="preserve">Multi-factor authentication (MFA) mandatory for Finance, Admin, and Approver roles. SSO via SAML 2.0 / OAuth 2.0 with the organisation's identity provider.</w:t>
            </w:r>
          </w:p>
        </w:tc>
      </w:tr>
      <w:tr>
        <w:tc>
          <w:tcPr>
            <w:tcW w:type="dxa" w:w="2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sz w:val="20"/>
                <w:szCs w:val="20"/>
              </w:rPr>
              <w:t xml:space="preserve">Authorisation</w:t>
            </w:r>
          </w:p>
        </w:tc>
        <w:tc>
          <w:tcPr>
            <w:tcW w:type="dxa" w:w="65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sz w:val="20"/>
                <w:szCs w:val="20"/>
              </w:rPr>
              <w:t xml:space="preserve">Role-based access control (RBAC). Users can only access data within their organisational scope. No cross-department data visibility without explicit access grants.</w:t>
            </w:r>
          </w:p>
        </w:tc>
      </w:tr>
      <w:tr>
        <w:tc>
          <w:tcPr>
            <w:tcW w:type="dxa" w:w="2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sz w:val="20"/>
                <w:szCs w:val="20"/>
              </w:rPr>
              <w:t xml:space="preserve">Data encryption at rest</w:t>
            </w:r>
          </w:p>
        </w:tc>
        <w:tc>
          <w:tcPr>
            <w:tcW w:type="dxa" w:w="65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sz w:val="20"/>
                <w:szCs w:val="20"/>
              </w:rPr>
              <w:t xml:space="preserve">AES-256 encryption for all stored data including receipts, personal details, and financial records.</w:t>
            </w:r>
          </w:p>
        </w:tc>
      </w:tr>
      <w:tr>
        <w:tc>
          <w:tcPr>
            <w:tcW w:type="dxa" w:w="2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sz w:val="20"/>
                <w:szCs w:val="20"/>
              </w:rPr>
              <w:t xml:space="preserve">Data encryption in transit</w:t>
            </w:r>
          </w:p>
        </w:tc>
        <w:tc>
          <w:tcPr>
            <w:tcW w:type="dxa" w:w="65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sz w:val="20"/>
                <w:szCs w:val="20"/>
              </w:rPr>
              <w:t xml:space="preserve">TLS 1.3 mandatory for all client-server and server-server communication.</w:t>
            </w:r>
          </w:p>
        </w:tc>
      </w:tr>
      <w:tr>
        <w:tc>
          <w:tcPr>
            <w:tcW w:type="dxa" w:w="2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sz w:val="20"/>
                <w:szCs w:val="20"/>
              </w:rPr>
              <w:t xml:space="preserve">Session management</w:t>
            </w:r>
          </w:p>
        </w:tc>
        <w:tc>
          <w:tcPr>
            <w:tcW w:type="dxa" w:w="65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sz w:val="20"/>
                <w:szCs w:val="20"/>
              </w:rPr>
              <w:t xml:space="preserve">Auto-logout after 30 minutes of inactivity. Concurrent session limits per user.</w:t>
            </w:r>
          </w:p>
        </w:tc>
      </w:tr>
      <w:tr>
        <w:tc>
          <w:tcPr>
            <w:tcW w:type="dxa" w:w="2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sz w:val="20"/>
                <w:szCs w:val="20"/>
              </w:rPr>
              <w:t xml:space="preserve">Penetration testing</w:t>
            </w:r>
          </w:p>
        </w:tc>
        <w:tc>
          <w:tcPr>
            <w:tcW w:type="dxa" w:w="65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sz w:val="20"/>
                <w:szCs w:val="20"/>
              </w:rPr>
              <w:t xml:space="preserve">Annual third-party penetration test. Critical findings remediated within 30 days.</w:t>
            </w:r>
          </w:p>
        </w:tc>
      </w:tr>
      <w:tr>
        <w:tc>
          <w:tcPr>
            <w:tcW w:type="dxa" w:w="2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sz w:val="20"/>
                <w:szCs w:val="20"/>
              </w:rPr>
              <w:t xml:space="preserve">Vulnerability management</w:t>
            </w:r>
          </w:p>
        </w:tc>
        <w:tc>
          <w:tcPr>
            <w:tcW w:type="dxa" w:w="65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sz w:val="20"/>
                <w:szCs w:val="20"/>
              </w:rPr>
              <w:t xml:space="preserve">Dependency scanning in CI/CD pipeline. OWASP Top 10 compliance mandatory.</w:t>
            </w:r>
          </w:p>
        </w:tc>
      </w:tr>
      <w:tr>
        <w:tc>
          <w:tcPr>
            <w:tcW w:type="dxa" w:w="2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sz w:val="20"/>
                <w:szCs w:val="20"/>
              </w:rPr>
              <w:t xml:space="preserve">Audit logging</w:t>
            </w:r>
          </w:p>
        </w:tc>
        <w:tc>
          <w:tcPr>
            <w:tcW w:type="dxa" w:w="65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sz w:val="20"/>
                <w:szCs w:val="20"/>
              </w:rPr>
              <w:t xml:space="preserve">All user actions, admin configuration changes, and system events logged with timestamp, user ID, and IP address.</w:t>
            </w:r>
          </w:p>
        </w:tc>
      </w:tr>
    </w:tbl>
    <w:p>
      <w:pPr>
        <w:spacing w:after="0" w:before="80"/>
      </w:pPr>
      <w:r>
        <w:t xml:space="preserve"/>
      </w:r>
    </w:p>
    <w:p>
      <w:pPr>
        <w:pStyle w:val="Heading2"/>
        <w:spacing w:after="100" w:before="280"/>
      </w:pPr>
      <w:r>
        <w:rPr>
          <w:rFonts w:ascii="Arial" w:cs="Arial" w:eastAsia="Arial" w:hAnsi="Arial"/>
          <w:b/>
          <w:bCs/>
          <w:color w:val="2E75B6"/>
          <w:sz w:val="26"/>
          <w:szCs w:val="26"/>
        </w:rPr>
        <w:t xml:space="preserve">5.5 Usability</w:t>
      </w:r>
    </w:p>
    <w:p>
      <w:pPr>
        <w:pStyle w:val="ListParagraph"/>
        <w:numPr>
          <w:ilvl w:val="0"/>
          <w:numId w:val="2"/>
        </w:numPr>
        <w:spacing w:after="40" w:before="40"/>
      </w:pPr>
      <w:r>
        <w:rPr>
          <w:rFonts w:ascii="Arial" w:cs="Arial" w:eastAsia="Arial" w:hAnsi="Arial"/>
          <w:sz w:val="22"/>
          <w:szCs w:val="22"/>
        </w:rPr>
        <w:t xml:space="preserve">The web application must be accessible on Chrome, Firefox, Safari, and Edge (latest 2 versions of each).</w:t>
      </w:r>
    </w:p>
    <w:p>
      <w:pPr>
        <w:pStyle w:val="ListParagraph"/>
        <w:numPr>
          <w:ilvl w:val="0"/>
          <w:numId w:val="2"/>
        </w:numPr>
        <w:spacing w:after="40" w:before="40"/>
      </w:pPr>
      <w:r>
        <w:rPr>
          <w:rFonts w:ascii="Arial" w:cs="Arial" w:eastAsia="Arial" w:hAnsi="Arial"/>
          <w:sz w:val="22"/>
          <w:szCs w:val="22"/>
        </w:rPr>
        <w:t xml:space="preserve">The mobile application must support iOS 14+ and Android 10+.</w:t>
      </w:r>
    </w:p>
    <w:p>
      <w:pPr>
        <w:pStyle w:val="ListParagraph"/>
        <w:numPr>
          <w:ilvl w:val="0"/>
          <w:numId w:val="2"/>
        </w:numPr>
        <w:spacing w:after="40" w:before="40"/>
      </w:pPr>
      <w:r>
        <w:rPr>
          <w:rFonts w:ascii="Arial" w:cs="Arial" w:eastAsia="Arial" w:hAnsi="Arial"/>
          <w:sz w:val="22"/>
          <w:szCs w:val="22"/>
        </w:rPr>
        <w:t xml:space="preserve">Core workflows (submit expense claim, approve/reject, check status) must be completable by a new user without training within the first use session.</w:t>
      </w:r>
    </w:p>
    <w:p>
      <w:pPr>
        <w:pStyle w:val="ListParagraph"/>
        <w:numPr>
          <w:ilvl w:val="0"/>
          <w:numId w:val="2"/>
        </w:numPr>
        <w:spacing w:after="40" w:before="40"/>
      </w:pPr>
      <w:r>
        <w:rPr>
          <w:rFonts w:ascii="Arial" w:cs="Arial" w:eastAsia="Arial" w:hAnsi="Arial"/>
          <w:sz w:val="22"/>
          <w:szCs w:val="22"/>
        </w:rPr>
        <w:t xml:space="preserve">The interface must support English and Hindi as primary languages; additional regional languages may be added in Phase 2.</w:t>
      </w:r>
    </w:p>
    <w:p>
      <w:pPr>
        <w:pStyle w:val="ListParagraph"/>
        <w:numPr>
          <w:ilvl w:val="0"/>
          <w:numId w:val="2"/>
        </w:numPr>
        <w:spacing w:after="40" w:before="40"/>
      </w:pPr>
      <w:r>
        <w:rPr>
          <w:rFonts w:ascii="Arial" w:cs="Arial" w:eastAsia="Arial" w:hAnsi="Arial"/>
          <w:sz w:val="22"/>
          <w:szCs w:val="22"/>
        </w:rPr>
        <w:t xml:space="preserve">All user-facing forms must provide inline validation with clear, human-readable error messages.</w:t>
      </w:r>
    </w:p>
    <w:p>
      <w:pPr>
        <w:pStyle w:val="ListParagraph"/>
        <w:numPr>
          <w:ilvl w:val="0"/>
          <w:numId w:val="2"/>
        </w:numPr>
        <w:spacing w:after="40" w:before="40"/>
      </w:pPr>
      <w:r>
        <w:rPr>
          <w:rFonts w:ascii="Arial" w:cs="Arial" w:eastAsia="Arial" w:hAnsi="Arial"/>
          <w:sz w:val="22"/>
          <w:szCs w:val="22"/>
        </w:rPr>
        <w:t xml:space="preserve">The application must meet WCAG 2.1 Level AA accessibility standards.</w:t>
      </w:r>
    </w:p>
    <w:p>
      <w:pPr>
        <w:spacing w:after="0" w:before="80"/>
      </w:pPr>
      <w:r>
        <w:t xml:space="preserve"/>
      </w:r>
    </w:p>
    <w:p>
      <w:pPr>
        <w:pStyle w:val="Heading2"/>
        <w:spacing w:after="100" w:before="280"/>
      </w:pPr>
      <w:r>
        <w:rPr>
          <w:rFonts w:ascii="Arial" w:cs="Arial" w:eastAsia="Arial" w:hAnsi="Arial"/>
          <w:b/>
          <w:bCs/>
          <w:color w:val="2E75B6"/>
          <w:sz w:val="26"/>
          <w:szCs w:val="26"/>
        </w:rPr>
        <w:t xml:space="preserve">5.6 Compliance &amp; Data Privacy</w:t>
      </w:r>
    </w:p>
    <w:p>
      <w:pPr>
        <w:pStyle w:val="ListParagraph"/>
        <w:numPr>
          <w:ilvl w:val="0"/>
          <w:numId w:val="2"/>
        </w:numPr>
        <w:spacing w:after="40" w:before="40"/>
      </w:pPr>
      <w:r>
        <w:rPr>
          <w:rFonts w:ascii="Arial" w:cs="Arial" w:eastAsia="Arial" w:hAnsi="Arial"/>
          <w:sz w:val="22"/>
          <w:szCs w:val="22"/>
        </w:rPr>
        <w:t xml:space="preserve">The system must comply with India's Digital Personal Data Protection Act (DPDPA) 2023.</w:t>
      </w:r>
    </w:p>
    <w:p>
      <w:pPr>
        <w:pStyle w:val="ListParagraph"/>
        <w:numPr>
          <w:ilvl w:val="0"/>
          <w:numId w:val="2"/>
        </w:numPr>
        <w:spacing w:after="40" w:before="40"/>
      </w:pPr>
      <w:r>
        <w:rPr>
          <w:rFonts w:ascii="Arial" w:cs="Arial" w:eastAsia="Arial" w:hAnsi="Arial"/>
          <w:sz w:val="22"/>
          <w:szCs w:val="22"/>
        </w:rPr>
        <w:t xml:space="preserve">Employee personal data (bank account details, address, PAN) must be encrypted, access-controlled, and not shared with third parties without consent.</w:t>
      </w:r>
    </w:p>
    <w:p>
      <w:pPr>
        <w:pStyle w:val="ListParagraph"/>
        <w:numPr>
          <w:ilvl w:val="0"/>
          <w:numId w:val="2"/>
        </w:numPr>
        <w:spacing w:after="40" w:before="40"/>
      </w:pPr>
      <w:r>
        <w:rPr>
          <w:rFonts w:ascii="Arial" w:cs="Arial" w:eastAsia="Arial" w:hAnsi="Arial"/>
          <w:sz w:val="22"/>
          <w:szCs w:val="22"/>
        </w:rPr>
        <w:t xml:space="preserve">GST-related transaction data must be retained for a minimum of 6 years as per GST rules.</w:t>
      </w:r>
    </w:p>
    <w:p>
      <w:pPr>
        <w:pStyle w:val="ListParagraph"/>
        <w:numPr>
          <w:ilvl w:val="0"/>
          <w:numId w:val="2"/>
        </w:numPr>
        <w:spacing w:after="40" w:before="40"/>
      </w:pPr>
      <w:r>
        <w:rPr>
          <w:rFonts w:ascii="Arial" w:cs="Arial" w:eastAsia="Arial" w:hAnsi="Arial"/>
          <w:sz w:val="22"/>
          <w:szCs w:val="22"/>
        </w:rPr>
        <w:t xml:space="preserve">Financial records must be retained for a minimum of 7 years as per the Companies Act 2013.</w:t>
      </w:r>
    </w:p>
    <w:p>
      <w:pPr>
        <w:pStyle w:val="ListParagraph"/>
        <w:numPr>
          <w:ilvl w:val="0"/>
          <w:numId w:val="2"/>
        </w:numPr>
        <w:spacing w:after="40" w:before="40"/>
      </w:pPr>
      <w:r>
        <w:rPr>
          <w:rFonts w:ascii="Arial" w:cs="Arial" w:eastAsia="Arial" w:hAnsi="Arial"/>
          <w:sz w:val="22"/>
          <w:szCs w:val="22"/>
        </w:rPr>
        <w:t xml:space="preserve">Data residency: all primary data must be stored in India-based data centres.</w:t>
      </w:r>
    </w:p>
    <w:p>
      <w:pPr>
        <w:spacing w:after="0" w:before="80"/>
      </w:pPr>
      <w:r>
        <w:t xml:space="preserve"/>
      </w:r>
    </w:p>
    <w:p>
      <w:r>
        <w:br w:type="page"/>
      </w:r>
    </w:p>
    <w:p>
      <w:pPr>
        <w:pStyle w:val="Heading1"/>
        <w:pBdr>
          <w:bottom w:val="single" w:color="2E75B6" w:sz="6" w:space="4"/>
        </w:pBdr>
        <w:spacing w:after="120" w:before="360"/>
      </w:pPr>
      <w:r>
        <w:rPr>
          <w:rFonts w:ascii="Arial" w:cs="Arial" w:eastAsia="Arial" w:hAnsi="Arial"/>
          <w:b/>
          <w:bCs/>
          <w:color w:val="1F4E79"/>
          <w:sz w:val="32"/>
          <w:szCs w:val="32"/>
        </w:rPr>
        <w:t xml:space="preserve">6. Integration Requirements</w:t>
      </w:r>
    </w:p>
    <w:p>
      <w:pPr>
        <w:pStyle w:val="Heading2"/>
        <w:spacing w:after="100" w:before="280"/>
      </w:pPr>
      <w:r>
        <w:rPr>
          <w:rFonts w:ascii="Arial" w:cs="Arial" w:eastAsia="Arial" w:hAnsi="Arial"/>
          <w:b/>
          <w:bCs/>
          <w:color w:val="2E75B6"/>
          <w:sz w:val="26"/>
          <w:szCs w:val="26"/>
        </w:rPr>
        <w:t xml:space="preserve">6.1 Integration Architecture Overview</w:t>
      </w:r>
    </w:p>
    <w:p>
      <w:pPr>
        <w:spacing w:after="60" w:before="60"/>
      </w:pPr>
      <w:r>
        <w:rPr>
          <w:rFonts w:ascii="Arial" w:cs="Arial" w:eastAsia="Arial" w:hAnsi="Arial"/>
          <w:sz w:val="22"/>
          <w:szCs w:val="22"/>
        </w:rPr>
        <w:t xml:space="preserve">ETEMS must integrate with the following systems via secure, well-documented APIs. All integrations must be designed for resilience with retry logic, dead-letter queues for failed messages, and alerting on integration failures.</w:t>
      </w:r>
    </w:p>
    <w:p>
      <w:pPr>
        <w:spacing w:after="0" w:before="80"/>
      </w:pPr>
      <w:r>
        <w:t xml:space="preserve"/>
      </w:r>
    </w:p>
    <w:p>
      <w:pPr>
        <w:pStyle w:val="Heading2"/>
        <w:spacing w:after="100" w:before="280"/>
      </w:pPr>
      <w:r>
        <w:rPr>
          <w:rFonts w:ascii="Arial" w:cs="Arial" w:eastAsia="Arial" w:hAnsi="Arial"/>
          <w:b/>
          <w:bCs/>
          <w:color w:val="2E75B6"/>
          <w:sz w:val="26"/>
          <w:szCs w:val="26"/>
        </w:rPr>
        <w:t xml:space="preserve">6.2 Integration Specifications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700"/>
        <w:gridCol w:w="1000"/>
        <w:gridCol w:w="2600"/>
        <w:gridCol w:w="2000"/>
        <w:gridCol w:w="1060"/>
      </w:tblGrid>
      <w:tr>
        <w:trPr>
          <w:tblHeader/>
        </w:trPr>
        <w:tc>
          <w:tcPr>
            <w:tcW w:type="dxa" w:w="1700"/>
            <w:tcBorders>
              <w:top w:val="single" w:color="D9D9D9" w:sz="4"/>
              <w:left w:val="single" w:color="D9D9D9" w:sz="4"/>
              <w:bottom w:val="single" w:color="D9D9D9" w:sz="4"/>
              <w:right w:val="single" w:color="D9D9D9" w:sz="4"/>
            </w:tcBorders>
            <w:shd w:fill="1F4E79"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System</w:t>
            </w:r>
          </w:p>
        </w:tc>
        <w:tc>
          <w:tcPr>
            <w:tcW w:type="dxa" w:w="1000"/>
            <w:tcBorders>
              <w:top w:val="single" w:color="D9D9D9" w:sz="4"/>
              <w:left w:val="single" w:color="D9D9D9" w:sz="4"/>
              <w:bottom w:val="single" w:color="D9D9D9" w:sz="4"/>
              <w:right w:val="single" w:color="D9D9D9" w:sz="4"/>
            </w:tcBorders>
            <w:shd w:fill="1F4E79"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Direction</w:t>
            </w:r>
          </w:p>
        </w:tc>
        <w:tc>
          <w:tcPr>
            <w:tcW w:type="dxa" w:w="2600"/>
            <w:tcBorders>
              <w:top w:val="single" w:color="D9D9D9" w:sz="4"/>
              <w:left w:val="single" w:color="D9D9D9" w:sz="4"/>
              <w:bottom w:val="single" w:color="D9D9D9" w:sz="4"/>
              <w:right w:val="single" w:color="D9D9D9" w:sz="4"/>
            </w:tcBorders>
            <w:shd w:fill="1F4E79"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Data Exchanged</w:t>
            </w:r>
          </w:p>
        </w:tc>
        <w:tc>
          <w:tcPr>
            <w:tcW w:type="dxa" w:w="2000"/>
            <w:tcBorders>
              <w:top w:val="single" w:color="D9D9D9" w:sz="4"/>
              <w:left w:val="single" w:color="D9D9D9" w:sz="4"/>
              <w:bottom w:val="single" w:color="D9D9D9" w:sz="4"/>
              <w:right w:val="single" w:color="D9D9D9" w:sz="4"/>
            </w:tcBorders>
            <w:shd w:fill="1F4E79"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Trigger / Frequency</w:t>
            </w:r>
          </w:p>
        </w:tc>
        <w:tc>
          <w:tcPr>
            <w:tcW w:type="dxa" w:w="1060"/>
            <w:tcBorders>
              <w:top w:val="single" w:color="D9D9D9" w:sz="4"/>
              <w:left w:val="single" w:color="D9D9D9" w:sz="4"/>
              <w:bottom w:val="single" w:color="D9D9D9" w:sz="4"/>
              <w:right w:val="single" w:color="D9D9D9" w:sz="4"/>
            </w:tcBorders>
            <w:shd w:fill="1F4E79"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Priority</w:t>
            </w:r>
          </w:p>
        </w:tc>
      </w:tr>
      <w:tr>
        <w:tc>
          <w:tcPr>
            <w:tcW w:type="dxa" w:w="17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sz w:val="20"/>
                <w:szCs w:val="20"/>
              </w:rPr>
              <w:t xml:space="preserve">HRMS / People System</w:t>
            </w:r>
          </w:p>
        </w:tc>
        <w:tc>
          <w:tcPr>
            <w:tcW w:type="dxa" w:w="1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sz w:val="20"/>
                <w:szCs w:val="20"/>
              </w:rPr>
              <w:t xml:space="preserve">Inbound</w:t>
            </w:r>
          </w:p>
        </w:tc>
        <w:tc>
          <w:tcPr>
            <w:tcW w:type="dxa" w:w="2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sz w:val="20"/>
                <w:szCs w:val="20"/>
              </w:rPr>
              <w:t xml:space="preserve">Employee master, reporting hierarchy, cost centres, grades, leave status</w:t>
            </w:r>
          </w:p>
        </w:tc>
        <w:tc>
          <w:tcPr>
            <w:tcW w:type="dxa" w:w="2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sz w:val="20"/>
                <w:szCs w:val="20"/>
              </w:rPr>
              <w:t xml:space="preserve">Daily sync + real-time on change</w:t>
            </w:r>
          </w:p>
        </w:tc>
        <w:tc>
          <w:tcPr>
            <w:tcW w:type="dxa" w:w="10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sz w:val="20"/>
                <w:szCs w:val="20"/>
              </w:rPr>
              <w:t xml:space="preserve">Critical</w:t>
            </w:r>
          </w:p>
        </w:tc>
      </w:tr>
      <w:tr>
        <w:tc>
          <w:tcPr>
            <w:tcW w:type="dxa" w:w="17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sz w:val="20"/>
                <w:szCs w:val="20"/>
              </w:rPr>
              <w:t xml:space="preserve">ERP / Finance Ledger</w:t>
            </w:r>
          </w:p>
        </w:tc>
        <w:tc>
          <w:tcPr>
            <w:tcW w:type="dxa" w:w="10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sz w:val="20"/>
                <w:szCs w:val="20"/>
              </w:rPr>
              <w:t xml:space="preserve">Bidirectional</w:t>
            </w:r>
          </w:p>
        </w:tc>
        <w:tc>
          <w:tcPr>
            <w:tcW w:type="dxa" w:w="26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sz w:val="20"/>
                <w:szCs w:val="20"/>
              </w:rPr>
              <w:t xml:space="preserve">Cost centre budgets (in), approved claims &amp; journal entries (out), vendor master (in)</w:t>
            </w:r>
          </w:p>
        </w:tc>
        <w:tc>
          <w:tcPr>
            <w:tcW w:type="dxa" w:w="20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sz w:val="20"/>
                <w:szCs w:val="20"/>
              </w:rPr>
              <w:t xml:space="preserve">Real-time for approvals; nightly for reconciliation</w:t>
            </w:r>
          </w:p>
        </w:tc>
        <w:tc>
          <w:tcPr>
            <w:tcW w:type="dxa" w:w="10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sz w:val="20"/>
                <w:szCs w:val="20"/>
              </w:rPr>
              <w:t xml:space="preserve">Critical</w:t>
            </w:r>
          </w:p>
        </w:tc>
      </w:tr>
      <w:tr>
        <w:tc>
          <w:tcPr>
            <w:tcW w:type="dxa" w:w="17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sz w:val="20"/>
                <w:szCs w:val="20"/>
              </w:rPr>
              <w:t xml:space="preserve">Payroll System</w:t>
            </w:r>
          </w:p>
        </w:tc>
        <w:tc>
          <w:tcPr>
            <w:tcW w:type="dxa" w:w="1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sz w:val="20"/>
                <w:szCs w:val="20"/>
              </w:rPr>
              <w:t xml:space="preserve">Outbound</w:t>
            </w:r>
          </w:p>
        </w:tc>
        <w:tc>
          <w:tcPr>
            <w:tcW w:type="dxa" w:w="2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sz w:val="20"/>
                <w:szCs w:val="20"/>
              </w:rPr>
              <w:t xml:space="preserve">Approved reimbursement amounts, employee bank details reference</w:t>
            </w:r>
          </w:p>
        </w:tc>
        <w:tc>
          <w:tcPr>
            <w:tcW w:type="dxa" w:w="2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sz w:val="20"/>
                <w:szCs w:val="20"/>
              </w:rPr>
              <w:t xml:space="preserve">Per payroll run + out-of-cycle on demand</w:t>
            </w:r>
          </w:p>
        </w:tc>
        <w:tc>
          <w:tcPr>
            <w:tcW w:type="dxa" w:w="10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sz w:val="20"/>
                <w:szCs w:val="20"/>
              </w:rPr>
              <w:t xml:space="preserve">Critical</w:t>
            </w:r>
          </w:p>
        </w:tc>
      </w:tr>
      <w:tr>
        <w:tc>
          <w:tcPr>
            <w:tcW w:type="dxa" w:w="17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sz w:val="20"/>
                <w:szCs w:val="20"/>
              </w:rPr>
              <w:t xml:space="preserve">Identity Provider (SSO)</w:t>
            </w:r>
          </w:p>
        </w:tc>
        <w:tc>
          <w:tcPr>
            <w:tcW w:type="dxa" w:w="10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sz w:val="20"/>
                <w:szCs w:val="20"/>
              </w:rPr>
              <w:t xml:space="preserve">Inbound</w:t>
            </w:r>
          </w:p>
        </w:tc>
        <w:tc>
          <w:tcPr>
            <w:tcW w:type="dxa" w:w="26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sz w:val="20"/>
                <w:szCs w:val="20"/>
              </w:rPr>
              <w:t xml:space="preserve">User authentication tokens, session management</w:t>
            </w:r>
          </w:p>
        </w:tc>
        <w:tc>
          <w:tcPr>
            <w:tcW w:type="dxa" w:w="20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sz w:val="20"/>
                <w:szCs w:val="20"/>
              </w:rPr>
              <w:t xml:space="preserve">Real-time (each login)</w:t>
            </w:r>
          </w:p>
        </w:tc>
        <w:tc>
          <w:tcPr>
            <w:tcW w:type="dxa" w:w="10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sz w:val="20"/>
                <w:szCs w:val="20"/>
              </w:rPr>
              <w:t xml:space="preserve">Critical</w:t>
            </w:r>
          </w:p>
        </w:tc>
      </w:tr>
      <w:tr>
        <w:tc>
          <w:tcPr>
            <w:tcW w:type="dxa" w:w="17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sz w:val="20"/>
                <w:szCs w:val="20"/>
              </w:rPr>
              <w:t xml:space="preserve">Email Server (SMTP)</w:t>
            </w:r>
          </w:p>
        </w:tc>
        <w:tc>
          <w:tcPr>
            <w:tcW w:type="dxa" w:w="1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sz w:val="20"/>
                <w:szCs w:val="20"/>
              </w:rPr>
              <w:t xml:space="preserve">Outbound</w:t>
            </w:r>
          </w:p>
        </w:tc>
        <w:tc>
          <w:tcPr>
            <w:tcW w:type="dxa" w:w="2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sz w:val="20"/>
                <w:szCs w:val="20"/>
              </w:rPr>
              <w:t xml:space="preserve">Approval notifications, reminders, status updates</w:t>
            </w:r>
          </w:p>
        </w:tc>
        <w:tc>
          <w:tcPr>
            <w:tcW w:type="dxa" w:w="2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sz w:val="20"/>
                <w:szCs w:val="20"/>
              </w:rPr>
              <w:t xml:space="preserve">Event-driven (real-time)</w:t>
            </w:r>
          </w:p>
        </w:tc>
        <w:tc>
          <w:tcPr>
            <w:tcW w:type="dxa" w:w="10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17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sz w:val="20"/>
                <w:szCs w:val="20"/>
              </w:rPr>
              <w:t xml:space="preserve">Mobile Push Notification</w:t>
            </w:r>
          </w:p>
        </w:tc>
        <w:tc>
          <w:tcPr>
            <w:tcW w:type="dxa" w:w="10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sz w:val="20"/>
                <w:szCs w:val="20"/>
              </w:rPr>
              <w:t xml:space="preserve">Outbound</w:t>
            </w:r>
          </w:p>
        </w:tc>
        <w:tc>
          <w:tcPr>
            <w:tcW w:type="dxa" w:w="26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sz w:val="20"/>
                <w:szCs w:val="20"/>
              </w:rPr>
              <w:t xml:space="preserve">Approval requests, status changes, reminders</w:t>
            </w:r>
          </w:p>
        </w:tc>
        <w:tc>
          <w:tcPr>
            <w:tcW w:type="dxa" w:w="20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sz w:val="20"/>
                <w:szCs w:val="20"/>
              </w:rPr>
              <w:t xml:space="preserve">Event-driven (real-time)</w:t>
            </w:r>
          </w:p>
        </w:tc>
        <w:tc>
          <w:tcPr>
            <w:tcW w:type="dxa" w:w="10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17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sz w:val="20"/>
                <w:szCs w:val="20"/>
              </w:rPr>
              <w:t xml:space="preserve">Bank / Payment Gateway</w:t>
            </w:r>
          </w:p>
        </w:tc>
        <w:tc>
          <w:tcPr>
            <w:tcW w:type="dxa" w:w="1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sz w:val="20"/>
                <w:szCs w:val="20"/>
              </w:rPr>
              <w:t xml:space="preserve">Outbound</w:t>
            </w:r>
          </w:p>
        </w:tc>
        <w:tc>
          <w:tcPr>
            <w:tcW w:type="dxa" w:w="2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sz w:val="20"/>
                <w:szCs w:val="20"/>
              </w:rPr>
              <w:t xml:space="preserve">Out-of-cycle reimbursement instructions</w:t>
            </w:r>
          </w:p>
        </w:tc>
        <w:tc>
          <w:tcPr>
            <w:tcW w:type="dxa" w:w="2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sz w:val="20"/>
                <w:szCs w:val="20"/>
              </w:rPr>
              <w:t xml:space="preserve">On demand (Finance-initiated)</w:t>
            </w:r>
          </w:p>
        </w:tc>
        <w:tc>
          <w:tcPr>
            <w:tcW w:type="dxa" w:w="10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17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sz w:val="20"/>
                <w:szCs w:val="20"/>
              </w:rPr>
              <w:t xml:space="preserve">OCR / AI Receipt Parser</w:t>
            </w:r>
          </w:p>
        </w:tc>
        <w:tc>
          <w:tcPr>
            <w:tcW w:type="dxa" w:w="10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sz w:val="20"/>
                <w:szCs w:val="20"/>
              </w:rPr>
              <w:t xml:space="preserve">Outbound &amp; Inbound</w:t>
            </w:r>
          </w:p>
        </w:tc>
        <w:tc>
          <w:tcPr>
            <w:tcW w:type="dxa" w:w="26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sz w:val="20"/>
                <w:szCs w:val="20"/>
              </w:rPr>
              <w:t xml:space="preserve">Receipt images (out), parsed field values (in)</w:t>
            </w:r>
          </w:p>
        </w:tc>
        <w:tc>
          <w:tcPr>
            <w:tcW w:type="dxa" w:w="20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sz w:val="20"/>
                <w:szCs w:val="20"/>
              </w:rPr>
              <w:t xml:space="preserve">On receipt upload (real-time)</w:t>
            </w:r>
          </w:p>
        </w:tc>
        <w:tc>
          <w:tcPr>
            <w:tcW w:type="dxa" w:w="10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17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sz w:val="20"/>
                <w:szCs w:val="20"/>
              </w:rPr>
              <w:t xml:space="preserve">Carbon Emission API</w:t>
            </w:r>
          </w:p>
        </w:tc>
        <w:tc>
          <w:tcPr>
            <w:tcW w:type="dxa" w:w="1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sz w:val="20"/>
                <w:szCs w:val="20"/>
              </w:rPr>
              <w:t xml:space="preserve">Outbound &amp; Inbound</w:t>
            </w:r>
          </w:p>
        </w:tc>
        <w:tc>
          <w:tcPr>
            <w:tcW w:type="dxa" w:w="2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sz w:val="20"/>
                <w:szCs w:val="20"/>
              </w:rPr>
              <w:t xml:space="preserve">Trip details (out), emission values in kg CO2 (in)</w:t>
            </w:r>
          </w:p>
        </w:tc>
        <w:tc>
          <w:tcPr>
            <w:tcW w:type="dxa" w:w="2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sz w:val="20"/>
                <w:szCs w:val="20"/>
              </w:rPr>
              <w:t xml:space="preserve">On travel request approval</w:t>
            </w:r>
          </w:p>
        </w:tc>
        <w:tc>
          <w:tcPr>
            <w:tcW w:type="dxa" w:w="10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sz w:val="20"/>
                <w:szCs w:val="20"/>
              </w:rPr>
              <w:t xml:space="preserve">Low</w:t>
            </w:r>
          </w:p>
        </w:tc>
      </w:tr>
      <w:tr>
        <w:tc>
          <w:tcPr>
            <w:tcW w:type="dxa" w:w="17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sz w:val="20"/>
                <w:szCs w:val="20"/>
              </w:rPr>
              <w:t xml:space="preserve">Preferred Vendor Directory</w:t>
            </w:r>
          </w:p>
        </w:tc>
        <w:tc>
          <w:tcPr>
            <w:tcW w:type="dxa" w:w="10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sz w:val="20"/>
                <w:szCs w:val="20"/>
              </w:rPr>
              <w:t xml:space="preserve">Inbound</w:t>
            </w:r>
          </w:p>
        </w:tc>
        <w:tc>
          <w:tcPr>
            <w:tcW w:type="dxa" w:w="26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sz w:val="20"/>
                <w:szCs w:val="20"/>
              </w:rPr>
              <w:t xml:space="preserve">Approved vendor list, negotiated rates</w:t>
            </w:r>
          </w:p>
        </w:tc>
        <w:tc>
          <w:tcPr>
            <w:tcW w:type="dxa" w:w="20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sz w:val="20"/>
                <w:szCs w:val="20"/>
              </w:rPr>
              <w:t xml:space="preserve">Weekly sync</w:t>
            </w:r>
          </w:p>
        </w:tc>
        <w:tc>
          <w:tcPr>
            <w:tcW w:type="dxa" w:w="10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sz w:val="20"/>
                <w:szCs w:val="20"/>
              </w:rPr>
              <w:t xml:space="preserve">Low</w:t>
            </w:r>
          </w:p>
        </w:tc>
      </w:tr>
    </w:tbl>
    <w:p>
      <w:pPr>
        <w:spacing w:after="0" w:before="80"/>
      </w:pPr>
      <w:r>
        <w:t xml:space="preserve"/>
      </w:r>
    </w:p>
    <w:p>
      <w:pPr>
        <w:pStyle w:val="Heading2"/>
        <w:spacing w:after="100" w:before="280"/>
      </w:pPr>
      <w:r>
        <w:rPr>
          <w:rFonts w:ascii="Arial" w:cs="Arial" w:eastAsia="Arial" w:hAnsi="Arial"/>
          <w:b/>
          <w:bCs/>
          <w:color w:val="2E75B6"/>
          <w:sz w:val="26"/>
          <w:szCs w:val="26"/>
        </w:rPr>
        <w:t xml:space="preserve">6.3 Integration Standards</w:t>
      </w:r>
    </w:p>
    <w:p>
      <w:pPr>
        <w:pStyle w:val="ListParagraph"/>
        <w:numPr>
          <w:ilvl w:val="0"/>
          <w:numId w:val="2"/>
        </w:numPr>
        <w:spacing w:after="40" w:before="40"/>
      </w:pPr>
      <w:r>
        <w:rPr>
          <w:rFonts w:ascii="Arial" w:cs="Arial" w:eastAsia="Arial" w:hAnsi="Arial"/>
          <w:sz w:val="22"/>
          <w:szCs w:val="22"/>
        </w:rPr>
        <w:t xml:space="preserve">All external integrations must use REST APIs with JSON payloads or SFTP file transfer where REST is not available.</w:t>
      </w:r>
    </w:p>
    <w:p>
      <w:pPr>
        <w:pStyle w:val="ListParagraph"/>
        <w:numPr>
          <w:ilvl w:val="0"/>
          <w:numId w:val="2"/>
        </w:numPr>
        <w:spacing w:after="40" w:before="40"/>
      </w:pPr>
      <w:r>
        <w:rPr>
          <w:rFonts w:ascii="Arial" w:cs="Arial" w:eastAsia="Arial" w:hAnsi="Arial"/>
          <w:sz w:val="22"/>
          <w:szCs w:val="22"/>
        </w:rPr>
        <w:t xml:space="preserve">API versioning must be maintained. Breaking changes require a minimum 90-day deprecation notice.</w:t>
      </w:r>
    </w:p>
    <w:p>
      <w:pPr>
        <w:pStyle w:val="ListParagraph"/>
        <w:numPr>
          <w:ilvl w:val="0"/>
          <w:numId w:val="2"/>
        </w:numPr>
        <w:spacing w:after="40" w:before="40"/>
      </w:pPr>
      <w:r>
        <w:rPr>
          <w:rFonts w:ascii="Arial" w:cs="Arial" w:eastAsia="Arial" w:hAnsi="Arial"/>
          <w:sz w:val="22"/>
          <w:szCs w:val="22"/>
        </w:rPr>
        <w:t xml:space="preserve">OAuth 2.0 / API key authentication required for all machine-to-machine integrations.</w:t>
      </w:r>
    </w:p>
    <w:p>
      <w:pPr>
        <w:pStyle w:val="ListParagraph"/>
        <w:numPr>
          <w:ilvl w:val="0"/>
          <w:numId w:val="2"/>
        </w:numPr>
        <w:spacing w:after="40" w:before="40"/>
      </w:pPr>
      <w:r>
        <w:rPr>
          <w:rFonts w:ascii="Arial" w:cs="Arial" w:eastAsia="Arial" w:hAnsi="Arial"/>
          <w:sz w:val="22"/>
          <w:szCs w:val="22"/>
        </w:rPr>
        <w:t xml:space="preserve">All integration events must be logged in the system audit log with source, payload hash, timestamp, and status.</w:t>
      </w:r>
    </w:p>
    <w:p>
      <w:pPr>
        <w:pStyle w:val="ListParagraph"/>
        <w:numPr>
          <w:ilvl w:val="0"/>
          <w:numId w:val="2"/>
        </w:numPr>
        <w:spacing w:after="40" w:before="40"/>
      </w:pPr>
      <w:r>
        <w:rPr>
          <w:rFonts w:ascii="Arial" w:cs="Arial" w:eastAsia="Arial" w:hAnsi="Arial"/>
          <w:sz w:val="22"/>
          <w:szCs w:val="22"/>
        </w:rPr>
        <w:t xml:space="preserve">Integration failures must trigger automated alerts to the IT Operations team within 5 minutes.</w:t>
      </w:r>
    </w:p>
    <w:p>
      <w:pPr>
        <w:spacing w:after="0" w:before="80"/>
      </w:pPr>
      <w:r>
        <w:t xml:space="preserve"/>
      </w:r>
    </w:p>
    <w:p>
      <w:r>
        <w:br w:type="page"/>
      </w:r>
    </w:p>
    <w:p>
      <w:pPr>
        <w:pStyle w:val="Heading1"/>
        <w:pBdr>
          <w:bottom w:val="single" w:color="2E75B6" w:sz="6" w:space="4"/>
        </w:pBdr>
        <w:spacing w:after="120" w:before="360"/>
      </w:pPr>
      <w:r>
        <w:rPr>
          <w:rFonts w:ascii="Arial" w:cs="Arial" w:eastAsia="Arial" w:hAnsi="Arial"/>
          <w:b/>
          <w:bCs/>
          <w:color w:val="1F4E79"/>
          <w:sz w:val="32"/>
          <w:szCs w:val="32"/>
        </w:rPr>
        <w:t xml:space="preserve">7. System Architecture Overview</w:t>
      </w:r>
    </w:p>
    <w:p>
      <w:pPr>
        <w:pStyle w:val="Heading2"/>
        <w:spacing w:after="100" w:before="280"/>
      </w:pPr>
      <w:r>
        <w:rPr>
          <w:rFonts w:ascii="Arial" w:cs="Arial" w:eastAsia="Arial" w:hAnsi="Arial"/>
          <w:b/>
          <w:bCs/>
          <w:color w:val="2E75B6"/>
          <w:sz w:val="26"/>
          <w:szCs w:val="26"/>
        </w:rPr>
        <w:t xml:space="preserve">7.1 Architecture Principles</w:t>
      </w:r>
    </w:p>
    <w:p>
      <w:pPr>
        <w:pStyle w:val="ListParagraph"/>
        <w:numPr>
          <w:ilvl w:val="0"/>
          <w:numId w:val="2"/>
        </w:numPr>
        <w:spacing w:after="40" w:before="40"/>
      </w:pPr>
      <w:r>
        <w:rPr>
          <w:rFonts w:ascii="Arial" w:cs="Arial" w:eastAsia="Arial" w:hAnsi="Arial"/>
          <w:sz w:val="22"/>
          <w:szCs w:val="22"/>
        </w:rPr>
        <w:t xml:space="preserve">Cloud-native, multi-tenant SaaS deployment on a leading cloud provider (AWS / Azure / GCP) with primary data residency in India.</w:t>
      </w:r>
    </w:p>
    <w:p>
      <w:pPr>
        <w:pStyle w:val="ListParagraph"/>
        <w:numPr>
          <w:ilvl w:val="0"/>
          <w:numId w:val="2"/>
        </w:numPr>
        <w:spacing w:after="40" w:before="40"/>
      </w:pPr>
      <w:r>
        <w:rPr>
          <w:rFonts w:ascii="Arial" w:cs="Arial" w:eastAsia="Arial" w:hAnsi="Arial"/>
          <w:sz w:val="22"/>
          <w:szCs w:val="22"/>
        </w:rPr>
        <w:t xml:space="preserve">Microservices-based backend to enable independent scaling of high-load components (OCR service, notification service, approval engine).</w:t>
      </w:r>
    </w:p>
    <w:p>
      <w:pPr>
        <w:pStyle w:val="ListParagraph"/>
        <w:numPr>
          <w:ilvl w:val="0"/>
          <w:numId w:val="2"/>
        </w:numPr>
        <w:spacing w:after="40" w:before="40"/>
      </w:pPr>
      <w:r>
        <w:rPr>
          <w:rFonts w:ascii="Arial" w:cs="Arial" w:eastAsia="Arial" w:hAnsi="Arial"/>
          <w:sz w:val="22"/>
          <w:szCs w:val="22"/>
        </w:rPr>
        <w:t xml:space="preserve">API-first design: all business logic exposed via versioned REST APIs consumed by web and mobile clients equally.</w:t>
      </w:r>
    </w:p>
    <w:p>
      <w:pPr>
        <w:pStyle w:val="ListParagraph"/>
        <w:numPr>
          <w:ilvl w:val="0"/>
          <w:numId w:val="2"/>
        </w:numPr>
        <w:spacing w:after="40" w:before="40"/>
      </w:pPr>
      <w:r>
        <w:rPr>
          <w:rFonts w:ascii="Arial" w:cs="Arial" w:eastAsia="Arial" w:hAnsi="Arial"/>
          <w:sz w:val="22"/>
          <w:szCs w:val="22"/>
        </w:rPr>
        <w:t xml:space="preserve">Event-driven architecture for notifications, ERP sync, and audit logging (using a message broker such as Apache Kafka or AWS SQS).</w:t>
      </w:r>
    </w:p>
    <w:p>
      <w:pPr>
        <w:pStyle w:val="ListParagraph"/>
        <w:numPr>
          <w:ilvl w:val="0"/>
          <w:numId w:val="2"/>
        </w:numPr>
        <w:spacing w:after="40" w:before="40"/>
      </w:pPr>
      <w:r>
        <w:rPr>
          <w:rFonts w:ascii="Arial" w:cs="Arial" w:eastAsia="Arial" w:hAnsi="Arial"/>
          <w:sz w:val="22"/>
          <w:szCs w:val="22"/>
        </w:rPr>
        <w:t xml:space="preserve">Stateless application tier to enable horizontal auto-scaling.</w:t>
      </w:r>
    </w:p>
    <w:p>
      <w:pPr>
        <w:pStyle w:val="ListParagraph"/>
        <w:numPr>
          <w:ilvl w:val="0"/>
          <w:numId w:val="2"/>
        </w:numPr>
        <w:spacing w:after="40" w:before="40"/>
      </w:pPr>
      <w:r>
        <w:rPr>
          <w:rFonts w:ascii="Arial" w:cs="Arial" w:eastAsia="Arial" w:hAnsi="Arial"/>
          <w:sz w:val="22"/>
          <w:szCs w:val="22"/>
        </w:rPr>
        <w:t xml:space="preserve">CDN-served frontend assets for fast global load times with India PoPs prioritised.</w:t>
      </w:r>
    </w:p>
    <w:p>
      <w:pPr>
        <w:spacing w:after="0" w:before="80"/>
      </w:pPr>
      <w:r>
        <w:t xml:space="preserve"/>
      </w:r>
    </w:p>
    <w:p>
      <w:pPr>
        <w:pStyle w:val="Heading2"/>
        <w:spacing w:after="100" w:before="280"/>
      </w:pPr>
      <w:r>
        <w:rPr>
          <w:rFonts w:ascii="Arial" w:cs="Arial" w:eastAsia="Arial" w:hAnsi="Arial"/>
          <w:b/>
          <w:bCs/>
          <w:color w:val="2E75B6"/>
          <w:sz w:val="26"/>
          <w:szCs w:val="26"/>
        </w:rPr>
        <w:t xml:space="preserve">7.2 Core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D9D9D9" w:sz="4"/>
              <w:left w:val="single" w:color="D9D9D9" w:sz="4"/>
              <w:bottom w:val="single" w:color="D9D9D9" w:sz="4"/>
              <w:right w:val="single" w:color="D9D9D9" w:sz="4"/>
            </w:tcBorders>
            <w:shd w:fill="1F4E79"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Component</w:t>
            </w:r>
          </w:p>
        </w:tc>
        <w:tc>
          <w:tcPr>
            <w:tcW w:type="dxa" w:w="2400"/>
            <w:tcBorders>
              <w:top w:val="single" w:color="D9D9D9" w:sz="4"/>
              <w:left w:val="single" w:color="D9D9D9" w:sz="4"/>
              <w:bottom w:val="single" w:color="D9D9D9" w:sz="4"/>
              <w:right w:val="single" w:color="D9D9D9" w:sz="4"/>
            </w:tcBorders>
            <w:shd w:fill="1F4E79"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Technology Stack (Indicative)</w:t>
            </w:r>
          </w:p>
        </w:tc>
        <w:tc>
          <w:tcPr>
            <w:tcW w:type="dxa" w:w="4560"/>
            <w:tcBorders>
              <w:top w:val="single" w:color="D9D9D9" w:sz="4"/>
              <w:left w:val="single" w:color="D9D9D9" w:sz="4"/>
              <w:bottom w:val="single" w:color="D9D9D9" w:sz="4"/>
              <w:right w:val="single" w:color="D9D9D9" w:sz="4"/>
            </w:tcBorders>
            <w:shd w:fill="1F4E79"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Responsibility</w:t>
            </w:r>
          </w:p>
        </w:tc>
      </w:tr>
      <w:tr>
        <w:tc>
          <w:tcPr>
            <w:tcW w:type="dxa" w:w="24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sz w:val="20"/>
                <w:szCs w:val="20"/>
              </w:rPr>
              <w:t xml:space="preserve">Web Frontend</w:t>
            </w:r>
          </w:p>
        </w:tc>
        <w:tc>
          <w:tcPr>
            <w:tcW w:type="dxa" w:w="24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sz w:val="20"/>
                <w:szCs w:val="20"/>
              </w:rPr>
              <w:t xml:space="preserve">React / Next.js</w:t>
            </w:r>
          </w:p>
        </w:tc>
        <w:tc>
          <w:tcPr>
            <w:tcW w:type="dxa" w:w="45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sz w:val="20"/>
                <w:szCs w:val="20"/>
              </w:rPr>
              <w:t xml:space="preserve">Employee, approver, and admin web interfaces</w:t>
            </w:r>
          </w:p>
        </w:tc>
      </w:tr>
      <w:tr>
        <w:tc>
          <w:tcPr>
            <w:tcW w:type="dxa" w:w="24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sz w:val="20"/>
                <w:szCs w:val="20"/>
              </w:rPr>
              <w:t xml:space="preserve">Mobile App</w:t>
            </w:r>
          </w:p>
        </w:tc>
        <w:tc>
          <w:tcPr>
            <w:tcW w:type="dxa" w:w="24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sz w:val="20"/>
                <w:szCs w:val="20"/>
              </w:rPr>
              <w:t xml:space="preserve">React Native (iOS + Android)</w:t>
            </w:r>
          </w:p>
        </w:tc>
        <w:tc>
          <w:tcPr>
            <w:tcW w:type="dxa" w:w="45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sz w:val="20"/>
                <w:szCs w:val="20"/>
              </w:rPr>
              <w:t xml:space="preserve">Employee mobile submission and approver mobile</w:t>
            </w:r>
          </w:p>
        </w:tc>
      </w:tr>
      <w:tr>
        <w:tc>
          <w:tcPr>
            <w:tcW w:type="dxa" w:w="24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sz w:val="20"/>
                <w:szCs w:val="20"/>
              </w:rPr>
              <w:t xml:space="preserve">API Gateway</w:t>
            </w:r>
          </w:p>
        </w:tc>
        <w:tc>
          <w:tcPr>
            <w:tcW w:type="dxa" w:w="24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sz w:val="20"/>
                <w:szCs w:val="20"/>
              </w:rPr>
              <w:t xml:space="preserve">AWS API Gateway / Kong</w:t>
            </w:r>
          </w:p>
        </w:tc>
        <w:tc>
          <w:tcPr>
            <w:tcW w:type="dxa" w:w="45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sz w:val="20"/>
                <w:szCs w:val="20"/>
              </w:rPr>
              <w:t xml:space="preserve">Rate limiting, auth validation, routing</w:t>
            </w:r>
          </w:p>
        </w:tc>
      </w:tr>
      <w:tr>
        <w:tc>
          <w:tcPr>
            <w:tcW w:type="dxa" w:w="24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sz w:val="20"/>
                <w:szCs w:val="20"/>
              </w:rPr>
              <w:t xml:space="preserve">Travel Request Service</w:t>
            </w:r>
          </w:p>
        </w:tc>
        <w:tc>
          <w:tcPr>
            <w:tcW w:type="dxa" w:w="24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sz w:val="20"/>
                <w:szCs w:val="20"/>
              </w:rPr>
              <w:t xml:space="preserve">Node.js / Java Spring Boot</w:t>
            </w:r>
          </w:p>
        </w:tc>
        <w:tc>
          <w:tcPr>
            <w:tcW w:type="dxa" w:w="45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sz w:val="20"/>
                <w:szCs w:val="20"/>
              </w:rPr>
              <w:t xml:space="preserve">Travel request CRUD, approval state machine</w:t>
            </w:r>
          </w:p>
        </w:tc>
      </w:tr>
      <w:tr>
        <w:tc>
          <w:tcPr>
            <w:tcW w:type="dxa" w:w="24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sz w:val="20"/>
                <w:szCs w:val="20"/>
              </w:rPr>
              <w:t xml:space="preserve">Expense Management Service</w:t>
            </w:r>
          </w:p>
        </w:tc>
        <w:tc>
          <w:tcPr>
            <w:tcW w:type="dxa" w:w="24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sz w:val="20"/>
                <w:szCs w:val="20"/>
              </w:rPr>
              <w:t xml:space="preserve">Node.js / Java Spring Boot</w:t>
            </w:r>
          </w:p>
        </w:tc>
        <w:tc>
          <w:tcPr>
            <w:tcW w:type="dxa" w:w="45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sz w:val="20"/>
                <w:szCs w:val="20"/>
              </w:rPr>
              <w:t xml:space="preserve">Claim lifecycle, policy engine, duplicate detection</w:t>
            </w:r>
          </w:p>
        </w:tc>
      </w:tr>
      <w:tr>
        <w:tc>
          <w:tcPr>
            <w:tcW w:type="dxa" w:w="24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sz w:val="20"/>
                <w:szCs w:val="20"/>
              </w:rPr>
              <w:t xml:space="preserve">OCR / Document Service</w:t>
            </w:r>
          </w:p>
        </w:tc>
        <w:tc>
          <w:tcPr>
            <w:tcW w:type="dxa" w:w="24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sz w:val="20"/>
                <w:szCs w:val="20"/>
              </w:rPr>
              <w:t xml:space="preserve">Python + AWS Textract / Google Vision</w:t>
            </w:r>
          </w:p>
        </w:tc>
        <w:tc>
          <w:tcPr>
            <w:tcW w:type="dxa" w:w="45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sz w:val="20"/>
                <w:szCs w:val="20"/>
              </w:rPr>
              <w:t xml:space="preserve">Receipt parsing and image storage</w:t>
            </w:r>
          </w:p>
        </w:tc>
      </w:tr>
      <w:tr>
        <w:tc>
          <w:tcPr>
            <w:tcW w:type="dxa" w:w="24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sz w:val="20"/>
                <w:szCs w:val="20"/>
              </w:rPr>
              <w:t xml:space="preserve">Notification Service</w:t>
            </w:r>
          </w:p>
        </w:tc>
        <w:tc>
          <w:tcPr>
            <w:tcW w:type="dxa" w:w="24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sz w:val="20"/>
                <w:szCs w:val="20"/>
              </w:rPr>
              <w:t xml:space="preserve">Node.js + Firebase FCM + SMTP relay</w:t>
            </w:r>
          </w:p>
        </w:tc>
        <w:tc>
          <w:tcPr>
            <w:tcW w:type="dxa" w:w="45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sz w:val="20"/>
                <w:szCs w:val="20"/>
              </w:rPr>
              <w:t xml:space="preserve">Email, push notifications, reminders</w:t>
            </w:r>
          </w:p>
        </w:tc>
      </w:tr>
      <w:tr>
        <w:tc>
          <w:tcPr>
            <w:tcW w:type="dxa" w:w="24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sz w:val="20"/>
                <w:szCs w:val="20"/>
              </w:rPr>
              <w:t xml:space="preserve">Reporting Service</w:t>
            </w:r>
          </w:p>
        </w:tc>
        <w:tc>
          <w:tcPr>
            <w:tcW w:type="dxa" w:w="24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sz w:val="20"/>
                <w:szCs w:val="20"/>
              </w:rPr>
              <w:t xml:space="preserve">Python / Node.js + BI engine</w:t>
            </w:r>
          </w:p>
        </w:tc>
        <w:tc>
          <w:tcPr>
            <w:tcW w:type="dxa" w:w="45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sz w:val="20"/>
                <w:szCs w:val="20"/>
              </w:rPr>
              <w:t xml:space="preserve">Dashboards, report generation, data export</w:t>
            </w:r>
          </w:p>
        </w:tc>
      </w:tr>
      <w:tr>
        <w:tc>
          <w:tcPr>
            <w:tcW w:type="dxa" w:w="24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sz w:val="20"/>
                <w:szCs w:val="20"/>
              </w:rPr>
              <w:t xml:space="preserve">Integration Service</w:t>
            </w:r>
          </w:p>
        </w:tc>
        <w:tc>
          <w:tcPr>
            <w:tcW w:type="dxa" w:w="24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sz w:val="20"/>
                <w:szCs w:val="20"/>
              </w:rPr>
              <w:t xml:space="preserve">Node.js / MuleSoft</w:t>
            </w:r>
          </w:p>
        </w:tc>
        <w:tc>
          <w:tcPr>
            <w:tcW w:type="dxa" w:w="45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sz w:val="20"/>
                <w:szCs w:val="20"/>
              </w:rPr>
              <w:t xml:space="preserve">ERP, HRMS, payroll integration adapters</w:t>
            </w:r>
          </w:p>
        </w:tc>
      </w:tr>
      <w:tr>
        <w:tc>
          <w:tcPr>
            <w:tcW w:type="dxa" w:w="24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sz w:val="20"/>
                <w:szCs w:val="20"/>
              </w:rPr>
              <w:t xml:space="preserve">Audit Log Service</w:t>
            </w:r>
          </w:p>
        </w:tc>
        <w:tc>
          <w:tcPr>
            <w:tcW w:type="dxa" w:w="24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sz w:val="20"/>
                <w:szCs w:val="20"/>
              </w:rPr>
              <w:t xml:space="preserve">Append-only store (e.g., AWS CloudWatch Logs + S3)</w:t>
            </w:r>
          </w:p>
        </w:tc>
        <w:tc>
          <w:tcPr>
            <w:tcW w:type="dxa" w:w="45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sz w:val="20"/>
                <w:szCs w:val="20"/>
              </w:rPr>
              <w:t xml:space="preserve">Immutable transaction and action logging</w:t>
            </w:r>
          </w:p>
        </w:tc>
      </w:tr>
      <w:tr>
        <w:tc>
          <w:tcPr>
            <w:tcW w:type="dxa" w:w="24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sz w:val="20"/>
                <w:szCs w:val="20"/>
              </w:rPr>
              <w:t xml:space="preserve">Database (Transactional)</w:t>
            </w:r>
          </w:p>
        </w:tc>
        <w:tc>
          <w:tcPr>
            <w:tcW w:type="dxa" w:w="24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sz w:val="20"/>
                <w:szCs w:val="20"/>
              </w:rPr>
              <w:t xml:space="preserve">PostgreSQL (primary) + Redis (cache)</w:t>
            </w:r>
          </w:p>
        </w:tc>
        <w:tc>
          <w:tcPr>
            <w:tcW w:type="dxa" w:w="45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sz w:val="20"/>
                <w:szCs w:val="20"/>
              </w:rPr>
              <w:t xml:space="preserve">All transactional data</w:t>
            </w:r>
          </w:p>
        </w:tc>
      </w:tr>
      <w:tr>
        <w:tc>
          <w:tcPr>
            <w:tcW w:type="dxa" w:w="24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sz w:val="20"/>
                <w:szCs w:val="20"/>
              </w:rPr>
              <w:t xml:space="preserve">Object Storage</w:t>
            </w:r>
          </w:p>
        </w:tc>
        <w:tc>
          <w:tcPr>
            <w:tcW w:type="dxa" w:w="24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sz w:val="20"/>
                <w:szCs w:val="20"/>
              </w:rPr>
              <w:t xml:space="preserve">AWS S3 / Azure Blob</w:t>
            </w:r>
          </w:p>
        </w:tc>
        <w:tc>
          <w:tcPr>
            <w:tcW w:type="dxa" w:w="45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sz w:val="20"/>
                <w:szCs w:val="20"/>
              </w:rPr>
              <w:t xml:space="preserve">Receipt images, export files, document attachments</w:t>
            </w:r>
          </w:p>
        </w:tc>
      </w:tr>
    </w:tbl>
    <w:p>
      <w:pPr>
        <w:spacing w:after="0" w:before="80"/>
      </w:pPr>
      <w:r>
        <w:t xml:space="preserve"/>
      </w:r>
    </w:p>
    <w:p>
      <w:r>
        <w:br w:type="page"/>
      </w:r>
    </w:p>
    <w:p>
      <w:pPr>
        <w:pStyle w:val="Heading1"/>
        <w:pBdr>
          <w:bottom w:val="single" w:color="2E75B6" w:sz="6" w:space="4"/>
        </w:pBdr>
        <w:spacing w:after="120" w:before="360"/>
      </w:pPr>
      <w:r>
        <w:rPr>
          <w:rFonts w:ascii="Arial" w:cs="Arial" w:eastAsia="Arial" w:hAnsi="Arial"/>
          <w:b/>
          <w:bCs/>
          <w:color w:val="1F4E79"/>
          <w:sz w:val="32"/>
          <w:szCs w:val="32"/>
        </w:rPr>
        <w:t xml:space="preserve">8. Key User Stories &amp; Acceptance Criteria</w:t>
      </w:r>
    </w:p>
    <w:p>
      <w:pPr>
        <w:pStyle w:val="Heading2"/>
        <w:spacing w:after="100" w:before="280"/>
      </w:pPr>
      <w:r>
        <w:rPr>
          <w:rFonts w:ascii="Arial" w:cs="Arial" w:eastAsia="Arial" w:hAnsi="Arial"/>
          <w:b/>
          <w:bCs/>
          <w:color w:val="2E75B6"/>
          <w:sz w:val="26"/>
          <w:szCs w:val="26"/>
        </w:rPr>
        <w:t xml:space="preserve">8.1 Employee — Expense Submission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2"/>
              <w:left w:val="none" w:color="FFFFFF" w:sz="0"/>
              <w:bottom w:val="single" w:color="D9D9D9" w:sz="4"/>
              <w:right w:val="none" w:color="FFFFFF" w:sz="0"/>
            </w:tcBorders>
            <w:shd w:fill="D6E4F0" w:val="clear"/>
            <w:tcMar>
              <w:top w:type="dxa" w:w="100"/>
              <w:left w:type="dxa" w:w="160"/>
              <w:bottom w:type="dxa" w:w="100"/>
              <w:right w:type="dxa" w:w="160"/>
            </w:tcMar>
          </w:tcPr>
          <w:p>
            <w:pPr>
              <w:spacing w:after="40" w:before="0"/>
            </w:pPr>
            <w:r>
              <w:rPr>
                <w:rFonts w:ascii="Arial" w:cs="Arial" w:eastAsia="Arial" w:hAnsi="Arial"/>
                <w:b/>
                <w:bCs/>
                <w:color w:val="1F4E79"/>
                <w:sz w:val="20"/>
                <w:szCs w:val="20"/>
              </w:rPr>
              <w:t xml:space="preserve">US-001</w:t>
            </w:r>
          </w:p>
          <w:p>
            <w:pPr>
              <w:spacing w:after="0" w:before="0"/>
            </w:pPr>
            <w:r>
              <w:rPr>
                <w:rFonts w:ascii="Arial" w:cs="Arial" w:eastAsia="Arial" w:hAnsi="Arial"/>
                <w:i/>
                <w:iCs/>
                <w:color w:val="333333"/>
                <w:sz w:val="20"/>
                <w:szCs w:val="20"/>
              </w:rPr>
              <w:t xml:space="preserve">As an employee, I want to photograph a receipt and have the expense details auto-filled, so that I can submit expense claims in under 10 minutes from my mobile phone.</w:t>
            </w:r>
          </w:p>
        </w:tc>
      </w:tr>
    </w:tbl>
    <w:p>
      <w:pPr>
        <w:spacing w:after="0" w:before="80"/>
      </w:pPr>
      <w:r>
        <w:t xml:space="preserve"/>
      </w:r>
    </w:p>
    <w:p>
      <w:pPr>
        <w:spacing w:after="60" w:before="60"/>
        <w:rPr>
          <w:b/>
          <w:bCs/>
        </w:rPr>
      </w:pPr>
      <w:r>
        <w:rPr>
          <w:rFonts w:ascii="Arial" w:cs="Arial" w:eastAsia="Arial" w:hAnsi="Arial"/>
          <w:b/>
          <w:bCs/>
          <w:sz w:val="22"/>
          <w:szCs w:val="22"/>
        </w:rPr>
        <w:t xml:space="preserve">Acceptance Criteria:</w:t>
      </w:r>
    </w:p>
    <w:p>
      <w:pPr>
        <w:pStyle w:val="ListParagraph"/>
        <w:numPr>
          <w:ilvl w:val="0"/>
          <w:numId w:val="2"/>
        </w:numPr>
        <w:spacing w:after="40" w:before="40"/>
      </w:pPr>
      <w:r>
        <w:rPr>
          <w:rFonts w:ascii="Arial" w:cs="Arial" w:eastAsia="Arial" w:hAnsi="Arial"/>
          <w:sz w:val="22"/>
          <w:szCs w:val="22"/>
        </w:rPr>
        <w:t xml:space="preserve">Given the employee opens the mobile app and taps 'Add Expense', when they capture a receipt photo, then the system returns OCR-parsed date, vendor, and amount within 5 seconds.</w:t>
      </w:r>
    </w:p>
    <w:p>
      <w:pPr>
        <w:pStyle w:val="ListParagraph"/>
        <w:numPr>
          <w:ilvl w:val="0"/>
          <w:numId w:val="2"/>
        </w:numPr>
        <w:spacing w:after="40" w:before="40"/>
      </w:pPr>
      <w:r>
        <w:rPr>
          <w:rFonts w:ascii="Arial" w:cs="Arial" w:eastAsia="Arial" w:hAnsi="Arial"/>
          <w:sz w:val="22"/>
          <w:szCs w:val="22"/>
        </w:rPr>
        <w:t xml:space="preserve">Given the OCR returns values, when the employee reviews them, then all fields are editable before submission.</w:t>
      </w:r>
    </w:p>
    <w:p>
      <w:pPr>
        <w:pStyle w:val="ListParagraph"/>
        <w:numPr>
          <w:ilvl w:val="0"/>
          <w:numId w:val="2"/>
        </w:numPr>
        <w:spacing w:after="40" w:before="40"/>
      </w:pPr>
      <w:r>
        <w:rPr>
          <w:rFonts w:ascii="Arial" w:cs="Arial" w:eastAsia="Arial" w:hAnsi="Arial"/>
          <w:sz w:val="22"/>
          <w:szCs w:val="22"/>
        </w:rPr>
        <w:t xml:space="preserve">Given the employee submits a claim, when the claim amount exceeds a policy limit, then the system displays the specific policy rule violated in plain language and offers the option to add a justification note.</w:t>
      </w:r>
    </w:p>
    <w:p>
      <w:pPr>
        <w:pStyle w:val="ListParagraph"/>
        <w:numPr>
          <w:ilvl w:val="0"/>
          <w:numId w:val="2"/>
        </w:numPr>
        <w:spacing w:after="40" w:before="40"/>
      </w:pPr>
      <w:r>
        <w:rPr>
          <w:rFonts w:ascii="Arial" w:cs="Arial" w:eastAsia="Arial" w:hAnsi="Arial"/>
          <w:sz w:val="22"/>
          <w:szCs w:val="22"/>
        </w:rPr>
        <w:t xml:space="preserve">Given the employee submits a valid claim, when submission is confirmed, then the employee receives an in-app confirmation and email within 60 seconds.</w:t>
      </w:r>
    </w:p>
    <w:p>
      <w:pPr>
        <w:spacing w:after="0" w:before="80"/>
      </w:pPr>
      <w:r>
        <w:t xml:space="preserve"/>
      </w:r>
    </w:p>
    <w:p>
      <w:pPr>
        <w:pStyle w:val="Heading2"/>
        <w:spacing w:after="100" w:before="280"/>
      </w:pPr>
      <w:r>
        <w:rPr>
          <w:rFonts w:ascii="Arial" w:cs="Arial" w:eastAsia="Arial" w:hAnsi="Arial"/>
          <w:b/>
          <w:bCs/>
          <w:color w:val="2E75B6"/>
          <w:sz w:val="26"/>
          <w:szCs w:val="26"/>
        </w:rPr>
        <w:t xml:space="preserve">8.2 Line Manager —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2"/>
              <w:left w:val="none" w:color="FFFFFF" w:sz="0"/>
              <w:bottom w:val="single" w:color="D9D9D9" w:sz="4"/>
              <w:right w:val="none" w:color="FFFFFF" w:sz="0"/>
            </w:tcBorders>
            <w:shd w:fill="D6E4F0" w:val="clear"/>
            <w:tcMar>
              <w:top w:type="dxa" w:w="100"/>
              <w:left w:type="dxa" w:w="160"/>
              <w:bottom w:type="dxa" w:w="100"/>
              <w:right w:type="dxa" w:w="160"/>
            </w:tcMar>
          </w:tcPr>
          <w:p>
            <w:pPr>
              <w:spacing w:after="40" w:before="0"/>
            </w:pPr>
            <w:r>
              <w:rPr>
                <w:rFonts w:ascii="Arial" w:cs="Arial" w:eastAsia="Arial" w:hAnsi="Arial"/>
                <w:b/>
                <w:bCs/>
                <w:color w:val="1F4E79"/>
                <w:sz w:val="20"/>
                <w:szCs w:val="20"/>
              </w:rPr>
              <w:t xml:space="preserve">US-002</w:t>
            </w:r>
          </w:p>
          <w:p>
            <w:pPr>
              <w:spacing w:after="0" w:before="0"/>
            </w:pPr>
            <w:r>
              <w:rPr>
                <w:rFonts w:ascii="Arial" w:cs="Arial" w:eastAsia="Arial" w:hAnsi="Arial"/>
                <w:i/>
                <w:iCs/>
                <w:color w:val="333333"/>
                <w:sz w:val="20"/>
                <w:szCs w:val="20"/>
              </w:rPr>
              <w:t xml:space="preserve">As a line manager, I want to review and approve expense claims from my mobile phone in under 2 minutes, so that my team's reimbursements are not delayed by my travel schedule.</w:t>
            </w:r>
          </w:p>
        </w:tc>
      </w:tr>
    </w:tbl>
    <w:p>
      <w:pPr>
        <w:spacing w:after="0" w:before="80"/>
      </w:pPr>
      <w:r>
        <w:t xml:space="preserve"/>
      </w:r>
    </w:p>
    <w:p>
      <w:pPr>
        <w:spacing w:after="60" w:before="60"/>
        <w:rPr>
          <w:b/>
          <w:bCs/>
        </w:rPr>
      </w:pPr>
      <w:r>
        <w:rPr>
          <w:rFonts w:ascii="Arial" w:cs="Arial" w:eastAsia="Arial" w:hAnsi="Arial"/>
          <w:b/>
          <w:bCs/>
          <w:sz w:val="22"/>
          <w:szCs w:val="22"/>
        </w:rPr>
        <w:t xml:space="preserve">Acceptance Criteria:</w:t>
      </w:r>
    </w:p>
    <w:p>
      <w:pPr>
        <w:pStyle w:val="ListParagraph"/>
        <w:numPr>
          <w:ilvl w:val="0"/>
          <w:numId w:val="2"/>
        </w:numPr>
        <w:spacing w:after="40" w:before="40"/>
      </w:pPr>
      <w:r>
        <w:rPr>
          <w:rFonts w:ascii="Arial" w:cs="Arial" w:eastAsia="Arial" w:hAnsi="Arial"/>
          <w:sz w:val="22"/>
          <w:szCs w:val="22"/>
        </w:rPr>
        <w:t xml:space="preserve">Given a claim is submitted by a direct report, when it reaches the manager's queue, then the manager receives a push notification within 60 seconds.</w:t>
      </w:r>
    </w:p>
    <w:p>
      <w:pPr>
        <w:pStyle w:val="ListParagraph"/>
        <w:numPr>
          <w:ilvl w:val="0"/>
          <w:numId w:val="2"/>
        </w:numPr>
        <w:spacing w:after="40" w:before="40"/>
      </w:pPr>
      <w:r>
        <w:rPr>
          <w:rFonts w:ascii="Arial" w:cs="Arial" w:eastAsia="Arial" w:hAnsi="Arial"/>
          <w:sz w:val="22"/>
          <w:szCs w:val="22"/>
        </w:rPr>
        <w:t xml:space="preserve">Given the manager opens the approval screen, when viewing a claim, then they see: employee name, trip purpose, total amount, policy violation flags, receipt thumbnails, and budget impact.</w:t>
      </w:r>
    </w:p>
    <w:p>
      <w:pPr>
        <w:pStyle w:val="ListParagraph"/>
        <w:numPr>
          <w:ilvl w:val="0"/>
          <w:numId w:val="2"/>
        </w:numPr>
        <w:spacing w:after="40" w:before="40"/>
      </w:pPr>
      <w:r>
        <w:rPr>
          <w:rFonts w:ascii="Arial" w:cs="Arial" w:eastAsia="Arial" w:hAnsi="Arial"/>
          <w:sz w:val="22"/>
          <w:szCs w:val="22"/>
        </w:rPr>
        <w:t xml:space="preserve">Given the manager approves, when they tap 'Approve', then the claim moves to the next workflow step within 10 seconds.</w:t>
      </w:r>
    </w:p>
    <w:p>
      <w:pPr>
        <w:pStyle w:val="ListParagraph"/>
        <w:numPr>
          <w:ilvl w:val="0"/>
          <w:numId w:val="2"/>
        </w:numPr>
        <w:spacing w:after="40" w:before="40"/>
      </w:pPr>
      <w:r>
        <w:rPr>
          <w:rFonts w:ascii="Arial" w:cs="Arial" w:eastAsia="Arial" w:hAnsi="Arial"/>
          <w:sz w:val="22"/>
          <w:szCs w:val="22"/>
        </w:rPr>
        <w:t xml:space="preserve">Given the manager is on leave, when a claim enters their queue, then the system auto-escalates to the configured delegate after the SLA window.</w:t>
      </w:r>
    </w:p>
    <w:p>
      <w:pPr>
        <w:spacing w:after="0" w:before="80"/>
      </w:pPr>
      <w:r>
        <w:t xml:space="preserve"/>
      </w:r>
    </w:p>
    <w:p>
      <w:pPr>
        <w:pStyle w:val="Heading2"/>
        <w:spacing w:after="100" w:before="280"/>
      </w:pPr>
      <w:r>
        <w:rPr>
          <w:rFonts w:ascii="Arial" w:cs="Arial" w:eastAsia="Arial" w:hAnsi="Arial"/>
          <w:b/>
          <w:bCs/>
          <w:color w:val="2E75B6"/>
          <w:sz w:val="26"/>
          <w:szCs w:val="26"/>
        </w:rPr>
        <w:t xml:space="preserve">8.3 Finance Reviewer — Processing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2"/>
              <w:left w:val="none" w:color="FFFFFF" w:sz="0"/>
              <w:bottom w:val="single" w:color="D9D9D9" w:sz="4"/>
              <w:right w:val="none" w:color="FFFFFF" w:sz="0"/>
            </w:tcBorders>
            <w:shd w:fill="D6E4F0" w:val="clear"/>
            <w:tcMar>
              <w:top w:type="dxa" w:w="100"/>
              <w:left w:type="dxa" w:w="160"/>
              <w:bottom w:type="dxa" w:w="100"/>
              <w:right w:type="dxa" w:w="160"/>
            </w:tcMar>
          </w:tcPr>
          <w:p>
            <w:pPr>
              <w:spacing w:after="40" w:before="0"/>
            </w:pPr>
            <w:r>
              <w:rPr>
                <w:rFonts w:ascii="Arial" w:cs="Arial" w:eastAsia="Arial" w:hAnsi="Arial"/>
                <w:b/>
                <w:bCs/>
                <w:color w:val="1F4E79"/>
                <w:sz w:val="20"/>
                <w:szCs w:val="20"/>
              </w:rPr>
              <w:t xml:space="preserve">US-003</w:t>
            </w:r>
          </w:p>
          <w:p>
            <w:pPr>
              <w:spacing w:after="0" w:before="0"/>
            </w:pPr>
            <w:r>
              <w:rPr>
                <w:rFonts w:ascii="Arial" w:cs="Arial" w:eastAsia="Arial" w:hAnsi="Arial"/>
                <w:i/>
                <w:iCs/>
                <w:color w:val="333333"/>
                <w:sz w:val="20"/>
                <w:szCs w:val="20"/>
              </w:rPr>
              <w:t xml:space="preserve">As a Finance Reviewer, I want automated policy checks and duplicate detection so I only spend time on exceptions, reducing my T&amp;E processing time by at least 40%.</w:t>
            </w:r>
          </w:p>
        </w:tc>
      </w:tr>
    </w:tbl>
    <w:p>
      <w:pPr>
        <w:spacing w:after="0" w:before="80"/>
      </w:pPr>
      <w:r>
        <w:t xml:space="preserve"/>
      </w:r>
    </w:p>
    <w:p>
      <w:pPr>
        <w:spacing w:after="60" w:before="60"/>
        <w:rPr>
          <w:b/>
          <w:bCs/>
        </w:rPr>
      </w:pPr>
      <w:r>
        <w:rPr>
          <w:rFonts w:ascii="Arial" w:cs="Arial" w:eastAsia="Arial" w:hAnsi="Arial"/>
          <w:b/>
          <w:bCs/>
          <w:sz w:val="22"/>
          <w:szCs w:val="22"/>
        </w:rPr>
        <w:t xml:space="preserve">Acceptance Criteria:</w:t>
      </w:r>
    </w:p>
    <w:p>
      <w:pPr>
        <w:pStyle w:val="ListParagraph"/>
        <w:numPr>
          <w:ilvl w:val="0"/>
          <w:numId w:val="2"/>
        </w:numPr>
        <w:spacing w:after="40" w:before="40"/>
      </w:pPr>
      <w:r>
        <w:rPr>
          <w:rFonts w:ascii="Arial" w:cs="Arial" w:eastAsia="Arial" w:hAnsi="Arial"/>
          <w:sz w:val="22"/>
          <w:szCs w:val="22"/>
        </w:rPr>
        <w:t xml:space="preserve">Given a claim passes all automated policy checks, when it reaches Finance Review, then it is automatically queued for reimbursement processing without requiring manual reviewer action (straight-through processing).</w:t>
      </w:r>
    </w:p>
    <w:p>
      <w:pPr>
        <w:pStyle w:val="ListParagraph"/>
        <w:numPr>
          <w:ilvl w:val="0"/>
          <w:numId w:val="2"/>
        </w:numPr>
        <w:spacing w:after="40" w:before="40"/>
      </w:pPr>
      <w:r>
        <w:rPr>
          <w:rFonts w:ascii="Arial" w:cs="Arial" w:eastAsia="Arial" w:hAnsi="Arial"/>
          <w:sz w:val="22"/>
          <w:szCs w:val="22"/>
        </w:rPr>
        <w:t xml:space="preserve">Given a duplicate claim is detected, when the employee attempts submission, then the system blocks submission and displays the original claim reference.</w:t>
      </w:r>
    </w:p>
    <w:p>
      <w:pPr>
        <w:pStyle w:val="ListParagraph"/>
        <w:numPr>
          <w:ilvl w:val="0"/>
          <w:numId w:val="2"/>
        </w:numPr>
        <w:spacing w:after="40" w:before="40"/>
      </w:pPr>
      <w:r>
        <w:rPr>
          <w:rFonts w:ascii="Arial" w:cs="Arial" w:eastAsia="Arial" w:hAnsi="Arial"/>
          <w:sz w:val="22"/>
          <w:szCs w:val="22"/>
        </w:rPr>
        <w:t xml:space="preserve">Given a claim has policy flags, when it reaches the Finance queue, then the reviewer sees a summarised exception reason and can approve with override or reject with a comment.</w:t>
      </w:r>
    </w:p>
    <w:p>
      <w:pPr>
        <w:spacing w:after="0" w:before="80"/>
      </w:pPr>
      <w:r>
        <w:t xml:space="preserve"/>
      </w:r>
    </w:p>
    <w:p>
      <w:pPr>
        <w:pStyle w:val="Heading2"/>
        <w:spacing w:after="100" w:before="280"/>
      </w:pPr>
      <w:r>
        <w:rPr>
          <w:rFonts w:ascii="Arial" w:cs="Arial" w:eastAsia="Arial" w:hAnsi="Arial"/>
          <w:b/>
          <w:bCs/>
          <w:color w:val="2E75B6"/>
          <w:sz w:val="26"/>
          <w:szCs w:val="26"/>
        </w:rPr>
        <w:t xml:space="preserve">8.4 Finance Controller — Reporting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2"/>
              <w:left w:val="none" w:color="FFFFFF" w:sz="0"/>
              <w:bottom w:val="single" w:color="D9D9D9" w:sz="4"/>
              <w:right w:val="none" w:color="FFFFFF" w:sz="0"/>
            </w:tcBorders>
            <w:shd w:fill="D6E4F0" w:val="clear"/>
            <w:tcMar>
              <w:top w:type="dxa" w:w="100"/>
              <w:left w:type="dxa" w:w="160"/>
              <w:bottom w:type="dxa" w:w="100"/>
              <w:right w:type="dxa" w:w="160"/>
            </w:tcMar>
          </w:tcPr>
          <w:p>
            <w:pPr>
              <w:spacing w:after="40" w:before="0"/>
            </w:pPr>
            <w:r>
              <w:rPr>
                <w:rFonts w:ascii="Arial" w:cs="Arial" w:eastAsia="Arial" w:hAnsi="Arial"/>
                <w:b/>
                <w:bCs/>
                <w:color w:val="1F4E79"/>
                <w:sz w:val="20"/>
                <w:szCs w:val="20"/>
              </w:rPr>
              <w:t xml:space="preserve">US-004</w:t>
            </w:r>
          </w:p>
          <w:p>
            <w:pPr>
              <w:spacing w:after="0" w:before="0"/>
            </w:pPr>
            <w:r>
              <w:rPr>
                <w:rFonts w:ascii="Arial" w:cs="Arial" w:eastAsia="Arial" w:hAnsi="Arial"/>
                <w:i/>
                <w:iCs/>
                <w:color w:val="333333"/>
                <w:sz w:val="20"/>
                <w:szCs w:val="20"/>
              </w:rPr>
              <w:t xml:space="preserve">As a Finance Controller, I want a real-time dashboard showing T&amp;E spend vs budget by department and category, so I can take corrective action before the period ends rather than after.</w:t>
            </w:r>
          </w:p>
        </w:tc>
      </w:tr>
    </w:tbl>
    <w:p>
      <w:pPr>
        <w:spacing w:after="0" w:before="80"/>
      </w:pPr>
      <w:r>
        <w:t xml:space="preserve"/>
      </w:r>
    </w:p>
    <w:p>
      <w:pPr>
        <w:spacing w:after="60" w:before="60"/>
        <w:rPr>
          <w:b/>
          <w:bCs/>
        </w:rPr>
      </w:pPr>
      <w:r>
        <w:rPr>
          <w:rFonts w:ascii="Arial" w:cs="Arial" w:eastAsia="Arial" w:hAnsi="Arial"/>
          <w:b/>
          <w:bCs/>
          <w:sz w:val="22"/>
          <w:szCs w:val="22"/>
        </w:rPr>
        <w:t xml:space="preserve">Acceptance Criteria:</w:t>
      </w:r>
    </w:p>
    <w:p>
      <w:pPr>
        <w:pStyle w:val="ListParagraph"/>
        <w:numPr>
          <w:ilvl w:val="0"/>
          <w:numId w:val="2"/>
        </w:numPr>
        <w:spacing w:after="40" w:before="40"/>
      </w:pPr>
      <w:r>
        <w:rPr>
          <w:rFonts w:ascii="Arial" w:cs="Arial" w:eastAsia="Arial" w:hAnsi="Arial"/>
          <w:sz w:val="22"/>
          <w:szCs w:val="22"/>
        </w:rPr>
        <w:t xml:space="preserve">Given the Finance Controller logs in, when they navigate to the dashboard, then data reflects transactions processed within the last 15 minutes.</w:t>
      </w:r>
    </w:p>
    <w:p>
      <w:pPr>
        <w:pStyle w:val="ListParagraph"/>
        <w:numPr>
          <w:ilvl w:val="0"/>
          <w:numId w:val="2"/>
        </w:numPr>
        <w:spacing w:after="40" w:before="40"/>
      </w:pPr>
      <w:r>
        <w:rPr>
          <w:rFonts w:ascii="Arial" w:cs="Arial" w:eastAsia="Arial" w:hAnsi="Arial"/>
          <w:sz w:val="22"/>
          <w:szCs w:val="22"/>
        </w:rPr>
        <w:t xml:space="preserve">Given a cost centre reaches 90% of its T&amp;E budget, when this threshold is crossed, then an alert is sent to the Finance Controller and the relevant Department Head automatically.</w:t>
      </w:r>
    </w:p>
    <w:p>
      <w:pPr>
        <w:pStyle w:val="ListParagraph"/>
        <w:numPr>
          <w:ilvl w:val="0"/>
          <w:numId w:val="2"/>
        </w:numPr>
        <w:spacing w:after="40" w:before="40"/>
      </w:pPr>
      <w:r>
        <w:rPr>
          <w:rFonts w:ascii="Arial" w:cs="Arial" w:eastAsia="Arial" w:hAnsi="Arial"/>
          <w:sz w:val="22"/>
          <w:szCs w:val="22"/>
        </w:rPr>
        <w:t xml:space="preserve">Given the controller selects a time period and department, when they export the Expense Analysis Report, then the file is available for download within 30 seconds.</w:t>
      </w:r>
    </w:p>
    <w:p>
      <w:pPr>
        <w:spacing w:after="0" w:before="80"/>
      </w:pPr>
      <w:r>
        <w:t xml:space="preserve"/>
      </w:r>
    </w:p>
    <w:p>
      <w:r>
        <w:br w:type="page"/>
      </w:r>
    </w:p>
    <w:p>
      <w:pPr>
        <w:pStyle w:val="Heading1"/>
        <w:pBdr>
          <w:bottom w:val="single" w:color="2E75B6" w:sz="6" w:space="4"/>
        </w:pBdr>
        <w:spacing w:after="120" w:before="360"/>
      </w:pPr>
      <w:r>
        <w:rPr>
          <w:rFonts w:ascii="Arial" w:cs="Arial" w:eastAsia="Arial" w:hAnsi="Arial"/>
          <w:b/>
          <w:bCs/>
          <w:color w:val="1F4E79"/>
          <w:sz w:val="32"/>
          <w:szCs w:val="32"/>
        </w:rPr>
        <w:t xml:space="preserve">9. Release Plan &amp; Feature Phasing</w:t>
      </w:r>
    </w:p>
    <w:p>
      <w:pPr>
        <w:pStyle w:val="Heading2"/>
        <w:spacing w:after="100" w:before="280"/>
      </w:pPr>
      <w:r>
        <w:rPr>
          <w:rFonts w:ascii="Arial" w:cs="Arial" w:eastAsia="Arial" w:hAnsi="Arial"/>
          <w:b/>
          <w:bCs/>
          <w:color w:val="2E75B6"/>
          <w:sz w:val="26"/>
          <w:szCs w:val="26"/>
        </w:rPr>
        <w:t xml:space="preserve">9.1 Phased Delivery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3800"/>
        <w:gridCol w:w="2960"/>
      </w:tblGrid>
      <w:tr>
        <w:trPr>
          <w:tblHeader/>
        </w:trPr>
        <w:tc>
          <w:tcPr>
            <w:tcW w:type="dxa" w:w="1200"/>
            <w:tcBorders>
              <w:top w:val="single" w:color="D9D9D9" w:sz="4"/>
              <w:left w:val="single" w:color="D9D9D9" w:sz="4"/>
              <w:bottom w:val="single" w:color="D9D9D9" w:sz="4"/>
              <w:right w:val="single" w:color="D9D9D9" w:sz="4"/>
            </w:tcBorders>
            <w:shd w:fill="1F4E79"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Phase</w:t>
            </w:r>
          </w:p>
        </w:tc>
        <w:tc>
          <w:tcPr>
            <w:tcW w:type="dxa" w:w="1400"/>
            <w:tcBorders>
              <w:top w:val="single" w:color="D9D9D9" w:sz="4"/>
              <w:left w:val="single" w:color="D9D9D9" w:sz="4"/>
              <w:bottom w:val="single" w:color="D9D9D9" w:sz="4"/>
              <w:right w:val="single" w:color="D9D9D9" w:sz="4"/>
            </w:tcBorders>
            <w:shd w:fill="1F4E79"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Timeline</w:t>
            </w:r>
          </w:p>
        </w:tc>
        <w:tc>
          <w:tcPr>
            <w:tcW w:type="dxa" w:w="3800"/>
            <w:tcBorders>
              <w:top w:val="single" w:color="D9D9D9" w:sz="4"/>
              <w:left w:val="single" w:color="D9D9D9" w:sz="4"/>
              <w:bottom w:val="single" w:color="D9D9D9" w:sz="4"/>
              <w:right w:val="single" w:color="D9D9D9" w:sz="4"/>
            </w:tcBorders>
            <w:shd w:fill="1F4E79"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Features Delivered</w:t>
            </w:r>
          </w:p>
        </w:tc>
        <w:tc>
          <w:tcPr>
            <w:tcW w:type="dxa" w:w="2960"/>
            <w:tcBorders>
              <w:top w:val="single" w:color="D9D9D9" w:sz="4"/>
              <w:left w:val="single" w:color="D9D9D9" w:sz="4"/>
              <w:bottom w:val="single" w:color="D9D9D9" w:sz="4"/>
              <w:right w:val="single" w:color="D9D9D9" w:sz="4"/>
            </w:tcBorders>
            <w:shd w:fill="1F4E79"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Success Gate</w:t>
            </w:r>
          </w:p>
        </w:tc>
      </w:tr>
      <w:tr>
        <w:tc>
          <w:tcPr>
            <w:tcW w:type="dxa" w:w="12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sz w:val="20"/>
                <w:szCs w:val="20"/>
              </w:rPr>
              <w:t xml:space="preserve">Phase 1 — Core</w:t>
            </w:r>
          </w:p>
        </w:tc>
        <w:tc>
          <w:tcPr>
            <w:tcW w:type="dxa" w:w="14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sz w:val="20"/>
                <w:szCs w:val="20"/>
              </w:rPr>
              <w:t xml:space="preserve">Months 1–6</w:t>
            </w:r>
          </w:p>
        </w:tc>
        <w:tc>
          <w:tcPr>
            <w:tcW w:type="dxa" w:w="3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sz w:val="20"/>
                <w:szCs w:val="20"/>
              </w:rPr>
              <w:t xml:space="preserve">Travel request &amp; approval; expense claim submission (web); OCR receipt capture; basic policy engine; Finance approval workflow; ERP integration; reimbursement processing; email notifications; standard reports.</w:t>
            </w:r>
          </w:p>
        </w:tc>
        <w:tc>
          <w:tcPr>
            <w:tcW w:type="dxa" w:w="29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sz w:val="20"/>
                <w:szCs w:val="20"/>
              </w:rPr>
              <w:t xml:space="preserve">90% of employees onboarded; approval cycle &lt; 24 hrs; 0 P1 incidents in Month 3.</w:t>
            </w:r>
          </w:p>
        </w:tc>
      </w:tr>
      <w:tr>
        <w:tc>
          <w:tcPr>
            <w:tcW w:type="dxa" w:w="12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sz w:val="20"/>
                <w:szCs w:val="20"/>
              </w:rPr>
              <w:t xml:space="preserve">Phase 2 — Mobile &amp; Automation</w:t>
            </w:r>
          </w:p>
        </w:tc>
        <w:tc>
          <w:tcPr>
            <w:tcW w:type="dxa" w:w="14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sz w:val="20"/>
                <w:szCs w:val="20"/>
              </w:rPr>
              <w:t xml:space="preserve">Months 7–12</w:t>
            </w:r>
          </w:p>
        </w:tc>
        <w:tc>
          <w:tcPr>
            <w:tcW w:type="dxa" w:w="3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sz w:val="20"/>
                <w:szCs w:val="20"/>
              </w:rPr>
              <w:t xml:space="preserve">Mobile app (iOS + Android); push notifications; straight-through processing; duplicate detection; advance management; mobile approvals; HRMS full sync; management dashboard.</w:t>
            </w:r>
          </w:p>
        </w:tc>
        <w:tc>
          <w:tcPr>
            <w:tcW w:type="dxa" w:w="29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sz w:val="20"/>
                <w:szCs w:val="20"/>
              </w:rPr>
              <w:t xml:space="preserve">≥ 60% mobile submissions; ≥ 80% automation rate; CSAT ≥ 3.8 / 5.0.</w:t>
            </w:r>
          </w:p>
        </w:tc>
      </w:tr>
      <w:tr>
        <w:tc>
          <w:tcPr>
            <w:tcW w:type="dxa" w:w="12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sz w:val="20"/>
                <w:szCs w:val="20"/>
              </w:rPr>
              <w:t xml:space="preserve">Phase 3 — Intelligence &amp; Compliance</w:t>
            </w:r>
          </w:p>
        </w:tc>
        <w:tc>
          <w:tcPr>
            <w:tcW w:type="dxa" w:w="14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sz w:val="20"/>
                <w:szCs w:val="20"/>
              </w:rPr>
              <w:t xml:space="preserve">Months 13–18</w:t>
            </w:r>
          </w:p>
        </w:tc>
        <w:tc>
          <w:tcPr>
            <w:tcW w:type="dxa" w:w="3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sz w:val="20"/>
                <w:szCs w:val="20"/>
              </w:rPr>
              <w:t xml:space="preserve">Fraud detection rules; GST ITC reporting; carbon emission tracking; preferred vendor utilisation; budget alerts; audit-ready compliance reports; policy self-service admin console; BI analytics layer.</w:t>
            </w:r>
          </w:p>
        </w:tc>
        <w:tc>
          <w:tcPr>
            <w:tcW w:type="dxa" w:w="29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sz w:val="20"/>
                <w:szCs w:val="20"/>
              </w:rPr>
              <w:t xml:space="preserve">Policy violation rate &lt; 3%; out-of-policy spend &lt; 2%; ROI tracking active.</w:t>
            </w:r>
          </w:p>
        </w:tc>
      </w:tr>
      <w:tr>
        <w:tc>
          <w:tcPr>
            <w:tcW w:type="dxa" w:w="12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sz w:val="20"/>
                <w:szCs w:val="20"/>
              </w:rPr>
              <w:t xml:space="preserve">Phase 4 — Strategic Expansion</w:t>
            </w:r>
          </w:p>
        </w:tc>
        <w:tc>
          <w:tcPr>
            <w:tcW w:type="dxa" w:w="14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sz w:val="20"/>
                <w:szCs w:val="20"/>
              </w:rPr>
              <w:t xml:space="preserve">Year 2+</w:t>
            </w:r>
          </w:p>
        </w:tc>
        <w:tc>
          <w:tcPr>
            <w:tcW w:type="dxa" w:w="3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sz w:val="20"/>
                <w:szCs w:val="20"/>
              </w:rPr>
              <w:t xml:space="preserve">Multi-language support (Hindi + regional); travel booking engine integration; corporate card integration; international travel &amp; multi-currency enhancements; sustainability dashboard.</w:t>
            </w:r>
          </w:p>
        </w:tc>
        <w:tc>
          <w:tcPr>
            <w:tcW w:type="dxa" w:w="29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sz w:val="20"/>
                <w:szCs w:val="20"/>
              </w:rPr>
              <w:t xml:space="preserve">ROI ≥ 200% confirmed; CSAT ≥ 4.2 / 5.0.</w:t>
            </w:r>
          </w:p>
        </w:tc>
      </w:tr>
    </w:tbl>
    <w:p>
      <w:pPr>
        <w:spacing w:after="0" w:before="80"/>
      </w:pPr>
      <w:r>
        <w:t xml:space="preserve"/>
      </w:r>
    </w:p>
    <w:p>
      <w:pPr>
        <w:pStyle w:val="Heading2"/>
        <w:spacing w:after="100" w:before="280"/>
      </w:pPr>
      <w:r>
        <w:rPr>
          <w:rFonts w:ascii="Arial" w:cs="Arial" w:eastAsia="Arial" w:hAnsi="Arial"/>
          <w:b/>
          <w:bCs/>
          <w:color w:val="2E75B6"/>
          <w:sz w:val="26"/>
          <w:szCs w:val="26"/>
        </w:rPr>
        <w:t xml:space="preserve">9.2 Go-Live Readiness Criteria (Phase 1)</w:t>
      </w:r>
    </w:p>
    <w:p>
      <w:pPr>
        <w:pStyle w:val="ListParagraph"/>
        <w:numPr>
          <w:ilvl w:val="0"/>
          <w:numId w:val="2"/>
        </w:numPr>
        <w:spacing w:after="40" w:before="40"/>
      </w:pPr>
      <w:r>
        <w:rPr>
          <w:rFonts w:ascii="Arial" w:cs="Arial" w:eastAsia="Arial" w:hAnsi="Arial"/>
          <w:sz w:val="22"/>
          <w:szCs w:val="22"/>
        </w:rPr>
        <w:t xml:space="preserve">All critical (P0) and high (P1) functional requirements implemented and tested.</w:t>
      </w:r>
    </w:p>
    <w:p>
      <w:pPr>
        <w:pStyle w:val="ListParagraph"/>
        <w:numPr>
          <w:ilvl w:val="0"/>
          <w:numId w:val="2"/>
        </w:numPr>
        <w:spacing w:after="40" w:before="40"/>
      </w:pPr>
      <w:r>
        <w:rPr>
          <w:rFonts w:ascii="Arial" w:cs="Arial" w:eastAsia="Arial" w:hAnsi="Arial"/>
          <w:sz w:val="22"/>
          <w:szCs w:val="22"/>
        </w:rPr>
        <w:t xml:space="preserve">Performance load test passed at 5,000 concurrent users with &lt; 2s page load.</w:t>
      </w:r>
    </w:p>
    <w:p>
      <w:pPr>
        <w:pStyle w:val="ListParagraph"/>
        <w:numPr>
          <w:ilvl w:val="0"/>
          <w:numId w:val="2"/>
        </w:numPr>
        <w:spacing w:after="40" w:before="40"/>
      </w:pPr>
      <w:r>
        <w:rPr>
          <w:rFonts w:ascii="Arial" w:cs="Arial" w:eastAsia="Arial" w:hAnsi="Arial"/>
          <w:sz w:val="22"/>
          <w:szCs w:val="22"/>
        </w:rPr>
        <w:t xml:space="preserve">Security penetration test completed; no Critical or High findings unresolved.</w:t>
      </w:r>
    </w:p>
    <w:p>
      <w:pPr>
        <w:pStyle w:val="ListParagraph"/>
        <w:numPr>
          <w:ilvl w:val="0"/>
          <w:numId w:val="2"/>
        </w:numPr>
        <w:spacing w:after="40" w:before="40"/>
      </w:pPr>
      <w:r>
        <w:rPr>
          <w:rFonts w:ascii="Arial" w:cs="Arial" w:eastAsia="Arial" w:hAnsi="Arial"/>
          <w:sz w:val="22"/>
          <w:szCs w:val="22"/>
        </w:rPr>
        <w:t xml:space="preserve">ERP and HRMS integrations tested end-to-end with 100% data accuracy in UAT.</w:t>
      </w:r>
    </w:p>
    <w:p>
      <w:pPr>
        <w:pStyle w:val="ListParagraph"/>
        <w:numPr>
          <w:ilvl w:val="0"/>
          <w:numId w:val="2"/>
        </w:numPr>
        <w:spacing w:after="40" w:before="40"/>
      </w:pPr>
      <w:r>
        <w:rPr>
          <w:rFonts w:ascii="Arial" w:cs="Arial" w:eastAsia="Arial" w:hAnsi="Arial"/>
          <w:sz w:val="22"/>
          <w:szCs w:val="22"/>
        </w:rPr>
        <w:t xml:space="preserve">User acceptance testing (UAT) sign-off obtained from Finance, HR, and IT.</w:t>
      </w:r>
    </w:p>
    <w:p>
      <w:pPr>
        <w:pStyle w:val="ListParagraph"/>
        <w:numPr>
          <w:ilvl w:val="0"/>
          <w:numId w:val="2"/>
        </w:numPr>
        <w:spacing w:after="40" w:before="40"/>
      </w:pPr>
      <w:r>
        <w:rPr>
          <w:rFonts w:ascii="Arial" w:cs="Arial" w:eastAsia="Arial" w:hAnsi="Arial"/>
          <w:sz w:val="22"/>
          <w:szCs w:val="22"/>
        </w:rPr>
        <w:t xml:space="preserve">100% of target users trained (web-based module completed).</w:t>
      </w:r>
    </w:p>
    <w:p>
      <w:pPr>
        <w:pStyle w:val="ListParagraph"/>
        <w:numPr>
          <w:ilvl w:val="0"/>
          <w:numId w:val="2"/>
        </w:numPr>
        <w:spacing w:after="40" w:before="40"/>
      </w:pPr>
      <w:r>
        <w:rPr>
          <w:rFonts w:ascii="Arial" w:cs="Arial" w:eastAsia="Arial" w:hAnsi="Arial"/>
          <w:sz w:val="22"/>
          <w:szCs w:val="22"/>
        </w:rPr>
        <w:t xml:space="preserve">Disaster recovery drill completed successfully.</w:t>
      </w:r>
    </w:p>
    <w:p>
      <w:pPr>
        <w:pStyle w:val="ListParagraph"/>
        <w:numPr>
          <w:ilvl w:val="0"/>
          <w:numId w:val="2"/>
        </w:numPr>
        <w:spacing w:after="40" w:before="40"/>
      </w:pPr>
      <w:r>
        <w:rPr>
          <w:rFonts w:ascii="Arial" w:cs="Arial" w:eastAsia="Arial" w:hAnsi="Arial"/>
          <w:sz w:val="22"/>
          <w:szCs w:val="22"/>
        </w:rPr>
        <w:t xml:space="preserve">Hypercare support plan activated (dedicated support team for first 30 days post-launch).</w:t>
      </w:r>
    </w:p>
    <w:p>
      <w:pPr>
        <w:spacing w:after="0" w:before="80"/>
      </w:pPr>
      <w:r>
        <w:t xml:space="preserve"/>
      </w:r>
    </w:p>
    <w:p>
      <w:r>
        <w:br w:type="page"/>
      </w:r>
    </w:p>
    <w:p>
      <w:pPr>
        <w:pStyle w:val="Heading1"/>
        <w:pBdr>
          <w:bottom w:val="single" w:color="2E75B6" w:sz="6" w:space="4"/>
        </w:pBdr>
        <w:spacing w:after="120" w:before="360"/>
      </w:pPr>
      <w:r>
        <w:rPr>
          <w:rFonts w:ascii="Arial" w:cs="Arial" w:eastAsia="Arial" w:hAnsi="Arial"/>
          <w:b/>
          <w:bCs/>
          <w:color w:val="1F4E79"/>
          <w:sz w:val="32"/>
          <w:szCs w:val="32"/>
        </w:rPr>
        <w:t xml:space="preserve">10. KPI Alignment &amp; Success Metrics</w:t>
      </w:r>
    </w:p>
    <w:p>
      <w:pPr>
        <w:spacing w:after="60" w:before="60"/>
      </w:pPr>
      <w:r>
        <w:rPr>
          <w:rFonts w:ascii="Arial" w:cs="Arial" w:eastAsia="Arial" w:hAnsi="Arial"/>
          <w:sz w:val="22"/>
          <w:szCs w:val="22"/>
        </w:rPr>
        <w:t xml:space="preserve">The following table maps key product features to the KPI framework established in the ETEMS KPI Master Reference document (v1.0). Achievement of these KPIs constitutes the definition of product success.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600"/>
        <w:gridCol w:w="3200"/>
        <w:gridCol w:w="2060"/>
      </w:tblGrid>
      <w:tr>
        <w:trPr>
          <w:tblHeader/>
        </w:trPr>
        <w:tc>
          <w:tcPr>
            <w:tcW w:type="dxa" w:w="2500"/>
            <w:tcBorders>
              <w:top w:val="single" w:color="D9D9D9" w:sz="4"/>
              <w:left w:val="single" w:color="D9D9D9" w:sz="4"/>
              <w:bottom w:val="single" w:color="D9D9D9" w:sz="4"/>
              <w:right w:val="single" w:color="D9D9D9" w:sz="4"/>
            </w:tcBorders>
            <w:shd w:fill="1F4E79"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KPI</w:t>
            </w:r>
          </w:p>
        </w:tc>
        <w:tc>
          <w:tcPr>
            <w:tcW w:type="dxa" w:w="1600"/>
            <w:tcBorders>
              <w:top w:val="single" w:color="D9D9D9" w:sz="4"/>
              <w:left w:val="single" w:color="D9D9D9" w:sz="4"/>
              <w:bottom w:val="single" w:color="D9D9D9" w:sz="4"/>
              <w:right w:val="single" w:color="D9D9D9" w:sz="4"/>
            </w:tcBorders>
            <w:shd w:fill="1F4E79"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Target</w:t>
            </w:r>
          </w:p>
        </w:tc>
        <w:tc>
          <w:tcPr>
            <w:tcW w:type="dxa" w:w="3200"/>
            <w:tcBorders>
              <w:top w:val="single" w:color="D9D9D9" w:sz="4"/>
              <w:left w:val="single" w:color="D9D9D9" w:sz="4"/>
              <w:bottom w:val="single" w:color="D9D9D9" w:sz="4"/>
              <w:right w:val="single" w:color="D9D9D9" w:sz="4"/>
            </w:tcBorders>
            <w:shd w:fill="1F4E79"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Enabling Feature(s)</w:t>
            </w:r>
          </w:p>
        </w:tc>
        <w:tc>
          <w:tcPr>
            <w:tcW w:type="dxa" w:w="2060"/>
            <w:tcBorders>
              <w:top w:val="single" w:color="D9D9D9" w:sz="4"/>
              <w:left w:val="single" w:color="D9D9D9" w:sz="4"/>
              <w:bottom w:val="single" w:color="D9D9D9" w:sz="4"/>
              <w:right w:val="single" w:color="D9D9D9" w:sz="4"/>
            </w:tcBorders>
            <w:shd w:fill="1F4E79"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Phase</w:t>
            </w:r>
          </w:p>
        </w:tc>
      </w:tr>
      <w:tr>
        <w:tc>
          <w:tcPr>
            <w:tcW w:type="dxa" w:w="25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sz w:val="20"/>
                <w:szCs w:val="20"/>
              </w:rPr>
              <w:t xml:space="preserve">Travel request approval cycle time</w:t>
            </w:r>
          </w:p>
        </w:tc>
        <w:tc>
          <w:tcPr>
            <w:tcW w:type="dxa" w:w="1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sz w:val="20"/>
                <w:szCs w:val="20"/>
              </w:rPr>
              <w:t xml:space="preserve">&lt; 24 hours</w:t>
            </w:r>
          </w:p>
        </w:tc>
        <w:tc>
          <w:tcPr>
            <w:tcW w:type="dxa" w:w="32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sz w:val="20"/>
                <w:szCs w:val="20"/>
              </w:rPr>
              <w:t xml:space="preserve">Digital workflow engine, auto-escalation, push notifications</w:t>
            </w:r>
          </w:p>
        </w:tc>
        <w:tc>
          <w:tcPr>
            <w:tcW w:type="dxa" w:w="20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sz w:val="20"/>
                <w:szCs w:val="20"/>
              </w:rPr>
              <w:t xml:space="preserve">1</w:t>
            </w:r>
          </w:p>
        </w:tc>
      </w:tr>
      <w:tr>
        <w:tc>
          <w:tcPr>
            <w:tcW w:type="dxa" w:w="25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sz w:val="20"/>
                <w:szCs w:val="20"/>
              </w:rPr>
              <w:t xml:space="preserve">Expense claim submission-to-approval time</w:t>
            </w:r>
          </w:p>
        </w:tc>
        <w:tc>
          <w:tcPr>
            <w:tcW w:type="dxa" w:w="16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sz w:val="20"/>
                <w:szCs w:val="20"/>
              </w:rPr>
              <w:t xml:space="preserve">&lt; 48 hours</w:t>
            </w:r>
          </w:p>
        </w:tc>
        <w:tc>
          <w:tcPr>
            <w:tcW w:type="dxa" w:w="32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sz w:val="20"/>
                <w:szCs w:val="20"/>
              </w:rPr>
              <w:t xml:space="preserve">Straight-through processing, automated policy checks</w:t>
            </w:r>
          </w:p>
        </w:tc>
        <w:tc>
          <w:tcPr>
            <w:tcW w:type="dxa" w:w="20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sz w:val="20"/>
                <w:szCs w:val="20"/>
              </w:rPr>
              <w:t xml:space="preserve">1–2</w:t>
            </w:r>
          </w:p>
        </w:tc>
      </w:tr>
      <w:tr>
        <w:tc>
          <w:tcPr>
            <w:tcW w:type="dxa" w:w="25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sz w:val="20"/>
                <w:szCs w:val="20"/>
              </w:rPr>
              <w:t xml:space="preserve">Reimbursement turnaround time</w:t>
            </w:r>
          </w:p>
        </w:tc>
        <w:tc>
          <w:tcPr>
            <w:tcW w:type="dxa" w:w="1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sz w:val="20"/>
                <w:szCs w:val="20"/>
              </w:rPr>
              <w:t xml:space="preserve">&lt; 5 business days</w:t>
            </w:r>
          </w:p>
        </w:tc>
        <w:tc>
          <w:tcPr>
            <w:tcW w:type="dxa" w:w="32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sz w:val="20"/>
                <w:szCs w:val="20"/>
              </w:rPr>
              <w:t xml:space="preserve">Payroll integration, automated reimbursement queue</w:t>
            </w:r>
          </w:p>
        </w:tc>
        <w:tc>
          <w:tcPr>
            <w:tcW w:type="dxa" w:w="20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sz w:val="20"/>
                <w:szCs w:val="20"/>
              </w:rPr>
              <w:t xml:space="preserve">1</w:t>
            </w:r>
          </w:p>
        </w:tc>
      </w:tr>
      <w:tr>
        <w:tc>
          <w:tcPr>
            <w:tcW w:type="dxa" w:w="25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sz w:val="20"/>
                <w:szCs w:val="20"/>
              </w:rPr>
              <w:t xml:space="preserve">Automation rate of expense processing</w:t>
            </w:r>
          </w:p>
        </w:tc>
        <w:tc>
          <w:tcPr>
            <w:tcW w:type="dxa" w:w="16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sz w:val="20"/>
                <w:szCs w:val="20"/>
              </w:rPr>
              <w:t xml:space="preserve">≥ 80%</w:t>
            </w:r>
          </w:p>
        </w:tc>
        <w:tc>
          <w:tcPr>
            <w:tcW w:type="dxa" w:w="32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sz w:val="20"/>
                <w:szCs w:val="20"/>
              </w:rPr>
              <w:t xml:space="preserve">Policy engine, OCR, duplicate detection, STP rules</w:t>
            </w:r>
          </w:p>
        </w:tc>
        <w:tc>
          <w:tcPr>
            <w:tcW w:type="dxa" w:w="20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sz w:val="20"/>
                <w:szCs w:val="20"/>
              </w:rPr>
              <w:t xml:space="preserve">2</w:t>
            </w:r>
          </w:p>
        </w:tc>
      </w:tr>
      <w:tr>
        <w:tc>
          <w:tcPr>
            <w:tcW w:type="dxa" w:w="25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sz w:val="20"/>
                <w:szCs w:val="20"/>
              </w:rPr>
              <w:t xml:space="preserve">Policy violation rate</w:t>
            </w:r>
          </w:p>
        </w:tc>
        <w:tc>
          <w:tcPr>
            <w:tcW w:type="dxa" w:w="1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sz w:val="20"/>
                <w:szCs w:val="20"/>
              </w:rPr>
              <w:t xml:space="preserve">&lt; 3%</w:t>
            </w:r>
          </w:p>
        </w:tc>
        <w:tc>
          <w:tcPr>
            <w:tcW w:type="dxa" w:w="32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sz w:val="20"/>
                <w:szCs w:val="20"/>
              </w:rPr>
              <w:t xml:space="preserve">Real-time policy engine, employee guidance messages</w:t>
            </w:r>
          </w:p>
        </w:tc>
        <w:tc>
          <w:tcPr>
            <w:tcW w:type="dxa" w:w="20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sz w:val="20"/>
                <w:szCs w:val="20"/>
              </w:rPr>
              <w:t xml:space="preserve">1–3</w:t>
            </w:r>
          </w:p>
        </w:tc>
      </w:tr>
      <w:tr>
        <w:tc>
          <w:tcPr>
            <w:tcW w:type="dxa" w:w="25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sz w:val="20"/>
                <w:szCs w:val="20"/>
              </w:rPr>
              <w:t xml:space="preserve">Audit trail completeness</w:t>
            </w:r>
          </w:p>
        </w:tc>
        <w:tc>
          <w:tcPr>
            <w:tcW w:type="dxa" w:w="16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sz w:val="20"/>
                <w:szCs w:val="20"/>
              </w:rPr>
              <w:t xml:space="preserve">100%</w:t>
            </w:r>
          </w:p>
        </w:tc>
        <w:tc>
          <w:tcPr>
            <w:tcW w:type="dxa" w:w="32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sz w:val="20"/>
                <w:szCs w:val="20"/>
              </w:rPr>
              <w:t xml:space="preserve">Immutable audit log service, all-actions logging</w:t>
            </w:r>
          </w:p>
        </w:tc>
        <w:tc>
          <w:tcPr>
            <w:tcW w:type="dxa" w:w="20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sz w:val="20"/>
                <w:szCs w:val="20"/>
              </w:rPr>
              <w:t xml:space="preserve">1</w:t>
            </w:r>
          </w:p>
        </w:tc>
      </w:tr>
      <w:tr>
        <w:tc>
          <w:tcPr>
            <w:tcW w:type="dxa" w:w="25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sz w:val="20"/>
                <w:szCs w:val="20"/>
              </w:rPr>
              <w:t xml:space="preserve">Receipt attachment compliance rate</w:t>
            </w:r>
          </w:p>
        </w:tc>
        <w:tc>
          <w:tcPr>
            <w:tcW w:type="dxa" w:w="1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sz w:val="20"/>
                <w:szCs w:val="20"/>
              </w:rPr>
              <w:t xml:space="preserve">≥ 98%</w:t>
            </w:r>
          </w:p>
        </w:tc>
        <w:tc>
          <w:tcPr>
            <w:tcW w:type="dxa" w:w="32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sz w:val="20"/>
                <w:szCs w:val="20"/>
              </w:rPr>
              <w:t xml:space="preserve">Mobile OCR capture, mandatory receipt validation</w:t>
            </w:r>
          </w:p>
        </w:tc>
        <w:tc>
          <w:tcPr>
            <w:tcW w:type="dxa" w:w="20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sz w:val="20"/>
                <w:szCs w:val="20"/>
              </w:rPr>
              <w:t xml:space="preserve">2</w:t>
            </w:r>
          </w:p>
        </w:tc>
      </w:tr>
      <w:tr>
        <w:tc>
          <w:tcPr>
            <w:tcW w:type="dxa" w:w="25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sz w:val="20"/>
                <w:szCs w:val="20"/>
              </w:rPr>
              <w:t xml:space="preserve">System adoption rate</w:t>
            </w:r>
          </w:p>
        </w:tc>
        <w:tc>
          <w:tcPr>
            <w:tcW w:type="dxa" w:w="16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sz w:val="20"/>
                <w:szCs w:val="20"/>
              </w:rPr>
              <w:t xml:space="preserve">≥ 90% in 6 months</w:t>
            </w:r>
          </w:p>
        </w:tc>
        <w:tc>
          <w:tcPr>
            <w:tcW w:type="dxa" w:w="32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sz w:val="20"/>
                <w:szCs w:val="20"/>
              </w:rPr>
              <w:t xml:space="preserve">Mobile app, UX simplicity, training programme</w:t>
            </w:r>
          </w:p>
        </w:tc>
        <w:tc>
          <w:tcPr>
            <w:tcW w:type="dxa" w:w="20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sz w:val="20"/>
                <w:szCs w:val="20"/>
              </w:rPr>
              <w:t xml:space="preserve">1–2</w:t>
            </w:r>
          </w:p>
        </w:tc>
      </w:tr>
      <w:tr>
        <w:tc>
          <w:tcPr>
            <w:tcW w:type="dxa" w:w="25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sz w:val="20"/>
                <w:szCs w:val="20"/>
              </w:rPr>
              <w:t xml:space="preserve">Employee CSAT</w:t>
            </w:r>
          </w:p>
        </w:tc>
        <w:tc>
          <w:tcPr>
            <w:tcW w:type="dxa" w:w="1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sz w:val="20"/>
                <w:szCs w:val="20"/>
              </w:rPr>
              <w:t xml:space="preserve">≥ 4.0 / 5.0</w:t>
            </w:r>
          </w:p>
        </w:tc>
        <w:tc>
          <w:tcPr>
            <w:tcW w:type="dxa" w:w="32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sz w:val="20"/>
                <w:szCs w:val="20"/>
              </w:rPr>
              <w:t xml:space="preserve">Fast reimbursement, mobile-first UX, transparency</w:t>
            </w:r>
          </w:p>
        </w:tc>
        <w:tc>
          <w:tcPr>
            <w:tcW w:type="dxa" w:w="20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sz w:val="20"/>
                <w:szCs w:val="20"/>
              </w:rPr>
              <w:t xml:space="preserve">2</w:t>
            </w:r>
          </w:p>
        </w:tc>
      </w:tr>
      <w:tr>
        <w:tc>
          <w:tcPr>
            <w:tcW w:type="dxa" w:w="25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sz w:val="20"/>
                <w:szCs w:val="20"/>
              </w:rPr>
              <w:t xml:space="preserve">ERP integration error rate</w:t>
            </w:r>
          </w:p>
        </w:tc>
        <w:tc>
          <w:tcPr>
            <w:tcW w:type="dxa" w:w="16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sz w:val="20"/>
                <w:szCs w:val="20"/>
              </w:rPr>
              <w:t xml:space="preserve">&lt; 0.1%</w:t>
            </w:r>
          </w:p>
        </w:tc>
        <w:tc>
          <w:tcPr>
            <w:tcW w:type="dxa" w:w="32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sz w:val="20"/>
                <w:szCs w:val="20"/>
              </w:rPr>
              <w:t xml:space="preserve">Resilient integration service, reconciliation checks</w:t>
            </w:r>
          </w:p>
        </w:tc>
        <w:tc>
          <w:tcPr>
            <w:tcW w:type="dxa" w:w="20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sz w:val="20"/>
                <w:szCs w:val="20"/>
              </w:rPr>
              <w:t xml:space="preserve">1</w:t>
            </w:r>
          </w:p>
        </w:tc>
      </w:tr>
      <w:tr>
        <w:tc>
          <w:tcPr>
            <w:tcW w:type="dxa" w:w="25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sz w:val="20"/>
                <w:szCs w:val="20"/>
              </w:rPr>
              <w:t xml:space="preserve">System uptime</w:t>
            </w:r>
          </w:p>
        </w:tc>
        <w:tc>
          <w:tcPr>
            <w:tcW w:type="dxa" w:w="1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sz w:val="20"/>
                <w:szCs w:val="20"/>
              </w:rPr>
              <w:t xml:space="preserve">≥ 99.5%</w:t>
            </w:r>
          </w:p>
        </w:tc>
        <w:tc>
          <w:tcPr>
            <w:tcW w:type="dxa" w:w="32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sz w:val="20"/>
                <w:szCs w:val="20"/>
              </w:rPr>
              <w:t xml:space="preserve">Cloud-native HA architecture, auto-failover</w:t>
            </w:r>
          </w:p>
        </w:tc>
        <w:tc>
          <w:tcPr>
            <w:tcW w:type="dxa" w:w="20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sz w:val="20"/>
                <w:szCs w:val="20"/>
              </w:rPr>
              <w:t xml:space="preserve">1</w:t>
            </w:r>
          </w:p>
        </w:tc>
      </w:tr>
      <w:tr>
        <w:tc>
          <w:tcPr>
            <w:tcW w:type="dxa" w:w="25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sz w:val="20"/>
                <w:szCs w:val="20"/>
              </w:rPr>
              <w:t xml:space="preserve">Cost per expense report processed</w:t>
            </w:r>
          </w:p>
        </w:tc>
        <w:tc>
          <w:tcPr>
            <w:tcW w:type="dxa" w:w="16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sz w:val="20"/>
                <w:szCs w:val="20"/>
              </w:rPr>
              <w:t xml:space="preserve">Reduce by 60%</w:t>
            </w:r>
          </w:p>
        </w:tc>
        <w:tc>
          <w:tcPr>
            <w:tcW w:type="dxa" w:w="32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sz w:val="20"/>
                <w:szCs w:val="20"/>
              </w:rPr>
              <w:t xml:space="preserve">STP, OCR automation, reduced Finance manual effort</w:t>
            </w:r>
          </w:p>
        </w:tc>
        <w:tc>
          <w:tcPr>
            <w:tcW w:type="dxa" w:w="20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sz w:val="20"/>
                <w:szCs w:val="20"/>
              </w:rPr>
              <w:t xml:space="preserve">2</w:t>
            </w:r>
          </w:p>
        </w:tc>
      </w:tr>
      <w:tr>
        <w:tc>
          <w:tcPr>
            <w:tcW w:type="dxa" w:w="25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sz w:val="20"/>
                <w:szCs w:val="20"/>
              </w:rPr>
              <w:t xml:space="preserve">ROI</w:t>
            </w:r>
          </w:p>
        </w:tc>
        <w:tc>
          <w:tcPr>
            <w:tcW w:type="dxa" w:w="1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sz w:val="20"/>
                <w:szCs w:val="20"/>
              </w:rPr>
              <w:t xml:space="preserve">≥ 200% in 24 months</w:t>
            </w:r>
          </w:p>
        </w:tc>
        <w:tc>
          <w:tcPr>
            <w:tcW w:type="dxa" w:w="32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sz w:val="20"/>
                <w:szCs w:val="20"/>
              </w:rPr>
              <w:t xml:space="preserve">All automation features combined</w:t>
            </w:r>
          </w:p>
        </w:tc>
        <w:tc>
          <w:tcPr>
            <w:tcW w:type="dxa" w:w="20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sz w:val="20"/>
                <w:szCs w:val="20"/>
              </w:rPr>
              <w:t xml:space="preserve">4</w:t>
            </w:r>
          </w:p>
        </w:tc>
      </w:tr>
      <w:tr>
        <w:tc>
          <w:tcPr>
            <w:tcW w:type="dxa" w:w="25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sz w:val="20"/>
                <w:szCs w:val="20"/>
              </w:rPr>
              <w:t xml:space="preserve">Carbon emission tracking coverage</w:t>
            </w:r>
          </w:p>
        </w:tc>
        <w:tc>
          <w:tcPr>
            <w:tcW w:type="dxa" w:w="16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sz w:val="20"/>
                <w:szCs w:val="20"/>
              </w:rPr>
              <w:t xml:space="preserve">100%</w:t>
            </w:r>
          </w:p>
        </w:tc>
        <w:tc>
          <w:tcPr>
            <w:tcW w:type="dxa" w:w="32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sz w:val="20"/>
                <w:szCs w:val="20"/>
              </w:rPr>
              <w:t xml:space="preserve">Carbon emission API integration</w:t>
            </w:r>
          </w:p>
        </w:tc>
        <w:tc>
          <w:tcPr>
            <w:tcW w:type="dxa" w:w="20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sz w:val="20"/>
                <w:szCs w:val="20"/>
              </w:rPr>
              <w:t xml:space="preserve">3</w:t>
            </w:r>
          </w:p>
        </w:tc>
      </w:tr>
    </w:tbl>
    <w:p>
      <w:pPr>
        <w:spacing w:after="0" w:before="80"/>
      </w:pPr>
      <w:r>
        <w:t xml:space="preserve"/>
      </w:r>
    </w:p>
    <w:p>
      <w:r>
        <w:br w:type="page"/>
      </w:r>
    </w:p>
    <w:p>
      <w:pPr>
        <w:pStyle w:val="Heading1"/>
        <w:pBdr>
          <w:bottom w:val="single" w:color="2E75B6" w:sz="6" w:space="4"/>
        </w:pBdr>
        <w:spacing w:after="120" w:before="360"/>
      </w:pPr>
      <w:r>
        <w:rPr>
          <w:rFonts w:ascii="Arial" w:cs="Arial" w:eastAsia="Arial" w:hAnsi="Arial"/>
          <w:b/>
          <w:bCs/>
          <w:color w:val="1F4E79"/>
          <w:sz w:val="32"/>
          <w:szCs w:val="32"/>
        </w:rPr>
        <w:t xml:space="preserve">11.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900"/>
        <w:gridCol w:w="5360"/>
      </w:tblGrid>
      <w:tr>
        <w:trPr>
          <w:tblHeader/>
        </w:trPr>
        <w:tc>
          <w:tcPr>
            <w:tcW w:type="dxa" w:w="2200"/>
            <w:tcBorders>
              <w:top w:val="single" w:color="D9D9D9" w:sz="4"/>
              <w:left w:val="single" w:color="D9D9D9" w:sz="4"/>
              <w:bottom w:val="single" w:color="D9D9D9" w:sz="4"/>
              <w:right w:val="single" w:color="D9D9D9" w:sz="4"/>
            </w:tcBorders>
            <w:shd w:fill="1F4E79"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Risk</w:t>
            </w:r>
          </w:p>
        </w:tc>
        <w:tc>
          <w:tcPr>
            <w:tcW w:type="dxa" w:w="900"/>
            <w:tcBorders>
              <w:top w:val="single" w:color="D9D9D9" w:sz="4"/>
              <w:left w:val="single" w:color="D9D9D9" w:sz="4"/>
              <w:bottom w:val="single" w:color="D9D9D9" w:sz="4"/>
              <w:right w:val="single" w:color="D9D9D9" w:sz="4"/>
            </w:tcBorders>
            <w:shd w:fill="1F4E79"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Probability</w:t>
            </w:r>
          </w:p>
        </w:tc>
        <w:tc>
          <w:tcPr>
            <w:tcW w:type="dxa" w:w="900"/>
            <w:tcBorders>
              <w:top w:val="single" w:color="D9D9D9" w:sz="4"/>
              <w:left w:val="single" w:color="D9D9D9" w:sz="4"/>
              <w:bottom w:val="single" w:color="D9D9D9" w:sz="4"/>
              <w:right w:val="single" w:color="D9D9D9" w:sz="4"/>
            </w:tcBorders>
            <w:shd w:fill="1F4E79"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Impact</w:t>
            </w:r>
          </w:p>
        </w:tc>
        <w:tc>
          <w:tcPr>
            <w:tcW w:type="dxa" w:w="5360"/>
            <w:tcBorders>
              <w:top w:val="single" w:color="D9D9D9" w:sz="4"/>
              <w:left w:val="single" w:color="D9D9D9" w:sz="4"/>
              <w:bottom w:val="single" w:color="D9D9D9" w:sz="4"/>
              <w:right w:val="single" w:color="D9D9D9" w:sz="4"/>
            </w:tcBorders>
            <w:shd w:fill="1F4E79"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Mitigation</w:t>
            </w:r>
          </w:p>
        </w:tc>
      </w:tr>
      <w:tr>
        <w:tc>
          <w:tcPr>
            <w:tcW w:type="dxa" w:w="22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sz w:val="20"/>
                <w:szCs w:val="20"/>
              </w:rPr>
              <w:t xml:space="preserve">Low employee adoption — employees continue using email/WhatsApp for travel approvals.</w:t>
            </w:r>
          </w:p>
        </w:tc>
        <w:tc>
          <w:tcPr>
            <w:tcW w:type="dxa" w:w="9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9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53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sz w:val="20"/>
                <w:szCs w:val="20"/>
              </w:rPr>
              <w:t xml:space="preserve">Mandatory system-only processing with email approval-link fallback only. Change management programme with manager champions. Executive mandate communicated from CHRO.</w:t>
            </w:r>
          </w:p>
        </w:tc>
      </w:tr>
      <w:tr>
        <w:tc>
          <w:tcPr>
            <w:tcW w:type="dxa" w:w="22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sz w:val="20"/>
                <w:szCs w:val="20"/>
              </w:rPr>
              <w:t xml:space="preserve">ERP integration delays due to legacy system constraints.</w:t>
            </w:r>
          </w:p>
        </w:tc>
        <w:tc>
          <w:tcPr>
            <w:tcW w:type="dxa" w:w="9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sz w:val="20"/>
                <w:szCs w:val="20"/>
              </w:rPr>
              <w:t xml:space="preserve">Medium</w:t>
            </w:r>
          </w:p>
        </w:tc>
        <w:tc>
          <w:tcPr>
            <w:tcW w:type="dxa" w:w="9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sz w:val="20"/>
                <w:szCs w:val="20"/>
              </w:rPr>
              <w:t xml:space="preserve">High</w:t>
            </w:r>
          </w:p>
        </w:tc>
        <w:tc>
          <w:tcPr>
            <w:tcW w:type="dxa" w:w="53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sz w:val="20"/>
                <w:szCs w:val="20"/>
              </w:rPr>
              <w:t xml:space="preserve">Initiate ERP API discovery in Sprint 1. Build CSV-based fallback import for Phase 1 if API is unavailable. Allocate dedicated integration engineer.</w:t>
            </w:r>
          </w:p>
        </w:tc>
      </w:tr>
      <w:tr>
        <w:tc>
          <w:tcPr>
            <w:tcW w:type="dxa" w:w="22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sz w:val="20"/>
                <w:szCs w:val="20"/>
              </w:rPr>
              <w:t xml:space="preserve">OCR accuracy below 95% for handwritten or vernacular receipts.</w:t>
            </w:r>
          </w:p>
        </w:tc>
        <w:tc>
          <w:tcPr>
            <w:tcW w:type="dxa" w:w="9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9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53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sz w:val="20"/>
                <w:szCs w:val="20"/>
              </w:rPr>
              <w:t xml:space="preserve">Manual fallback form always available. OCR is a suggestion, not mandatory. Improve OCR model with feedback loop from corrections.</w:t>
            </w:r>
          </w:p>
        </w:tc>
      </w:tr>
      <w:tr>
        <w:tc>
          <w:tcPr>
            <w:tcW w:type="dxa" w:w="22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sz w:val="20"/>
                <w:szCs w:val="20"/>
              </w:rPr>
              <w:t xml:space="preserve">Data migration errors from legacy Excel/email archives.</w:t>
            </w:r>
          </w:p>
        </w:tc>
        <w:tc>
          <w:tcPr>
            <w:tcW w:type="dxa" w:w="9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sz w:val="20"/>
                <w:szCs w:val="20"/>
              </w:rPr>
              <w:t xml:space="preserve">Low</w:t>
            </w:r>
          </w:p>
        </w:tc>
        <w:tc>
          <w:tcPr>
            <w:tcW w:type="dxa" w:w="9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sz w:val="20"/>
                <w:szCs w:val="20"/>
              </w:rPr>
              <w:t xml:space="preserve">Medium</w:t>
            </w:r>
          </w:p>
        </w:tc>
        <w:tc>
          <w:tcPr>
            <w:tcW w:type="dxa" w:w="53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sz w:val="20"/>
                <w:szCs w:val="20"/>
              </w:rPr>
              <w:t xml:space="preserve">No historical data migration in scope for Phase 1. Open balance advances will be manually entered by Finance team before go-live.</w:t>
            </w:r>
          </w:p>
        </w:tc>
      </w:tr>
      <w:tr>
        <w:tc>
          <w:tcPr>
            <w:tcW w:type="dxa" w:w="22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sz w:val="20"/>
                <w:szCs w:val="20"/>
              </w:rPr>
              <w:t xml:space="preserve">Policy configuration errors leading to incorrect auto-approvals.</w:t>
            </w:r>
          </w:p>
        </w:tc>
        <w:tc>
          <w:tcPr>
            <w:tcW w:type="dxa" w:w="9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9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53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sz w:val="20"/>
                <w:szCs w:val="20"/>
              </w:rPr>
              <w:t xml:space="preserve">Dual-control policy publish workflow (Finance + Compliance sign-off required). UAT policy test cases mandatory before go-live.</w:t>
            </w:r>
          </w:p>
        </w:tc>
      </w:tr>
      <w:tr>
        <w:tc>
          <w:tcPr>
            <w:tcW w:type="dxa" w:w="22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sz w:val="20"/>
                <w:szCs w:val="20"/>
              </w:rPr>
              <w:t xml:space="preserve">Security breach of employee financial/personal data.</w:t>
            </w:r>
          </w:p>
        </w:tc>
        <w:tc>
          <w:tcPr>
            <w:tcW w:type="dxa" w:w="9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sz w:val="20"/>
                <w:szCs w:val="20"/>
              </w:rPr>
              <w:t xml:space="preserve">Low</w:t>
            </w:r>
          </w:p>
        </w:tc>
        <w:tc>
          <w:tcPr>
            <w:tcW w:type="dxa" w:w="9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sz w:val="20"/>
                <w:szCs w:val="20"/>
              </w:rPr>
              <w:t xml:space="preserve">Critical</w:t>
            </w:r>
          </w:p>
        </w:tc>
        <w:tc>
          <w:tcPr>
            <w:tcW w:type="dxa" w:w="53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sz w:val="20"/>
                <w:szCs w:val="20"/>
              </w:rPr>
              <w:t xml:space="preserve">Mandatory penetration test before go-live. AES-256 encryption, MFA for admin roles, access logging, DPDPA compliance review.</w:t>
            </w:r>
          </w:p>
        </w:tc>
      </w:tr>
      <w:tr>
        <w:tc>
          <w:tcPr>
            <w:tcW w:type="dxa" w:w="22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sz w:val="20"/>
                <w:szCs w:val="20"/>
              </w:rPr>
              <w:t xml:space="preserve">Scope creep extending Phase 1 beyond 6 months.</w:t>
            </w:r>
          </w:p>
        </w:tc>
        <w:tc>
          <w:tcPr>
            <w:tcW w:type="dxa" w:w="9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9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53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sz w:val="20"/>
                <w:szCs w:val="20"/>
              </w:rPr>
              <w:t xml:space="preserve">Strict Phase 1 scope lock after PRD sign-off. Change requests require PMO, Finance, and IT sign-off with impact assessment.</w:t>
            </w:r>
          </w:p>
        </w:tc>
      </w:tr>
      <w:tr>
        <w:tc>
          <w:tcPr>
            <w:tcW w:type="dxa" w:w="22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sz w:val="20"/>
                <w:szCs w:val="20"/>
              </w:rPr>
              <w:t xml:space="preserve">Vendor / implementation partner delivery failure.</w:t>
            </w:r>
          </w:p>
        </w:tc>
        <w:tc>
          <w:tcPr>
            <w:tcW w:type="dxa" w:w="9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sz w:val="20"/>
                <w:szCs w:val="20"/>
              </w:rPr>
              <w:t xml:space="preserve">Medium</w:t>
            </w:r>
          </w:p>
        </w:tc>
        <w:tc>
          <w:tcPr>
            <w:tcW w:type="dxa" w:w="9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sz w:val="20"/>
                <w:szCs w:val="20"/>
              </w:rPr>
              <w:t xml:space="preserve">High</w:t>
            </w:r>
          </w:p>
        </w:tc>
        <w:tc>
          <w:tcPr>
            <w:tcW w:type="dxa" w:w="53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sz w:val="20"/>
                <w:szCs w:val="20"/>
              </w:rPr>
              <w:t xml:space="preserve">Fixed-price milestones with defined exit criteria. Source code escrow. Parallel internal capability development for key modules.</w:t>
            </w:r>
          </w:p>
        </w:tc>
      </w:tr>
    </w:tbl>
    <w:p>
      <w:pPr>
        <w:spacing w:after="0" w:before="80"/>
      </w:pPr>
      <w:r>
        <w:t xml:space="preserve"/>
      </w:r>
    </w:p>
    <w:p>
      <w:r>
        <w:br w:type="page"/>
      </w:r>
    </w:p>
    <w:p>
      <w:pPr>
        <w:pStyle w:val="Heading1"/>
        <w:pBdr>
          <w:bottom w:val="single" w:color="2E75B6" w:sz="6" w:space="4"/>
        </w:pBdr>
        <w:spacing w:after="120" w:before="360"/>
      </w:pPr>
      <w:r>
        <w:rPr>
          <w:rFonts w:ascii="Arial" w:cs="Arial" w:eastAsia="Arial" w:hAnsi="Arial"/>
          <w:b/>
          <w:bCs/>
          <w:color w:val="1F4E79"/>
          <w:sz w:val="32"/>
          <w:szCs w:val="32"/>
        </w:rPr>
        <w:t xml:space="preserve">12. Assumptions &amp; Dependencies</w:t>
      </w:r>
    </w:p>
    <w:p>
      <w:pPr>
        <w:pStyle w:val="Heading2"/>
        <w:spacing w:after="100" w:before="280"/>
      </w:pPr>
      <w:r>
        <w:rPr>
          <w:rFonts w:ascii="Arial" w:cs="Arial" w:eastAsia="Arial" w:hAnsi="Arial"/>
          <w:b/>
          <w:bCs/>
          <w:color w:val="2E75B6"/>
          <w:sz w:val="26"/>
          <w:szCs w:val="26"/>
        </w:rPr>
        <w:t xml:space="preserve">12.1 Assumptions</w:t>
      </w:r>
    </w:p>
    <w:p>
      <w:pPr>
        <w:pStyle w:val="ListParagraph"/>
        <w:numPr>
          <w:ilvl w:val="0"/>
          <w:numId w:val="2"/>
        </w:numPr>
        <w:spacing w:after="40" w:before="40"/>
      </w:pPr>
      <w:r>
        <w:rPr>
          <w:rFonts w:ascii="Arial" w:cs="Arial" w:eastAsia="Arial" w:hAnsi="Arial"/>
          <w:sz w:val="22"/>
          <w:szCs w:val="22"/>
        </w:rPr>
        <w:t xml:space="preserve">The organisation's HRMS has a REST API or regular data export capability that can provide employee master, reporting hierarchy, and cost centre data.</w:t>
      </w:r>
    </w:p>
    <w:p>
      <w:pPr>
        <w:pStyle w:val="ListParagraph"/>
        <w:numPr>
          <w:ilvl w:val="0"/>
          <w:numId w:val="2"/>
        </w:numPr>
        <w:spacing w:after="40" w:before="40"/>
      </w:pPr>
      <w:r>
        <w:rPr>
          <w:rFonts w:ascii="Arial" w:cs="Arial" w:eastAsia="Arial" w:hAnsi="Arial"/>
          <w:sz w:val="22"/>
          <w:szCs w:val="22"/>
        </w:rPr>
        <w:t xml:space="preserve">The ERP system can receive journal entries and approved expense data via a documented API or SFTP file interface.</w:t>
      </w:r>
    </w:p>
    <w:p>
      <w:pPr>
        <w:pStyle w:val="ListParagraph"/>
        <w:numPr>
          <w:ilvl w:val="0"/>
          <w:numId w:val="2"/>
        </w:numPr>
        <w:spacing w:after="40" w:before="40"/>
      </w:pPr>
      <w:r>
        <w:rPr>
          <w:rFonts w:ascii="Arial" w:cs="Arial" w:eastAsia="Arial" w:hAnsi="Arial"/>
          <w:sz w:val="22"/>
          <w:szCs w:val="22"/>
        </w:rPr>
        <w:t xml:space="preserve">The payroll system supports out-of-cycle payment instructions for reimbursements.</w:t>
      </w:r>
    </w:p>
    <w:p>
      <w:pPr>
        <w:pStyle w:val="ListParagraph"/>
        <w:numPr>
          <w:ilvl w:val="0"/>
          <w:numId w:val="2"/>
        </w:numPr>
        <w:spacing w:after="40" w:before="40"/>
      </w:pPr>
      <w:r>
        <w:rPr>
          <w:rFonts w:ascii="Arial" w:cs="Arial" w:eastAsia="Arial" w:hAnsi="Arial"/>
          <w:sz w:val="22"/>
          <w:szCs w:val="22"/>
        </w:rPr>
        <w:t xml:space="preserve">The organisation's identity provider supports SAML 2.0 or OAuth 2.0 for SSO integration.</w:t>
      </w:r>
    </w:p>
    <w:p>
      <w:pPr>
        <w:pStyle w:val="ListParagraph"/>
        <w:numPr>
          <w:ilvl w:val="0"/>
          <w:numId w:val="2"/>
        </w:numPr>
        <w:spacing w:after="40" w:before="40"/>
      </w:pPr>
      <w:r>
        <w:rPr>
          <w:rFonts w:ascii="Arial" w:cs="Arial" w:eastAsia="Arial" w:hAnsi="Arial"/>
          <w:sz w:val="22"/>
          <w:szCs w:val="22"/>
        </w:rPr>
        <w:t xml:space="preserve">A time-and-motion study will be conducted before go-live to establish baseline metrics for ROI measurement.</w:t>
      </w:r>
    </w:p>
    <w:p>
      <w:pPr>
        <w:pStyle w:val="ListParagraph"/>
        <w:numPr>
          <w:ilvl w:val="0"/>
          <w:numId w:val="2"/>
        </w:numPr>
        <w:spacing w:after="40" w:before="40"/>
      </w:pPr>
      <w:r>
        <w:rPr>
          <w:rFonts w:ascii="Arial" w:cs="Arial" w:eastAsia="Arial" w:hAnsi="Arial"/>
          <w:sz w:val="22"/>
          <w:szCs w:val="22"/>
        </w:rPr>
        <w:t xml:space="preserve">Finance and HR will assign dedicated super-users for UAT and the hypercare period.</w:t>
      </w:r>
    </w:p>
    <w:p>
      <w:pPr>
        <w:pStyle w:val="ListParagraph"/>
        <w:numPr>
          <w:ilvl w:val="0"/>
          <w:numId w:val="2"/>
        </w:numPr>
        <w:spacing w:after="40" w:before="40"/>
      </w:pPr>
      <w:r>
        <w:rPr>
          <w:rFonts w:ascii="Arial" w:cs="Arial" w:eastAsia="Arial" w:hAnsi="Arial"/>
          <w:sz w:val="22"/>
          <w:szCs w:val="22"/>
        </w:rPr>
        <w:t xml:space="preserve">Travel and expense policies will be formally documented and approved by Finance and Compliance before Phase 1 go-live.</w:t>
      </w:r>
    </w:p>
    <w:p>
      <w:pPr>
        <w:pStyle w:val="ListParagraph"/>
        <w:numPr>
          <w:ilvl w:val="0"/>
          <w:numId w:val="2"/>
        </w:numPr>
        <w:spacing w:after="40" w:before="40"/>
      </w:pPr>
      <w:r>
        <w:rPr>
          <w:rFonts w:ascii="Arial" w:cs="Arial" w:eastAsia="Arial" w:hAnsi="Arial"/>
          <w:sz w:val="22"/>
          <w:szCs w:val="22"/>
        </w:rPr>
        <w:t xml:space="preserve">Mobile devices for the majority of employees are personal BYOD (iOS or Android 10+).</w:t>
      </w:r>
    </w:p>
    <w:p>
      <w:pPr>
        <w:spacing w:after="0" w:before="80"/>
      </w:pPr>
      <w:r>
        <w:t xml:space="preserve"/>
      </w:r>
    </w:p>
    <w:p>
      <w:pPr>
        <w:pStyle w:val="Heading2"/>
        <w:spacing w:after="100" w:before="280"/>
      </w:pPr>
      <w:r>
        <w:rPr>
          <w:rFonts w:ascii="Arial" w:cs="Arial" w:eastAsia="Arial" w:hAnsi="Arial"/>
          <w:b/>
          <w:bCs/>
          <w:color w:val="2E75B6"/>
          <w:sz w:val="26"/>
          <w:szCs w:val="26"/>
        </w:rPr>
        <w:t xml:space="preserve">12.2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400"/>
        <w:gridCol w:w="3360"/>
      </w:tblGrid>
      <w:tr>
        <w:trPr>
          <w:tblHeader/>
        </w:trPr>
        <w:tc>
          <w:tcPr>
            <w:tcW w:type="dxa" w:w="2800"/>
            <w:tcBorders>
              <w:top w:val="single" w:color="D9D9D9" w:sz="4"/>
              <w:left w:val="single" w:color="D9D9D9" w:sz="4"/>
              <w:bottom w:val="single" w:color="D9D9D9" w:sz="4"/>
              <w:right w:val="single" w:color="D9D9D9" w:sz="4"/>
            </w:tcBorders>
            <w:shd w:fill="1F4E79"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Dependency</w:t>
            </w:r>
          </w:p>
        </w:tc>
        <w:tc>
          <w:tcPr>
            <w:tcW w:type="dxa" w:w="1800"/>
            <w:tcBorders>
              <w:top w:val="single" w:color="D9D9D9" w:sz="4"/>
              <w:left w:val="single" w:color="D9D9D9" w:sz="4"/>
              <w:bottom w:val="single" w:color="D9D9D9" w:sz="4"/>
              <w:right w:val="single" w:color="D9D9D9" w:sz="4"/>
            </w:tcBorders>
            <w:shd w:fill="1F4E79"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Owner</w:t>
            </w:r>
          </w:p>
        </w:tc>
        <w:tc>
          <w:tcPr>
            <w:tcW w:type="dxa" w:w="1400"/>
            <w:tcBorders>
              <w:top w:val="single" w:color="D9D9D9" w:sz="4"/>
              <w:left w:val="single" w:color="D9D9D9" w:sz="4"/>
              <w:bottom w:val="single" w:color="D9D9D9" w:sz="4"/>
              <w:right w:val="single" w:color="D9D9D9" w:sz="4"/>
            </w:tcBorders>
            <w:shd w:fill="1F4E79"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Required by</w:t>
            </w:r>
          </w:p>
        </w:tc>
        <w:tc>
          <w:tcPr>
            <w:tcW w:type="dxa" w:w="3360"/>
            <w:tcBorders>
              <w:top w:val="single" w:color="D9D9D9" w:sz="4"/>
              <w:left w:val="single" w:color="D9D9D9" w:sz="4"/>
              <w:bottom w:val="single" w:color="D9D9D9" w:sz="4"/>
              <w:right w:val="single" w:color="D9D9D9" w:sz="4"/>
            </w:tcBorders>
            <w:shd w:fill="1F4E79"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Risk if Late</w:t>
            </w:r>
          </w:p>
        </w:tc>
      </w:tr>
      <w:tr>
        <w:tc>
          <w:tcPr>
            <w:tcW w:type="dxa" w:w="2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sz w:val="20"/>
                <w:szCs w:val="20"/>
              </w:rPr>
              <w:t xml:space="preserve">HRMS API documentation and access credentials</w:t>
            </w:r>
          </w:p>
        </w:tc>
        <w:tc>
          <w:tcPr>
            <w:tcW w:type="dxa" w:w="1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sz w:val="20"/>
                <w:szCs w:val="20"/>
              </w:rPr>
              <w:t xml:space="preserve">IT / HRMS Vendor</w:t>
            </w:r>
          </w:p>
        </w:tc>
        <w:tc>
          <w:tcPr>
            <w:tcW w:type="dxa" w:w="14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sz w:val="20"/>
                <w:szCs w:val="20"/>
              </w:rPr>
              <w:t xml:space="preserve">Sprint 3</w:t>
            </w:r>
          </w:p>
        </w:tc>
        <w:tc>
          <w:tcPr>
            <w:tcW w:type="dxa" w:w="33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sz w:val="20"/>
                <w:szCs w:val="20"/>
              </w:rPr>
              <w:t xml:space="preserve">Manual employee data entry; delayed role assignments</w:t>
            </w:r>
          </w:p>
        </w:tc>
      </w:tr>
      <w:tr>
        <w:tc>
          <w:tcPr>
            <w:tcW w:type="dxa" w:w="2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sz w:val="20"/>
                <w:szCs w:val="20"/>
              </w:rPr>
              <w:t xml:space="preserve">ERP integration API specification</w:t>
            </w:r>
          </w:p>
        </w:tc>
        <w:tc>
          <w:tcPr>
            <w:tcW w:type="dxa" w:w="1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sz w:val="20"/>
                <w:szCs w:val="20"/>
              </w:rPr>
              <w:t xml:space="preserve">Finance / ERP Vendor</w:t>
            </w:r>
          </w:p>
        </w:tc>
        <w:tc>
          <w:tcPr>
            <w:tcW w:type="dxa" w:w="14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sz w:val="20"/>
                <w:szCs w:val="20"/>
              </w:rPr>
              <w:t xml:space="preserve">Sprint 3</w:t>
            </w:r>
          </w:p>
        </w:tc>
        <w:tc>
          <w:tcPr>
            <w:tcW w:type="dxa" w:w="33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sz w:val="20"/>
                <w:szCs w:val="20"/>
              </w:rPr>
              <w:t xml:space="preserve">Manual ERP reconciliation in Phase 1</w:t>
            </w:r>
          </w:p>
        </w:tc>
      </w:tr>
      <w:tr>
        <w:tc>
          <w:tcPr>
            <w:tcW w:type="dxa" w:w="2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sz w:val="20"/>
                <w:szCs w:val="20"/>
              </w:rPr>
              <w:t xml:space="preserve">Payroll system integration specification</w:t>
            </w:r>
          </w:p>
        </w:tc>
        <w:tc>
          <w:tcPr>
            <w:tcW w:type="dxa" w:w="1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sz w:val="20"/>
                <w:szCs w:val="20"/>
              </w:rPr>
              <w:t xml:space="preserve">Finance / Payroll Vendor</w:t>
            </w:r>
          </w:p>
        </w:tc>
        <w:tc>
          <w:tcPr>
            <w:tcW w:type="dxa" w:w="14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sz w:val="20"/>
                <w:szCs w:val="20"/>
              </w:rPr>
              <w:t xml:space="preserve">Sprint 6</w:t>
            </w:r>
          </w:p>
        </w:tc>
        <w:tc>
          <w:tcPr>
            <w:tcW w:type="dxa" w:w="33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sz w:val="20"/>
                <w:szCs w:val="20"/>
              </w:rPr>
              <w:t xml:space="preserve">Manual payment processing; delayed reimbursements</w:t>
            </w:r>
          </w:p>
        </w:tc>
      </w:tr>
      <w:tr>
        <w:tc>
          <w:tcPr>
            <w:tcW w:type="dxa" w:w="2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sz w:val="20"/>
                <w:szCs w:val="20"/>
              </w:rPr>
              <w:t xml:space="preserve">Formal T&amp;E policy documentation</w:t>
            </w:r>
          </w:p>
        </w:tc>
        <w:tc>
          <w:tcPr>
            <w:tcW w:type="dxa" w:w="1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sz w:val="20"/>
                <w:szCs w:val="20"/>
              </w:rPr>
              <w:t xml:space="preserve">Finance + Compliance</w:t>
            </w:r>
          </w:p>
        </w:tc>
        <w:tc>
          <w:tcPr>
            <w:tcW w:type="dxa" w:w="14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sz w:val="20"/>
                <w:szCs w:val="20"/>
              </w:rPr>
              <w:t xml:space="preserve">Sprint 2</w:t>
            </w:r>
          </w:p>
        </w:tc>
        <w:tc>
          <w:tcPr>
            <w:tcW w:type="dxa" w:w="33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sz w:val="20"/>
                <w:szCs w:val="20"/>
              </w:rPr>
              <w:t xml:space="preserve">Cannot configure policy engine; UAT blocked</w:t>
            </w:r>
          </w:p>
        </w:tc>
      </w:tr>
      <w:tr>
        <w:tc>
          <w:tcPr>
            <w:tcW w:type="dxa" w:w="2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sz w:val="20"/>
                <w:szCs w:val="20"/>
              </w:rPr>
              <w:t xml:space="preserve">Identity provider SSO configuration</w:t>
            </w:r>
          </w:p>
        </w:tc>
        <w:tc>
          <w:tcPr>
            <w:tcW w:type="dxa" w:w="1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sz w:val="20"/>
                <w:szCs w:val="20"/>
              </w:rPr>
              <w:t xml:space="preserve">IT Security</w:t>
            </w:r>
          </w:p>
        </w:tc>
        <w:tc>
          <w:tcPr>
            <w:tcW w:type="dxa" w:w="14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sz w:val="20"/>
                <w:szCs w:val="20"/>
              </w:rPr>
              <w:t xml:space="preserve">Sprint 4</w:t>
            </w:r>
          </w:p>
        </w:tc>
        <w:tc>
          <w:tcPr>
            <w:tcW w:type="dxa" w:w="33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sz w:val="20"/>
                <w:szCs w:val="20"/>
              </w:rPr>
              <w:t xml:space="preserve">Separate login system; MFA not enforced</w:t>
            </w:r>
          </w:p>
        </w:tc>
      </w:tr>
      <w:tr>
        <w:tc>
          <w:tcPr>
            <w:tcW w:type="dxa" w:w="2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sz w:val="20"/>
                <w:szCs w:val="20"/>
              </w:rPr>
              <w:t xml:space="preserve">Cloud infrastructure provisioning</w:t>
            </w:r>
          </w:p>
        </w:tc>
        <w:tc>
          <w:tcPr>
            <w:tcW w:type="dxa" w:w="1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sz w:val="20"/>
                <w:szCs w:val="20"/>
              </w:rPr>
              <w:t xml:space="preserve">IT / Cloud Provider</w:t>
            </w:r>
          </w:p>
        </w:tc>
        <w:tc>
          <w:tcPr>
            <w:tcW w:type="dxa" w:w="14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sz w:val="20"/>
                <w:szCs w:val="20"/>
              </w:rPr>
              <w:t xml:space="preserve">Sprint 1</w:t>
            </w:r>
          </w:p>
        </w:tc>
        <w:tc>
          <w:tcPr>
            <w:tcW w:type="dxa" w:w="33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sz w:val="20"/>
                <w:szCs w:val="20"/>
              </w:rPr>
              <w:t xml:space="preserve">Development and testing environment delays</w:t>
            </w:r>
          </w:p>
        </w:tc>
      </w:tr>
      <w:tr>
        <w:tc>
          <w:tcPr>
            <w:tcW w:type="dxa" w:w="2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sz w:val="20"/>
                <w:szCs w:val="20"/>
              </w:rPr>
              <w:t xml:space="preserve">Legal review of DPDPA compliance posture</w:t>
            </w:r>
          </w:p>
        </w:tc>
        <w:tc>
          <w:tcPr>
            <w:tcW w:type="dxa" w:w="1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sz w:val="20"/>
                <w:szCs w:val="20"/>
              </w:rPr>
              <w:t xml:space="preserve">Legal / Compliance</w:t>
            </w:r>
          </w:p>
        </w:tc>
        <w:tc>
          <w:tcPr>
            <w:tcW w:type="dxa" w:w="14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sz w:val="20"/>
                <w:szCs w:val="20"/>
              </w:rPr>
              <w:t xml:space="preserve">Sprint 5</w:t>
            </w:r>
          </w:p>
        </w:tc>
        <w:tc>
          <w:tcPr>
            <w:tcW w:type="dxa" w:w="33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sz w:val="20"/>
                <w:szCs w:val="20"/>
              </w:rPr>
              <w:t xml:space="preserve">Data privacy risk; potential regulatory exposure</w:t>
            </w:r>
          </w:p>
        </w:tc>
      </w:tr>
      <w:tr>
        <w:tc>
          <w:tcPr>
            <w:tcW w:type="dxa" w:w="2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sz w:val="20"/>
                <w:szCs w:val="20"/>
              </w:rPr>
              <w:t xml:space="preserve">UAT participation from Finance, HR, Managers</w:t>
            </w:r>
          </w:p>
        </w:tc>
        <w:tc>
          <w:tcPr>
            <w:tcW w:type="dxa" w:w="1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sz w:val="20"/>
                <w:szCs w:val="20"/>
              </w:rPr>
              <w:t xml:space="preserve">HR + Finance + IT</w:t>
            </w:r>
          </w:p>
        </w:tc>
        <w:tc>
          <w:tcPr>
            <w:tcW w:type="dxa" w:w="14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sz w:val="20"/>
                <w:szCs w:val="20"/>
              </w:rPr>
              <w:t xml:space="preserve">Month 5</w:t>
            </w:r>
          </w:p>
        </w:tc>
        <w:tc>
          <w:tcPr>
            <w:tcW w:type="dxa" w:w="33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sz w:val="20"/>
                <w:szCs w:val="20"/>
              </w:rPr>
              <w:t xml:space="preserve">Go-live delayed; quality risk</w:t>
            </w:r>
          </w:p>
        </w:tc>
      </w:tr>
    </w:tbl>
    <w:p>
      <w:pPr>
        <w:spacing w:after="0" w:before="80"/>
      </w:pPr>
      <w:r>
        <w:t xml:space="preserve"/>
      </w:r>
    </w:p>
    <w:p>
      <w:r>
        <w:br w:type="page"/>
      </w:r>
    </w:p>
    <w:p>
      <w:pPr>
        <w:pStyle w:val="Heading1"/>
        <w:pBdr>
          <w:bottom w:val="single" w:color="2E75B6" w:sz="6" w:space="4"/>
        </w:pBdr>
        <w:spacing w:after="120" w:before="360"/>
      </w:pPr>
      <w:r>
        <w:rPr>
          <w:rFonts w:ascii="Arial" w:cs="Arial" w:eastAsia="Arial" w:hAnsi="Arial"/>
          <w:b/>
          <w:bCs/>
          <w:color w:val="1F4E79"/>
          <w:sz w:val="32"/>
          <w:szCs w:val="32"/>
        </w:rPr>
        <w:t xml:space="preserve">13.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D9D9D9" w:sz="4"/>
              <w:left w:val="single" w:color="D9D9D9" w:sz="4"/>
              <w:bottom w:val="single" w:color="D9D9D9" w:sz="4"/>
              <w:right w:val="single" w:color="D9D9D9" w:sz="4"/>
            </w:tcBorders>
            <w:shd w:fill="1F4E79"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Term</w:t>
            </w:r>
          </w:p>
        </w:tc>
        <w:tc>
          <w:tcPr>
            <w:tcW w:type="dxa" w:w="7360"/>
            <w:tcBorders>
              <w:top w:val="single" w:color="D9D9D9" w:sz="4"/>
              <w:left w:val="single" w:color="D9D9D9" w:sz="4"/>
              <w:bottom w:val="single" w:color="D9D9D9" w:sz="4"/>
              <w:right w:val="single" w:color="D9D9D9" w:sz="4"/>
            </w:tcBorders>
            <w:shd w:fill="1F4E79"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Definition</w:t>
            </w:r>
          </w:p>
        </w:tc>
      </w:tr>
      <w:tr>
        <w:tc>
          <w:tcPr>
            <w:tcW w:type="dxa" w:w="2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sz w:val="20"/>
                <w:szCs w:val="20"/>
              </w:rPr>
              <w:t xml:space="preserve">ETEMS</w:t>
            </w:r>
          </w:p>
        </w:tc>
        <w:tc>
          <w:tcPr>
            <w:tcW w:type="dxa" w:w="73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sz w:val="20"/>
                <w:szCs w:val="20"/>
              </w:rPr>
              <w:t xml:space="preserve">Enterprise Employee Travel &amp; Expense Management System — the system described in this PRD.</w:t>
            </w:r>
          </w:p>
        </w:tc>
      </w:tr>
      <w:tr>
        <w:tc>
          <w:tcPr>
            <w:tcW w:type="dxa" w:w="20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sz w:val="20"/>
                <w:szCs w:val="20"/>
              </w:rPr>
              <w:t xml:space="preserve">STP</w:t>
            </w:r>
          </w:p>
        </w:tc>
        <w:tc>
          <w:tcPr>
            <w:tcW w:type="dxa" w:w="73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sz w:val="20"/>
                <w:szCs w:val="20"/>
              </w:rPr>
              <w:t xml:space="preserve">Straight-Through Processing — a claim processed end-to-end without any manual human intervention.</w:t>
            </w:r>
          </w:p>
        </w:tc>
      </w:tr>
      <w:tr>
        <w:tc>
          <w:tcPr>
            <w:tcW w:type="dxa" w:w="2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sz w:val="20"/>
                <w:szCs w:val="20"/>
              </w:rPr>
              <w:t xml:space="preserve">OCR</w:t>
            </w:r>
          </w:p>
        </w:tc>
        <w:tc>
          <w:tcPr>
            <w:tcW w:type="dxa" w:w="73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sz w:val="20"/>
                <w:szCs w:val="20"/>
              </w:rPr>
              <w:t xml:space="preserve">Optical Character Recognition — automated extraction of text data from scanned receipt images.</w:t>
            </w:r>
          </w:p>
        </w:tc>
      </w:tr>
      <w:tr>
        <w:tc>
          <w:tcPr>
            <w:tcW w:type="dxa" w:w="20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sz w:val="20"/>
                <w:szCs w:val="20"/>
              </w:rPr>
              <w:t xml:space="preserve">ERP</w:t>
            </w:r>
          </w:p>
        </w:tc>
        <w:tc>
          <w:tcPr>
            <w:tcW w:type="dxa" w:w="73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sz w:val="20"/>
                <w:szCs w:val="20"/>
              </w:rPr>
              <w:t xml:space="preserve">Enterprise Resource Planning — the organisation's financial ledger and accounting system.</w:t>
            </w:r>
          </w:p>
        </w:tc>
      </w:tr>
      <w:tr>
        <w:tc>
          <w:tcPr>
            <w:tcW w:type="dxa" w:w="2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sz w:val="20"/>
                <w:szCs w:val="20"/>
              </w:rPr>
              <w:t xml:space="preserve">HRMS</w:t>
            </w:r>
          </w:p>
        </w:tc>
        <w:tc>
          <w:tcPr>
            <w:tcW w:type="dxa" w:w="73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sz w:val="20"/>
                <w:szCs w:val="20"/>
              </w:rPr>
              <w:t xml:space="preserve">Human Resource Management System — the system of record for employee master data.</w:t>
            </w:r>
          </w:p>
        </w:tc>
      </w:tr>
      <w:tr>
        <w:tc>
          <w:tcPr>
            <w:tcW w:type="dxa" w:w="20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sz w:val="20"/>
                <w:szCs w:val="20"/>
              </w:rPr>
              <w:t xml:space="preserve">Cost Centre</w:t>
            </w:r>
          </w:p>
        </w:tc>
        <w:tc>
          <w:tcPr>
            <w:tcW w:type="dxa" w:w="73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sz w:val="20"/>
                <w:szCs w:val="20"/>
              </w:rPr>
              <w:t xml:space="preserve">An organisational unit assigned a budget and used to categorise expenditure for reporting purposes.</w:t>
            </w:r>
          </w:p>
        </w:tc>
      </w:tr>
      <w:tr>
        <w:tc>
          <w:tcPr>
            <w:tcW w:type="dxa" w:w="2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sz w:val="20"/>
                <w:szCs w:val="20"/>
              </w:rPr>
              <w:t xml:space="preserve">Per Diem</w:t>
            </w:r>
          </w:p>
        </w:tc>
        <w:tc>
          <w:tcPr>
            <w:tcW w:type="dxa" w:w="73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sz w:val="20"/>
                <w:szCs w:val="20"/>
              </w:rPr>
              <w:t xml:space="preserve">A fixed daily allowance for meals and incidental expenses while travelling on business.</w:t>
            </w:r>
          </w:p>
        </w:tc>
      </w:tr>
      <w:tr>
        <w:tc>
          <w:tcPr>
            <w:tcW w:type="dxa" w:w="20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sz w:val="20"/>
                <w:szCs w:val="20"/>
              </w:rPr>
              <w:t xml:space="preserve">ITC</w:t>
            </w:r>
          </w:p>
        </w:tc>
        <w:tc>
          <w:tcPr>
            <w:tcW w:type="dxa" w:w="73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sz w:val="20"/>
                <w:szCs w:val="20"/>
              </w:rPr>
              <w:t xml:space="preserve">Input Tax Credit — the mechanism under GST allowing businesses to claim credit for tax paid on business purchases.</w:t>
            </w:r>
          </w:p>
        </w:tc>
      </w:tr>
      <w:tr>
        <w:tc>
          <w:tcPr>
            <w:tcW w:type="dxa" w:w="2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sz w:val="20"/>
                <w:szCs w:val="20"/>
              </w:rPr>
              <w:t xml:space="preserve">RBAC</w:t>
            </w:r>
          </w:p>
        </w:tc>
        <w:tc>
          <w:tcPr>
            <w:tcW w:type="dxa" w:w="73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sz w:val="20"/>
                <w:szCs w:val="20"/>
              </w:rPr>
              <w:t xml:space="preserve">Role-Based Access Control — access permissions determined by the user's assigned system role.</w:t>
            </w:r>
          </w:p>
        </w:tc>
      </w:tr>
      <w:tr>
        <w:tc>
          <w:tcPr>
            <w:tcW w:type="dxa" w:w="20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sz w:val="20"/>
                <w:szCs w:val="20"/>
              </w:rPr>
              <w:t xml:space="preserve">P1 Incident</w:t>
            </w:r>
          </w:p>
        </w:tc>
        <w:tc>
          <w:tcPr>
            <w:tcW w:type="dxa" w:w="73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sz w:val="20"/>
                <w:szCs w:val="20"/>
              </w:rPr>
              <w:t xml:space="preserve">A Priority 1 (Critical) incident causing complete system unavailability or data integrity failure affecting all users.</w:t>
            </w:r>
          </w:p>
        </w:tc>
      </w:tr>
      <w:tr>
        <w:tc>
          <w:tcPr>
            <w:tcW w:type="dxa" w:w="2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sz w:val="20"/>
                <w:szCs w:val="20"/>
              </w:rPr>
              <w:t xml:space="preserve">SLA</w:t>
            </w:r>
          </w:p>
        </w:tc>
        <w:tc>
          <w:tcPr>
            <w:tcW w:type="dxa" w:w="73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sz w:val="20"/>
                <w:szCs w:val="20"/>
              </w:rPr>
              <w:t xml:space="preserve">Service Level Agreement — a defined and measurable commitment on service quality (e.g., approval within 24 hours).</w:t>
            </w:r>
          </w:p>
        </w:tc>
      </w:tr>
      <w:tr>
        <w:tc>
          <w:tcPr>
            <w:tcW w:type="dxa" w:w="20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sz w:val="20"/>
                <w:szCs w:val="20"/>
              </w:rPr>
              <w:t xml:space="preserve">MFA</w:t>
            </w:r>
          </w:p>
        </w:tc>
        <w:tc>
          <w:tcPr>
            <w:tcW w:type="dxa" w:w="73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sz w:val="20"/>
                <w:szCs w:val="20"/>
              </w:rPr>
              <w:t xml:space="preserve">Multi-Factor Authentication — requiring two or more verification factors to log in to the system.</w:t>
            </w:r>
          </w:p>
        </w:tc>
      </w:tr>
      <w:tr>
        <w:tc>
          <w:tcPr>
            <w:tcW w:type="dxa" w:w="2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sz w:val="20"/>
                <w:szCs w:val="20"/>
              </w:rPr>
              <w:t xml:space="preserve">DPDPA</w:t>
            </w:r>
          </w:p>
        </w:tc>
        <w:tc>
          <w:tcPr>
            <w:tcW w:type="dxa" w:w="73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sz w:val="20"/>
                <w:szCs w:val="20"/>
              </w:rPr>
              <w:t xml:space="preserve">Digital Personal Data Protection Act 2023 — India's primary data privacy legislation.</w:t>
            </w:r>
          </w:p>
        </w:tc>
      </w:tr>
      <w:tr>
        <w:tc>
          <w:tcPr>
            <w:tcW w:type="dxa" w:w="20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sz w:val="20"/>
                <w:szCs w:val="20"/>
              </w:rPr>
              <w:t xml:space="preserve">UAT</w:t>
            </w:r>
          </w:p>
        </w:tc>
        <w:tc>
          <w:tcPr>
            <w:tcW w:type="dxa" w:w="73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sz w:val="20"/>
                <w:szCs w:val="20"/>
              </w:rPr>
              <w:t xml:space="preserve">User Acceptance Testing — testing conducted by business users to confirm the system meets requirements before go-live.</w:t>
            </w:r>
          </w:p>
        </w:tc>
      </w:tr>
      <w:tr>
        <w:tc>
          <w:tcPr>
            <w:tcW w:type="dxa" w:w="2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sz w:val="20"/>
                <w:szCs w:val="20"/>
              </w:rPr>
              <w:t xml:space="preserve">BYOD</w:t>
            </w:r>
          </w:p>
        </w:tc>
        <w:tc>
          <w:tcPr>
            <w:tcW w:type="dxa" w:w="73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sz w:val="20"/>
                <w:szCs w:val="20"/>
              </w:rPr>
              <w:t xml:space="preserve">Bring Your Own Device — employees using personal smartphones to access the mobile application.</w:t>
            </w:r>
          </w:p>
        </w:tc>
      </w:tr>
    </w:tbl>
    <w:p>
      <w:pPr>
        <w:spacing w:after="0" w:before="80"/>
      </w:pPr>
      <w:r>
        <w:t xml:space="preserve"/>
      </w:r>
    </w:p>
    <w:p>
      <w:r>
        <w:br w:type="page"/>
      </w:r>
    </w:p>
    <w:p>
      <w:pPr>
        <w:pStyle w:val="Heading1"/>
        <w:pBdr>
          <w:bottom w:val="single" w:color="2E75B6" w:sz="6" w:space="4"/>
        </w:pBdr>
        <w:spacing w:after="120" w:before="360"/>
      </w:pPr>
      <w:r>
        <w:rPr>
          <w:rFonts w:ascii="Arial" w:cs="Arial" w:eastAsia="Arial" w:hAnsi="Arial"/>
          <w:b/>
          <w:bCs/>
          <w:color w:val="1F4E79"/>
          <w:sz w:val="32"/>
          <w:szCs w:val="32"/>
        </w:rPr>
        <w:t xml:space="preserve">14. Appendices</w:t>
      </w:r>
    </w:p>
    <w:p>
      <w:pPr>
        <w:pStyle w:val="Heading2"/>
        <w:spacing w:after="100" w:before="280"/>
      </w:pPr>
      <w:r>
        <w:rPr>
          <w:rFonts w:ascii="Arial" w:cs="Arial" w:eastAsia="Arial" w:hAnsi="Arial"/>
          <w:b/>
          <w:bCs/>
          <w:color w:val="2E75B6"/>
          <w:sz w:val="26"/>
          <w:szCs w:val="26"/>
        </w:rPr>
        <w:t xml:space="preserve">Appendix A — Reference Documents</w:t>
      </w:r>
    </w:p>
    <w:p>
      <w:pPr>
        <w:pStyle w:val="ListParagraph"/>
        <w:numPr>
          <w:ilvl w:val="0"/>
          <w:numId w:val="2"/>
        </w:numPr>
        <w:spacing w:after="40" w:before="40"/>
      </w:pPr>
      <w:r>
        <w:rPr>
          <w:rFonts w:ascii="Arial" w:cs="Arial" w:eastAsia="Arial" w:hAnsi="Arial"/>
          <w:sz w:val="22"/>
          <w:szCs w:val="22"/>
        </w:rPr>
        <w:t xml:space="preserve">ETEMS KPI Framework v1.0 — KPI_Enterprise_Travel_Expense_Management.md</w:t>
      </w:r>
    </w:p>
    <w:p>
      <w:pPr>
        <w:pStyle w:val="ListParagraph"/>
        <w:numPr>
          <w:ilvl w:val="0"/>
          <w:numId w:val="2"/>
        </w:numPr>
        <w:spacing w:after="40" w:before="40"/>
      </w:pPr>
      <w:r>
        <w:rPr>
          <w:rFonts w:ascii="Arial" w:cs="Arial" w:eastAsia="Arial" w:hAnsi="Arial"/>
          <w:sz w:val="22"/>
          <w:szCs w:val="22"/>
        </w:rPr>
        <w:t xml:space="preserve">Organisation Travel Policy (to be provided by Finance &amp; Compliance)</w:t>
      </w:r>
    </w:p>
    <w:p>
      <w:pPr>
        <w:pStyle w:val="ListParagraph"/>
        <w:numPr>
          <w:ilvl w:val="0"/>
          <w:numId w:val="2"/>
        </w:numPr>
        <w:spacing w:after="40" w:before="40"/>
      </w:pPr>
      <w:r>
        <w:rPr>
          <w:rFonts w:ascii="Arial" w:cs="Arial" w:eastAsia="Arial" w:hAnsi="Arial"/>
          <w:sz w:val="22"/>
          <w:szCs w:val="22"/>
        </w:rPr>
        <w:t xml:space="preserve">HRMS API Documentation (to be provided by IT)</w:t>
      </w:r>
    </w:p>
    <w:p>
      <w:pPr>
        <w:pStyle w:val="ListParagraph"/>
        <w:numPr>
          <w:ilvl w:val="0"/>
          <w:numId w:val="2"/>
        </w:numPr>
        <w:spacing w:after="40" w:before="40"/>
      </w:pPr>
      <w:r>
        <w:rPr>
          <w:rFonts w:ascii="Arial" w:cs="Arial" w:eastAsia="Arial" w:hAnsi="Arial"/>
          <w:sz w:val="22"/>
          <w:szCs w:val="22"/>
        </w:rPr>
        <w:t xml:space="preserve">ERP Integration Specification (to be provided by Finance / Vendor)</w:t>
      </w:r>
    </w:p>
    <w:p>
      <w:pPr>
        <w:pStyle w:val="ListParagraph"/>
        <w:numPr>
          <w:ilvl w:val="0"/>
          <w:numId w:val="2"/>
        </w:numPr>
        <w:spacing w:after="40" w:before="40"/>
      </w:pPr>
      <w:r>
        <w:rPr>
          <w:rFonts w:ascii="Arial" w:cs="Arial" w:eastAsia="Arial" w:hAnsi="Arial"/>
          <w:sz w:val="22"/>
          <w:szCs w:val="22"/>
        </w:rPr>
        <w:t xml:space="preserve">DPDPA Compliance Checklist (to be prepared by Legal)</w:t>
      </w:r>
    </w:p>
    <w:p>
      <w:pPr>
        <w:spacing w:after="0" w:before="80"/>
      </w:pPr>
      <w:r>
        <w:t xml:space="preserve"/>
      </w:r>
    </w:p>
    <w:p>
      <w:pPr>
        <w:pStyle w:val="Heading2"/>
        <w:spacing w:after="100" w:before="280"/>
      </w:pPr>
      <w:r>
        <w:rPr>
          <w:rFonts w:ascii="Arial" w:cs="Arial" w:eastAsia="Arial" w:hAnsi="Arial"/>
          <w:b/>
          <w:bCs/>
          <w:color w:val="2E75B6"/>
          <w:sz w:val="26"/>
          <w:szCs w:val="26"/>
        </w:rPr>
        <w:t xml:space="preserve">Appendix B — Out-of-Scope Items (Phase 1)</w:t>
      </w:r>
    </w:p>
    <w:p>
      <w:pPr>
        <w:pStyle w:val="ListParagraph"/>
        <w:numPr>
          <w:ilvl w:val="0"/>
          <w:numId w:val="2"/>
        </w:numPr>
        <w:spacing w:after="40" w:before="40"/>
      </w:pPr>
      <w:r>
        <w:rPr>
          <w:rFonts w:ascii="Arial" w:cs="Arial" w:eastAsia="Arial" w:hAnsi="Arial"/>
          <w:sz w:val="22"/>
          <w:szCs w:val="22"/>
        </w:rPr>
        <w:t xml:space="preserve">Online travel booking engine (flights, hotels, cab booking) integrated within the platform.</w:t>
      </w:r>
    </w:p>
    <w:p>
      <w:pPr>
        <w:pStyle w:val="ListParagraph"/>
        <w:numPr>
          <w:ilvl w:val="0"/>
          <w:numId w:val="2"/>
        </w:numPr>
        <w:spacing w:after="40" w:before="40"/>
      </w:pPr>
      <w:r>
        <w:rPr>
          <w:rFonts w:ascii="Arial" w:cs="Arial" w:eastAsia="Arial" w:hAnsi="Arial"/>
          <w:sz w:val="22"/>
          <w:szCs w:val="22"/>
        </w:rPr>
        <w:t xml:space="preserve">Corporate credit card issuance and automated reconciliation.</w:t>
      </w:r>
    </w:p>
    <w:p>
      <w:pPr>
        <w:pStyle w:val="ListParagraph"/>
        <w:numPr>
          <w:ilvl w:val="0"/>
          <w:numId w:val="2"/>
        </w:numPr>
        <w:spacing w:after="40" w:before="40"/>
      </w:pPr>
      <w:r>
        <w:rPr>
          <w:rFonts w:ascii="Arial" w:cs="Arial" w:eastAsia="Arial" w:hAnsi="Arial"/>
          <w:sz w:val="22"/>
          <w:szCs w:val="22"/>
        </w:rPr>
        <w:t xml:space="preserve">International tax compliance beyond India GST.</w:t>
      </w:r>
    </w:p>
    <w:p>
      <w:pPr>
        <w:pStyle w:val="ListParagraph"/>
        <w:numPr>
          <w:ilvl w:val="0"/>
          <w:numId w:val="2"/>
        </w:numPr>
        <w:spacing w:after="40" w:before="40"/>
      </w:pPr>
      <w:r>
        <w:rPr>
          <w:rFonts w:ascii="Arial" w:cs="Arial" w:eastAsia="Arial" w:hAnsi="Arial"/>
          <w:sz w:val="22"/>
          <w:szCs w:val="22"/>
        </w:rPr>
        <w:t xml:space="preserve">Customer expense billing or project cost chargeback workflows.</w:t>
      </w:r>
    </w:p>
    <w:p>
      <w:pPr>
        <w:pStyle w:val="ListParagraph"/>
        <w:numPr>
          <w:ilvl w:val="0"/>
          <w:numId w:val="2"/>
        </w:numPr>
        <w:spacing w:after="40" w:before="40"/>
      </w:pPr>
      <w:r>
        <w:rPr>
          <w:rFonts w:ascii="Arial" w:cs="Arial" w:eastAsia="Arial" w:hAnsi="Arial"/>
          <w:sz w:val="22"/>
          <w:szCs w:val="22"/>
        </w:rPr>
        <w:t xml:space="preserve">HR performance management or incentive integration.</w:t>
      </w:r>
    </w:p>
    <w:p>
      <w:pPr>
        <w:pStyle w:val="ListParagraph"/>
        <w:numPr>
          <w:ilvl w:val="0"/>
          <w:numId w:val="2"/>
        </w:numPr>
        <w:spacing w:after="40" w:before="40"/>
      </w:pPr>
      <w:r>
        <w:rPr>
          <w:rFonts w:ascii="Arial" w:cs="Arial" w:eastAsia="Arial" w:hAnsi="Arial"/>
          <w:sz w:val="22"/>
          <w:szCs w:val="22"/>
        </w:rPr>
        <w:t xml:space="preserve">Historical data migration from legacy Excel/email archives.</w:t>
      </w:r>
    </w:p>
    <w:p>
      <w:pPr>
        <w:spacing w:after="0" w:before="80"/>
      </w:pPr>
      <w:r>
        <w:t xml:space="preserve"/>
      </w:r>
    </w:p>
    <w:p>
      <w:pPr>
        <w:pStyle w:val="Heading2"/>
        <w:spacing w:after="100" w:before="280"/>
      </w:pPr>
      <w:r>
        <w:rPr>
          <w:rFonts w:ascii="Arial" w:cs="Arial" w:eastAsia="Arial" w:hAnsi="Arial"/>
          <w:b/>
          <w:bCs/>
          <w:color w:val="2E75B6"/>
          <w:sz w:val="26"/>
          <w:szCs w:val="26"/>
        </w:rPr>
        <w:t xml:space="preserve">Appendix C — Change Request Process</w:t>
      </w:r>
    </w:p>
    <w:p>
      <w:pPr>
        <w:spacing w:after="60" w:before="60"/>
      </w:pPr>
      <w:r>
        <w:rPr>
          <w:rFonts w:ascii="Arial" w:cs="Arial" w:eastAsia="Arial" w:hAnsi="Arial"/>
          <w:sz w:val="22"/>
          <w:szCs w:val="22"/>
        </w:rPr>
        <w:t xml:space="preserve">Any change to scope, requirements, or timelines after PRD sign-off must follow this process:</w:t>
      </w:r>
    </w:p>
    <w:p>
      <w:pPr>
        <w:pStyle w:val="ListParagraph"/>
        <w:numPr>
          <w:ilvl w:val="0"/>
          <w:numId w:val="3"/>
        </w:numPr>
        <w:spacing w:after="40" w:before="40"/>
      </w:pPr>
      <w:r>
        <w:rPr>
          <w:rFonts w:ascii="Arial" w:cs="Arial" w:eastAsia="Arial" w:hAnsi="Arial"/>
          <w:sz w:val="22"/>
          <w:szCs w:val="22"/>
        </w:rPr>
        <w:t xml:space="preserve">Requestor submits a Change Request Form to the PMO describing the change, business justification, and urgency.</w:t>
      </w:r>
    </w:p>
    <w:p>
      <w:pPr>
        <w:pStyle w:val="ListParagraph"/>
        <w:numPr>
          <w:ilvl w:val="0"/>
          <w:numId w:val="3"/>
        </w:numPr>
        <w:spacing w:after="40" w:before="40"/>
      </w:pPr>
      <w:r>
        <w:rPr>
          <w:rFonts w:ascii="Arial" w:cs="Arial" w:eastAsia="Arial" w:hAnsi="Arial"/>
          <w:sz w:val="22"/>
          <w:szCs w:val="22"/>
        </w:rPr>
        <w:t xml:space="preserve">PMO conducts an impact assessment (scope, timeline, cost, risk) within 5 business days.</w:t>
      </w:r>
    </w:p>
    <w:p>
      <w:pPr>
        <w:pStyle w:val="ListParagraph"/>
        <w:numPr>
          <w:ilvl w:val="0"/>
          <w:numId w:val="3"/>
        </w:numPr>
        <w:spacing w:after="40" w:before="40"/>
      </w:pPr>
      <w:r>
        <w:rPr>
          <w:rFonts w:ascii="Arial" w:cs="Arial" w:eastAsia="Arial" w:hAnsi="Arial"/>
          <w:sz w:val="22"/>
          <w:szCs w:val="22"/>
        </w:rPr>
        <w:t xml:space="preserve">Change Request is presented to the Steering Committee for approval (Finance + IT + HR sign-off required).</w:t>
      </w:r>
    </w:p>
    <w:p>
      <w:pPr>
        <w:pStyle w:val="ListParagraph"/>
        <w:numPr>
          <w:ilvl w:val="0"/>
          <w:numId w:val="3"/>
        </w:numPr>
        <w:spacing w:after="40" w:before="40"/>
      </w:pPr>
      <w:r>
        <w:rPr>
          <w:rFonts w:ascii="Arial" w:cs="Arial" w:eastAsia="Arial" w:hAnsi="Arial"/>
          <w:sz w:val="22"/>
          <w:szCs w:val="22"/>
        </w:rPr>
        <w:t xml:space="preserve">Approved changes are incorporated into the backlog with re-prioritisation by the Product Manager.</w:t>
      </w:r>
    </w:p>
    <w:p>
      <w:pPr>
        <w:pStyle w:val="ListParagraph"/>
        <w:numPr>
          <w:ilvl w:val="0"/>
          <w:numId w:val="3"/>
        </w:numPr>
        <w:spacing w:after="40" w:before="40"/>
      </w:pPr>
      <w:r>
        <w:rPr>
          <w:rFonts w:ascii="Arial" w:cs="Arial" w:eastAsia="Arial" w:hAnsi="Arial"/>
          <w:sz w:val="22"/>
          <w:szCs w:val="22"/>
        </w:rPr>
        <w:t xml:space="preserve">Rejected changes are logged with rationale and may be reconsidered in future phases.</w:t>
      </w:r>
    </w:p>
    <w:p>
      <w:pPr>
        <w:spacing w:after="0" w:before="160"/>
      </w:pPr>
      <w:r>
        <w:t xml:space="preserve"/>
      </w:r>
    </w:p>
    <w:p>
      <w:pPr>
        <w:pBdr>
          <w:top w:val="single" w:color="2E75B6" w:sz="6" w:space="4"/>
        </w:pBdr>
        <w:spacing w:after="40" w:before="400"/>
        <w:jc w:val="center"/>
      </w:pPr>
      <w:r>
        <w:rPr>
          <w:rFonts w:ascii="Arial" w:cs="Arial" w:eastAsia="Arial" w:hAnsi="Arial"/>
          <w:i/>
          <w:iCs/>
          <w:color w:val="595959"/>
          <w:sz w:val="20"/>
          <w:szCs w:val="20"/>
        </w:rPr>
        <w:t xml:space="preserve">— End of Document —</w:t>
      </w:r>
    </w:p>
    <w:p>
      <w:pPr>
        <w:spacing w:after="0" w:before="40"/>
        <w:jc w:val="center"/>
      </w:pPr>
      <w:r>
        <w:rPr>
          <w:rFonts w:ascii="Arial" w:cs="Arial" w:eastAsia="Arial" w:hAnsi="Arial"/>
          <w:color w:val="595959"/>
          <w:sz w:val="18"/>
          <w:szCs w:val="18"/>
        </w:rPr>
        <w:t xml:space="preserve">ETEMS PRD v1.0 | Confidential — Internal Use Only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tabs>
        <w:tab w:val="right" w:pos="9026"/>
      </w:tabs>
    </w:pPr>
    <w:r>
      <w:rPr>
        <w:rFonts w:ascii="Arial" w:cs="Arial" w:eastAsia="Arial" w:hAnsi="Arial"/>
        <w:color w:val="595959"/>
        <w:sz w:val="18"/>
        <w:szCs w:val="18"/>
      </w:rPr>
      <w:t xml:space="preserve">ETEMS-2025 | Product Requirements Document</w:t>
    </w:r>
    <w:r>
      <w:rPr>
        <w:rFonts w:ascii="Arial" w:cs="Arial" w:eastAsia="Arial" w:hAnsi="Arial"/>
        <w:color w:val="595959"/>
        <w:sz w:val="18"/>
        <w:szCs w:val="18"/>
      </w:rPr>
      <w:t xml:space="preserve">	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of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026"/>
      </w:tabs>
    </w:pPr>
    <w:r>
      <w:rPr>
        <w:rFonts w:ascii="Arial" w:cs="Arial" w:eastAsia="Arial" w:hAnsi="Arial"/>
        <w:color w:val="2E75B6"/>
        <w:sz w:val="18"/>
        <w:szCs w:val="18"/>
      </w:rPr>
      <w:t xml:space="preserve">Enterprise T&amp;E Management System — PRD v1.0</w:t>
    </w:r>
    <w:r>
      <w:rPr>
        <w:rFonts w:ascii="Arial" w:cs="Arial" w:eastAsia="Arial" w:hAnsi="Arial"/>
        <w:color w:val="595959"/>
        <w:sz w:val="18"/>
        <w:szCs w:val="18"/>
      </w:rPr>
      <w:t xml:space="preserve">	Internal &amp; Restricted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D7874"/>
      <w:sz w:val="24"/>
      <w:szCs w:val="24"/>
    </w:rPr>
  </w:style>
  <w:style w:type="paragraph" w:styleId="Heading4">
    <w:name w:val="Heading 4"/>
    <w:basedOn w:val="Normal"/>
    <w:next w:val="Normal"/>
    <w:qFormat/>
    <w:pPr>
      <w:spacing w:after="60" w:before="160"/>
      <w:outlineLvl w:val="3"/>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2026-06-03T06:34:36.715Z</dcterms:created>
  <dcterms:modified xsi:type="dcterms:W3CDTF">2026-06-03T06:34:36.715Z</dcterms:modified>
</cp:coreProperties>
</file>

<file path=docProps/custom.xml><?xml version="1.0" encoding="utf-8"?>
<Properties xmlns="http://schemas.openxmlformats.org/officeDocument/2006/custom-properties" xmlns:vt="http://schemas.openxmlformats.org/officeDocument/2006/docPropsVTypes"/>
</file>