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OpenVAE is a set of computer models that learn a compact mathematical summary (“latent space”) of computed tomography (CT) scans. Instead of working with every voxel directly, other algorithms can operate in this lower-dimensional space, which makes large-scale generative modeling practical. We trained these models on a very large collection of clinical CT studies, on the order of four hundred thousand volumes, drawn in part from Johns Hopkins University and the University of California, San Francisco. The training objective stresses faithful reconstruction of anatomy together with realistic fine detail, so the representation is useful for downstream medical AI. Our contribution is to provide this family of pretrained compressors as a shared resource: researchers can reuse them to build new generative or analysis methods without training a full CT encoder from scratch.</w:t>
      </w:r>
    </w:p>
    <w:p>
      <w:r>
        <w:t>(2) MIRA is a separate but connected effort that uses OpenVAE as a fixed first step. In plain terms, MIRA improves the spatial quality of CT—sharper structure, reduced blur or noise—by combining the learned CT compressor with a modern generative model (a diffusion model) that refines images in latent space. The compressor keeps anatomy stable; the generative step adds high-frequency detail in a controlled way. For public lung CT datasets, which are often limited in resolution or degraded by acquisition conditions, this pipeline is intended to raise the usable image quality of shared scans so that algorithms trained on those data see clearer lung parenchyma and boundaries, while remaining tied to real patient geometry from the source volumes.</w:t>
      </w:r>
    </w:p>
    <w:p>
      <w:r>
        <w:t>(3) At the highest level, our contribution is twofold: we offer strong open pretrained models for CT representation, and we are working toward a large, openly shared synthetic CT resource built with the same latent and generative machinery. Synthetic volumes can augment scarce or restricted data for method development, diversity testing, and education, provided they are produced under appropriate ethical review and privacy safeguards. Together, OpenVAE, MIRA, and the planned synthetic corpus aim to lower the cost of high-quality medical imaging AI and to improve what the research community can do with public chest and body CT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