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36B"/>
          <w:sz w:val="40"/>
        </w:rPr>
        <w:t>EXL BANK</w:t>
      </w:r>
    </w:p>
    <w:p>
      <w:pPr>
        <w:jc w:val="center"/>
      </w:pPr>
      <w:r>
        <w:rPr>
          <w:b/>
          <w:sz w:val="24"/>
        </w:rPr>
        <w:t>SME CREDIT POLICY &amp; ILLUSTRATIVE SANCTION LETTER</w:t>
      </w:r>
    </w:p>
    <w:p>
      <w:pPr>
        <w:jc w:val="center"/>
      </w:pPr>
      <w:r>
        <w:rPr>
          <w:b/>
          <w:color w:val="B43228"/>
          <w:sz w:val="18"/>
        </w:rPr>
        <w:t>SYNTHETIC DEMONSTRATION TEMPLATE — NOT A REAL BANK OFFER</w:t>
      </w:r>
    </w:p>
    <w:p>
      <w:r>
        <w:t>Document Ref: EXL-SME-DEMO-POL-001  |  Version 1.0  |  Effective for prototype testing only</w:t>
      </w:r>
    </w:p>
    <w:p>
      <w:pPr>
        <w:pStyle w:val="Heading1"/>
      </w:pPr>
      <w:r>
        <w:t>1. Purpose and scope</w:t>
      </w:r>
    </w:p>
    <w:p>
      <w:r>
        <w:t>This illustrative policy defines a repeatable pre-analysis gate and indicative repayment-capacity assessment for a software demonstration. It is not a regulated lender's actual policy, sanction, commitment, or disbursement instruction.</w:t>
      </w:r>
    </w:p>
    <w:p>
      <w:pPr>
        <w:pStyle w:val="Heading1"/>
      </w:pPr>
      <w:r>
        <w:t>2. Mandatory evidence gate</w:t>
      </w:r>
    </w:p>
    <w:p>
      <w:pPr>
        <w:pStyle w:val="ListBullet"/>
      </w:pPr>
      <w:r>
        <w:t>Business PAN card</w:t>
      </w:r>
    </w:p>
    <w:p>
      <w:pPr>
        <w:pStyle w:val="ListBullet"/>
      </w:pPr>
      <w:r>
        <w:t>Director/promoter PAN card</w:t>
      </w:r>
    </w:p>
    <w:p>
      <w:pPr>
        <w:pStyle w:val="ListBullet"/>
      </w:pPr>
      <w:r>
        <w:t>GST registration certificate (where applicable)</w:t>
      </w:r>
    </w:p>
    <w:p>
      <w:pPr>
        <w:pStyle w:val="ListBullet"/>
      </w:pPr>
      <w:r>
        <w:t>Business bank statements for 12–36 months</w:t>
      </w:r>
    </w:p>
    <w:p>
      <w:pPr>
        <w:pStyle w:val="ListBullet"/>
      </w:pPr>
      <w:r>
        <w:t>Profit &amp; Loss and Balance Sheet</w:t>
      </w:r>
    </w:p>
    <w:p>
      <w:pPr>
        <w:pStyle w:val="ListBullet"/>
      </w:pPr>
      <w:r>
        <w:t>Latest GSTR-1 filing (where applicable)</w:t>
      </w:r>
    </w:p>
    <w:p>
      <w:pPr>
        <w:pStyle w:val="ListBullet"/>
      </w:pPr>
      <w:r>
        <w:t>Latest ITR (where applicable)</w:t>
      </w:r>
    </w:p>
    <w:p>
      <w:pPr>
        <w:pStyle w:val="ListBullet"/>
      </w:pPr>
      <w:r>
        <w:t>Registered office address proof</w:t>
      </w:r>
    </w:p>
    <w:p>
      <w:r>
        <w:t>Identity, PAN, GSTIN, legal name, tax return and address mismatches must block progression and request corrected details or a replacement document. Unreadable or ambiguous evidence must be reviewed; filenames alone never establish a pass. Use only masked identity data in test fixtures.</w:t>
      </w:r>
    </w:p>
    <w:p>
      <w:pPr>
        <w:pStyle w:val="Heading1"/>
      </w:pPr>
      <w:r>
        <w:t>3. Indicative eligibility method</w:t>
      </w:r>
    </w:p>
    <w:p>
      <w:r>
        <w:t>Step 1: Normalize verified annual cash earnings / EBITDA from the financial evidence. Step 2: Apply the configured minimum DSCR. Step 3: Deduct existing annual debt service to estimate available annual service for a new facility. Step 4: Convert available annual service to an indicative principal using the assumed annual interest rate and tenure (amortizing monthly payment). Step 5: Cap at the demo product limit.</w:t>
      </w:r>
    </w:p>
    <w:p>
      <w:r>
        <w:t>Available annual service = max(0, eligible annual cash earnings ÷ minimum DSCR − existing annual debt service).</w:t>
      </w:r>
    </w:p>
    <w:p>
      <w:r>
        <w:t>Indicative principal = available annual service ÷ (12 × monthly payment factor), where factor = r(1+r)^n / ((1+r)^n − 1), r = annual rate / 12, and n = tenure in months.</w:t>
      </w:r>
    </w:p>
    <w:p>
      <w:r>
        <w:t>If requested amount exceeds calculated eligibility, show requested amount, indicative eligibility, excess amount, assumptions, and failed/uncertain factors. Route to a credit officer for review; do not automatically sanction, silently reduce, or reject solely based on an LLM response.</w:t>
      </w:r>
    </w:p>
    <w:p>
      <w:pPr>
        <w:pStyle w:val="Heading1"/>
      </w:pPr>
      <w:r>
        <w:t>4. Example decision routing</w:t>
      </w:r>
    </w:p>
    <w:p>
      <w:pPr>
        <w:pStyle w:val="ListBullet"/>
      </w:pPr>
      <w:r>
        <w:t>Critical identity/document mismatch: BLOCK; request corrected details or re-upload; rerun affected and dependent checks.</w:t>
      </w:r>
    </w:p>
    <w:p>
      <w:pPr>
        <w:pStyle w:val="ListBullet"/>
      </w:pPr>
      <w:r>
        <w:t>Missing or unreadable mandatory document: BLOCK / REVIEW; request a legible replacement.</w:t>
      </w:r>
    </w:p>
    <w:p>
      <w:pPr>
        <w:pStyle w:val="ListBullet"/>
      </w:pPr>
      <w:r>
        <w:t>Cashflow, DSCR, DPD, bounce, leverage or income reconciliation concern: record quantified reason and REFER to credit officer.</w:t>
      </w:r>
    </w:p>
    <w:p>
      <w:pPr>
        <w:pStyle w:val="ListBullet"/>
      </w:pPr>
      <w:r>
        <w:t>Requested amount greater than eligible amount: show excess amount and formula; REFER for restructuring, lower requested amount, additional security, or decline consideration by authorized officer.</w:t>
      </w:r>
    </w:p>
    <w:p>
      <w:pPr>
        <w:pStyle w:val="ListBullet"/>
      </w:pPr>
      <w:r>
        <w:t>All checks passing only unlocks downstream analysis; it is not a loan approval. Final sanction and disbursement require authorized human approval and applicable controls.</w:t>
      </w:r>
    </w:p>
    <w:p>
      <w:pPr>
        <w:pStyle w:val="Heading1"/>
      </w:pPr>
      <w:r>
        <w:t>5. Illustrative conditions precedent</w:t>
      </w:r>
    </w:p>
    <w:p>
      <w:r>
        <w:t>Any real-world sanction would require authenticated documents, lawful verification, approved underwriting policy, bureau and bank data access with required consent, KYC/AML checks, security/guarantee assessment where relevant, legal documentation, and authorized approval. These conditions are illustrative only.</w:t>
      </w:r>
    </w:p>
    <w:p>
      <w:r>
        <w:t>For prototype testing only. All entities, identifiers, financials and decisions are fictional. Do not issue this letter to an applicant or rely on it for credit.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