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C60" w:rsidRPr="005B6C60" w:rsidRDefault="00DA2549" w:rsidP="00DA2549">
      <w:pPr>
        <w:pStyle w:val="Heading1"/>
        <w:spacing w:before="0" w:line="240" w:lineRule="auto"/>
        <w:ind w:right="-716"/>
        <w:rPr>
          <w:rFonts w:ascii="BankGothic Md BT" w:hAnsi="BankGothic Md BT"/>
          <w:color w:val="17365D" w:themeColor="text2" w:themeShade="BF"/>
          <w:sz w:val="72"/>
        </w:rPr>
      </w:pPr>
      <w:r>
        <w:rPr>
          <w:rFonts w:ascii="BankGothic Md BT" w:hAnsi="BankGothic Md BT"/>
          <w:noProof/>
          <w:color w:val="17365D" w:themeColor="text2" w:themeShade="BF"/>
          <w:sz w:val="72"/>
        </w:rPr>
        <w:drawing>
          <wp:anchor distT="0" distB="0" distL="114300" distR="114300" simplePos="0" relativeHeight="251658240" behindDoc="0" locked="0" layoutInCell="1" allowOverlap="1">
            <wp:simplePos x="0" y="0"/>
            <wp:positionH relativeFrom="margin">
              <wp:align>center</wp:align>
            </wp:positionH>
            <wp:positionV relativeFrom="margin">
              <wp:posOffset>276225</wp:posOffset>
            </wp:positionV>
            <wp:extent cx="4410075" cy="4419600"/>
            <wp:effectExtent l="19050" t="0" r="9525" b="0"/>
            <wp:wrapSquare wrapText="bothSides"/>
            <wp:docPr id="1" name="Picture 0" descr="LOGO-1(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round).png"/>
                    <pic:cNvPicPr/>
                  </pic:nvPicPr>
                  <pic:blipFill>
                    <a:blip r:embed="rId8"/>
                    <a:srcRect l="16374" t="16085" r="15936" b="16085"/>
                    <a:stretch>
                      <a:fillRect/>
                    </a:stretch>
                  </pic:blipFill>
                  <pic:spPr>
                    <a:xfrm>
                      <a:off x="0" y="0"/>
                      <a:ext cx="4410075" cy="4419600"/>
                    </a:xfrm>
                    <a:prstGeom prst="rect">
                      <a:avLst/>
                    </a:prstGeom>
                  </pic:spPr>
                </pic:pic>
              </a:graphicData>
            </a:graphic>
          </wp:anchor>
        </w:drawing>
      </w:r>
      <w:r w:rsidR="005B6C60" w:rsidRPr="005B6C60">
        <w:rPr>
          <w:rFonts w:ascii="BankGothic Md BT" w:hAnsi="BankGothic Md BT"/>
          <w:color w:val="17365D" w:themeColor="text2" w:themeShade="BF"/>
          <w:sz w:val="72"/>
        </w:rPr>
        <w:t xml:space="preserve"> </w:t>
      </w:r>
    </w:p>
    <w:p w:rsidR="005B6C60" w:rsidRDefault="005B6C60">
      <w:pPr>
        <w:pStyle w:val="Heading2"/>
        <w:rPr>
          <w:rFonts w:ascii="Times New Roman" w:hAnsi="Times New Roman" w:cs="Times New Roman"/>
          <w:color w:val="B2A1C7" w:themeColor="accent4" w:themeTint="99"/>
          <w:sz w:val="40"/>
        </w:rPr>
      </w:pPr>
    </w:p>
    <w:p w:rsidR="005B6C60" w:rsidRPr="005B6C60" w:rsidRDefault="005B6C60" w:rsidP="005B6C60"/>
    <w:p w:rsidR="005B6C60" w:rsidRDefault="005B6C60">
      <w:pPr>
        <w:pStyle w:val="Heading2"/>
        <w:rPr>
          <w:rFonts w:ascii="Times New Roman" w:hAnsi="Times New Roman" w:cs="Times New Roman"/>
          <w:color w:val="B2A1C7" w:themeColor="accent4" w:themeTint="99"/>
          <w:sz w:val="40"/>
        </w:rPr>
      </w:pPr>
    </w:p>
    <w:p w:rsidR="005B6C60" w:rsidRDefault="005B6C60" w:rsidP="005B6C60"/>
    <w:p w:rsidR="005B6C60" w:rsidRDefault="005B6C60" w:rsidP="005B6C60"/>
    <w:p w:rsidR="005B6C60" w:rsidRDefault="005B6C60" w:rsidP="005B6C60"/>
    <w:p w:rsidR="005B6C60" w:rsidRDefault="005B6C60" w:rsidP="005B6C60"/>
    <w:p w:rsidR="005B6C60" w:rsidRDefault="005B6C60" w:rsidP="005B6C60"/>
    <w:p w:rsidR="005B6C60" w:rsidRDefault="005B6C60" w:rsidP="005B6C60"/>
    <w:p w:rsidR="005B6C60" w:rsidRDefault="005B6C60" w:rsidP="005B6C60"/>
    <w:p w:rsidR="005B6C60" w:rsidRDefault="005B6C60" w:rsidP="005B6C60"/>
    <w:p w:rsidR="005B6C60" w:rsidRDefault="005B6C60" w:rsidP="005B6C60"/>
    <w:p w:rsidR="00DA2549" w:rsidRPr="005B6C60" w:rsidRDefault="00DA2549" w:rsidP="00DA2549">
      <w:pPr>
        <w:pStyle w:val="Heading1"/>
        <w:spacing w:before="0" w:line="240" w:lineRule="auto"/>
        <w:ind w:right="-716"/>
        <w:rPr>
          <w:rFonts w:ascii="BankGothic Md BT" w:hAnsi="BankGothic Md BT"/>
          <w:color w:val="17365D" w:themeColor="text2" w:themeShade="BF"/>
          <w:sz w:val="72"/>
        </w:rPr>
      </w:pPr>
      <w:r>
        <w:rPr>
          <w:rFonts w:ascii="BankGothic Md BT" w:hAnsi="BankGothic Md BT"/>
          <w:color w:val="A6A6A6" w:themeColor="background1" w:themeShade="A6"/>
          <w:sz w:val="44"/>
        </w:rPr>
        <w:t xml:space="preserve">              </w:t>
      </w:r>
      <w:r w:rsidRPr="005B6C60">
        <w:rPr>
          <w:rFonts w:ascii="BankGothic Md BT" w:hAnsi="BankGothic Md BT"/>
          <w:color w:val="A6A6A6" w:themeColor="background1" w:themeShade="A6"/>
          <w:sz w:val="44"/>
        </w:rPr>
        <w:t>Project Report</w:t>
      </w:r>
    </w:p>
    <w:p w:rsidR="00DA2549" w:rsidRDefault="00DA2549" w:rsidP="00DA2549">
      <w:pPr>
        <w:pStyle w:val="Heading2"/>
        <w:jc w:val="center"/>
        <w:rPr>
          <w:rFonts w:ascii="Times New Roman" w:hAnsi="Times New Roman" w:cs="Times New Roman"/>
          <w:color w:val="17365D" w:themeColor="text2" w:themeShade="BF"/>
          <w:sz w:val="32"/>
          <w:szCs w:val="32"/>
        </w:rPr>
      </w:pPr>
      <w:r w:rsidRPr="00DA2549">
        <w:rPr>
          <w:rFonts w:ascii="Times New Roman" w:hAnsi="Times New Roman" w:cs="Times New Roman"/>
          <w:color w:val="17365D" w:themeColor="text2" w:themeShade="BF"/>
          <w:sz w:val="32"/>
          <w:szCs w:val="32"/>
        </w:rPr>
        <w:t>Kumar Boste</w:t>
      </w:r>
    </w:p>
    <w:p w:rsidR="00DA2549" w:rsidRPr="00DA2549" w:rsidRDefault="00DA2549" w:rsidP="00DA2549">
      <w:pPr>
        <w:jc w:val="center"/>
      </w:pPr>
      <w:r>
        <w:t>Github :</w:t>
      </w:r>
      <w:r w:rsidRPr="00DA2549">
        <w:t>KumarBoste/PowerBI_Fundraising_Analysis_Project</w:t>
      </w:r>
    </w:p>
    <w:p w:rsidR="00DA2549" w:rsidRPr="00DA2549" w:rsidRDefault="00DA2549" w:rsidP="00DA2549"/>
    <w:p w:rsidR="00DA2549" w:rsidRDefault="00DA2549" w:rsidP="00DA2549">
      <w:pPr>
        <w:pStyle w:val="Heading2"/>
        <w:rPr>
          <w:rFonts w:ascii="Times New Roman" w:hAnsi="Times New Roman" w:cs="Times New Roman"/>
          <w:color w:val="B2A1C7" w:themeColor="accent4" w:themeTint="99"/>
          <w:sz w:val="40"/>
        </w:rPr>
      </w:pPr>
    </w:p>
    <w:p w:rsidR="006E5622" w:rsidRPr="00DA2549" w:rsidRDefault="0053536F" w:rsidP="00DA2549">
      <w:pPr>
        <w:pStyle w:val="Heading2"/>
        <w:jc w:val="center"/>
        <w:rPr>
          <w:rFonts w:ascii="Times New Roman" w:hAnsi="Times New Roman" w:cs="Times New Roman"/>
          <w:color w:val="17365D" w:themeColor="text2" w:themeShade="BF"/>
          <w:sz w:val="40"/>
        </w:rPr>
      </w:pPr>
      <w:r w:rsidRPr="00DA2549">
        <w:rPr>
          <w:rFonts w:ascii="Times New Roman" w:hAnsi="Times New Roman" w:cs="Times New Roman"/>
          <w:color w:val="17365D" w:themeColor="text2" w:themeShade="BF"/>
          <w:sz w:val="40"/>
        </w:rPr>
        <w:t>Abstract</w:t>
      </w:r>
    </w:p>
    <w:p w:rsidR="006E5622" w:rsidRPr="00DA2549" w:rsidRDefault="0053536F" w:rsidP="00DA2549">
      <w:pPr>
        <w:jc w:val="both"/>
        <w:rPr>
          <w:rFonts w:ascii="Times New Roman" w:hAnsi="Times New Roman" w:cs="Times New Roman"/>
          <w:color w:val="17365D" w:themeColor="text2" w:themeShade="BF"/>
          <w:sz w:val="28"/>
        </w:rPr>
      </w:pPr>
      <w:r w:rsidRPr="00DA2549">
        <w:rPr>
          <w:rFonts w:ascii="Times New Roman" w:hAnsi="Times New Roman" w:cs="Times New Roman"/>
          <w:color w:val="17365D" w:themeColor="text2" w:themeShade="BF"/>
          <w:sz w:val="28"/>
        </w:rPr>
        <w:t>This</w:t>
      </w:r>
      <w:r w:rsidR="005B6C60" w:rsidRPr="00DA2549">
        <w:rPr>
          <w:rFonts w:ascii="Times New Roman" w:hAnsi="Times New Roman" w:cs="Times New Roman"/>
          <w:color w:val="17365D" w:themeColor="text2" w:themeShade="BF"/>
          <w:sz w:val="28"/>
        </w:rPr>
        <w:t xml:space="preserve"> </w:t>
      </w:r>
      <w:r w:rsidRPr="00DA2549">
        <w:rPr>
          <w:rFonts w:ascii="Times New Roman" w:hAnsi="Times New Roman" w:cs="Times New Roman"/>
          <w:color w:val="17365D" w:themeColor="text2" w:themeShade="BF"/>
          <w:sz w:val="28"/>
        </w:rPr>
        <w:t xml:space="preserve"> report presents a detailed fundraising performance analysis using Power BI. The purpose of this dashboard is to evaluate donor contributions, campaign efficiency, and the impact of social media and media </w:t>
      </w:r>
      <w:r w:rsidRPr="00DA2549">
        <w:rPr>
          <w:rFonts w:ascii="Times New Roman" w:hAnsi="Times New Roman" w:cs="Times New Roman"/>
          <w:color w:val="17365D" w:themeColor="text2" w:themeShade="BF"/>
          <w:sz w:val="28"/>
        </w:rPr>
        <w:t>coverage on fundraising outcomes. The visualization provides insights into currency performance, category-wise donations, and top-performing countries. This analysis helps identify areas for strategic improvements in fundraising campaigns.</w:t>
      </w:r>
    </w:p>
    <w:p w:rsidR="00DA2549" w:rsidRDefault="00DA2549">
      <w:pPr>
        <w:pStyle w:val="Heading2"/>
        <w:rPr>
          <w:rFonts w:ascii="Times New Roman" w:hAnsi="Times New Roman" w:cs="Times New Roman"/>
          <w:color w:val="17365D" w:themeColor="text2" w:themeShade="BF"/>
          <w:sz w:val="40"/>
          <w:szCs w:val="40"/>
        </w:rPr>
      </w:pPr>
    </w:p>
    <w:p w:rsidR="00DA2549" w:rsidRDefault="00DA2549">
      <w:pPr>
        <w:pStyle w:val="Heading2"/>
        <w:rPr>
          <w:rFonts w:ascii="Times New Roman" w:hAnsi="Times New Roman" w:cs="Times New Roman"/>
          <w:color w:val="17365D" w:themeColor="text2" w:themeShade="BF"/>
          <w:sz w:val="40"/>
          <w:szCs w:val="40"/>
        </w:rPr>
      </w:pPr>
    </w:p>
    <w:p w:rsidR="000F5F08" w:rsidRDefault="000F5F08" w:rsidP="000F5F08"/>
    <w:p w:rsidR="000F5F08" w:rsidRPr="000F5F08" w:rsidRDefault="000F5F08" w:rsidP="000F5F08"/>
    <w:p w:rsidR="006E5622" w:rsidRDefault="0053536F" w:rsidP="000F5F08">
      <w:pPr>
        <w:pStyle w:val="Heading2"/>
        <w:rPr>
          <w:rFonts w:ascii="Times New Roman" w:hAnsi="Times New Roman" w:cs="Times New Roman"/>
          <w:color w:val="17365D" w:themeColor="text2" w:themeShade="BF"/>
          <w:sz w:val="52"/>
          <w:szCs w:val="40"/>
        </w:rPr>
      </w:pPr>
      <w:r w:rsidRPr="000F5F08">
        <w:rPr>
          <w:rFonts w:ascii="Times New Roman" w:hAnsi="Times New Roman" w:cs="Times New Roman"/>
          <w:color w:val="17365D" w:themeColor="text2" w:themeShade="BF"/>
          <w:sz w:val="52"/>
          <w:szCs w:val="40"/>
        </w:rPr>
        <w:t>Table of Content</w:t>
      </w:r>
      <w:r w:rsidRPr="000F5F08">
        <w:rPr>
          <w:rFonts w:ascii="Times New Roman" w:hAnsi="Times New Roman" w:cs="Times New Roman"/>
          <w:color w:val="17365D" w:themeColor="text2" w:themeShade="BF"/>
          <w:sz w:val="52"/>
          <w:szCs w:val="40"/>
        </w:rPr>
        <w:t>s</w:t>
      </w:r>
    </w:p>
    <w:p w:rsidR="000F5F08" w:rsidRPr="000F5F08" w:rsidRDefault="000F5F08" w:rsidP="000F5F08"/>
    <w:p w:rsidR="006E5622" w:rsidRDefault="0053536F" w:rsidP="000F5F08">
      <w:pPr>
        <w:pStyle w:val="ListNumber"/>
        <w:numPr>
          <w:ilvl w:val="0"/>
          <w:numId w:val="10"/>
        </w:numPr>
        <w:rPr>
          <w:rFonts w:ascii="Times New Roman" w:hAnsi="Times New Roman" w:cs="Times New Roman"/>
          <w:color w:val="17365D" w:themeColor="text2" w:themeShade="BF"/>
          <w:sz w:val="40"/>
          <w:szCs w:val="28"/>
        </w:rPr>
      </w:pPr>
      <w:r w:rsidRPr="000F5F08">
        <w:rPr>
          <w:rFonts w:ascii="Times New Roman" w:hAnsi="Times New Roman" w:cs="Times New Roman"/>
          <w:color w:val="17365D" w:themeColor="text2" w:themeShade="BF"/>
          <w:sz w:val="40"/>
          <w:szCs w:val="28"/>
        </w:rPr>
        <w:t>Executive Summary</w:t>
      </w:r>
      <w:r w:rsidR="000F5F08">
        <w:rPr>
          <w:rFonts w:ascii="Times New Roman" w:hAnsi="Times New Roman" w:cs="Times New Roman"/>
          <w:color w:val="17365D" w:themeColor="text2" w:themeShade="BF"/>
          <w:sz w:val="40"/>
          <w:szCs w:val="28"/>
        </w:rPr>
        <w:t>………………………… 2</w:t>
      </w:r>
    </w:p>
    <w:p w:rsidR="000F5F08" w:rsidRPr="000F5F08" w:rsidRDefault="000F5F08" w:rsidP="000F5F08">
      <w:pPr>
        <w:pStyle w:val="ListNumber"/>
        <w:numPr>
          <w:ilvl w:val="0"/>
          <w:numId w:val="0"/>
        </w:numPr>
        <w:ind w:left="750"/>
        <w:rPr>
          <w:rFonts w:ascii="Times New Roman" w:hAnsi="Times New Roman" w:cs="Times New Roman"/>
          <w:color w:val="17365D" w:themeColor="text2" w:themeShade="BF"/>
          <w:sz w:val="40"/>
          <w:szCs w:val="28"/>
        </w:rPr>
      </w:pPr>
    </w:p>
    <w:p w:rsidR="006E5622" w:rsidRDefault="0053536F" w:rsidP="000F5F08">
      <w:pPr>
        <w:pStyle w:val="ListNumber"/>
        <w:numPr>
          <w:ilvl w:val="0"/>
          <w:numId w:val="10"/>
        </w:numPr>
        <w:rPr>
          <w:rFonts w:ascii="Times New Roman" w:hAnsi="Times New Roman" w:cs="Times New Roman"/>
          <w:color w:val="17365D" w:themeColor="text2" w:themeShade="BF"/>
          <w:sz w:val="40"/>
          <w:szCs w:val="28"/>
        </w:rPr>
      </w:pPr>
      <w:r w:rsidRPr="000F5F08">
        <w:rPr>
          <w:rFonts w:ascii="Times New Roman" w:hAnsi="Times New Roman" w:cs="Times New Roman"/>
          <w:color w:val="17365D" w:themeColor="text2" w:themeShade="BF"/>
          <w:sz w:val="40"/>
          <w:szCs w:val="28"/>
        </w:rPr>
        <w:t>Problem Definition &amp; Introduction</w:t>
      </w:r>
      <w:r w:rsidR="000F5F08">
        <w:rPr>
          <w:rFonts w:ascii="Times New Roman" w:hAnsi="Times New Roman" w:cs="Times New Roman"/>
          <w:color w:val="17365D" w:themeColor="text2" w:themeShade="BF"/>
          <w:sz w:val="40"/>
          <w:szCs w:val="28"/>
        </w:rPr>
        <w:t xml:space="preserve"> ……….... 2</w:t>
      </w:r>
    </w:p>
    <w:p w:rsidR="000F5F08" w:rsidRDefault="000F5F08" w:rsidP="000F5F08">
      <w:pPr>
        <w:pStyle w:val="ListParagraph"/>
        <w:rPr>
          <w:rFonts w:ascii="Times New Roman" w:hAnsi="Times New Roman" w:cs="Times New Roman"/>
          <w:color w:val="17365D" w:themeColor="text2" w:themeShade="BF"/>
          <w:sz w:val="40"/>
          <w:szCs w:val="28"/>
        </w:rPr>
      </w:pPr>
    </w:p>
    <w:p w:rsidR="000F5F08" w:rsidRPr="000F5F08" w:rsidRDefault="000F5F08" w:rsidP="000F5F08">
      <w:pPr>
        <w:pStyle w:val="ListNumber"/>
        <w:numPr>
          <w:ilvl w:val="0"/>
          <w:numId w:val="0"/>
        </w:numPr>
        <w:ind w:left="750"/>
        <w:rPr>
          <w:rFonts w:ascii="Times New Roman" w:hAnsi="Times New Roman" w:cs="Times New Roman"/>
          <w:color w:val="17365D" w:themeColor="text2" w:themeShade="BF"/>
          <w:sz w:val="40"/>
          <w:szCs w:val="28"/>
        </w:rPr>
      </w:pPr>
    </w:p>
    <w:p w:rsidR="006E5622" w:rsidRDefault="0053536F" w:rsidP="000F5F08">
      <w:pPr>
        <w:pStyle w:val="ListNumber"/>
        <w:numPr>
          <w:ilvl w:val="0"/>
          <w:numId w:val="10"/>
        </w:numPr>
        <w:rPr>
          <w:rFonts w:ascii="Times New Roman" w:hAnsi="Times New Roman" w:cs="Times New Roman"/>
          <w:color w:val="17365D" w:themeColor="text2" w:themeShade="BF"/>
          <w:sz w:val="40"/>
          <w:szCs w:val="28"/>
        </w:rPr>
      </w:pPr>
      <w:r w:rsidRPr="000F5F08">
        <w:rPr>
          <w:rFonts w:ascii="Times New Roman" w:hAnsi="Times New Roman" w:cs="Times New Roman"/>
          <w:color w:val="17365D" w:themeColor="text2" w:themeShade="BF"/>
          <w:sz w:val="40"/>
          <w:szCs w:val="28"/>
        </w:rPr>
        <w:t>Statistical Analysis</w:t>
      </w:r>
      <w:r w:rsidR="000F5F08">
        <w:rPr>
          <w:rFonts w:ascii="Times New Roman" w:hAnsi="Times New Roman" w:cs="Times New Roman"/>
          <w:color w:val="17365D" w:themeColor="text2" w:themeShade="BF"/>
          <w:sz w:val="40"/>
          <w:szCs w:val="28"/>
        </w:rPr>
        <w:t xml:space="preserve"> …………………………. 3</w:t>
      </w:r>
    </w:p>
    <w:p w:rsidR="000F5F08" w:rsidRPr="000F5F08" w:rsidRDefault="000F5F08" w:rsidP="000F5F08">
      <w:pPr>
        <w:pStyle w:val="ListNumber"/>
        <w:numPr>
          <w:ilvl w:val="0"/>
          <w:numId w:val="0"/>
        </w:numPr>
        <w:ind w:left="750"/>
        <w:rPr>
          <w:rFonts w:ascii="Times New Roman" w:hAnsi="Times New Roman" w:cs="Times New Roman"/>
          <w:color w:val="17365D" w:themeColor="text2" w:themeShade="BF"/>
          <w:sz w:val="40"/>
          <w:szCs w:val="28"/>
        </w:rPr>
      </w:pPr>
    </w:p>
    <w:p w:rsidR="006E5622" w:rsidRDefault="0053536F" w:rsidP="000F5F08">
      <w:pPr>
        <w:pStyle w:val="ListNumber"/>
        <w:numPr>
          <w:ilvl w:val="0"/>
          <w:numId w:val="10"/>
        </w:numPr>
        <w:rPr>
          <w:rFonts w:ascii="Times New Roman" w:hAnsi="Times New Roman" w:cs="Times New Roman"/>
          <w:color w:val="17365D" w:themeColor="text2" w:themeShade="BF"/>
          <w:sz w:val="40"/>
          <w:szCs w:val="28"/>
        </w:rPr>
      </w:pPr>
      <w:r w:rsidRPr="000F5F08">
        <w:rPr>
          <w:rFonts w:ascii="Times New Roman" w:hAnsi="Times New Roman" w:cs="Times New Roman"/>
          <w:color w:val="17365D" w:themeColor="text2" w:themeShade="BF"/>
          <w:sz w:val="40"/>
          <w:szCs w:val="28"/>
        </w:rPr>
        <w:t>Data Visualization &amp; Insights</w:t>
      </w:r>
      <w:r w:rsidR="000F5F08">
        <w:rPr>
          <w:rFonts w:ascii="Times New Roman" w:hAnsi="Times New Roman" w:cs="Times New Roman"/>
          <w:color w:val="17365D" w:themeColor="text2" w:themeShade="BF"/>
          <w:sz w:val="40"/>
          <w:szCs w:val="28"/>
        </w:rPr>
        <w:t xml:space="preserve"> ……………… 3</w:t>
      </w:r>
    </w:p>
    <w:p w:rsidR="000F5F08" w:rsidRDefault="000F5F08" w:rsidP="000F5F08">
      <w:pPr>
        <w:pStyle w:val="ListParagraph"/>
        <w:rPr>
          <w:rFonts w:ascii="Times New Roman" w:hAnsi="Times New Roman" w:cs="Times New Roman"/>
          <w:color w:val="17365D" w:themeColor="text2" w:themeShade="BF"/>
          <w:sz w:val="40"/>
          <w:szCs w:val="28"/>
        </w:rPr>
      </w:pPr>
    </w:p>
    <w:p w:rsidR="000F5F08" w:rsidRPr="000F5F08" w:rsidRDefault="000F5F08" w:rsidP="000F5F08">
      <w:pPr>
        <w:pStyle w:val="ListNumber"/>
        <w:numPr>
          <w:ilvl w:val="0"/>
          <w:numId w:val="0"/>
        </w:numPr>
        <w:ind w:left="750"/>
        <w:rPr>
          <w:rFonts w:ascii="Times New Roman" w:hAnsi="Times New Roman" w:cs="Times New Roman"/>
          <w:color w:val="17365D" w:themeColor="text2" w:themeShade="BF"/>
          <w:sz w:val="40"/>
          <w:szCs w:val="28"/>
        </w:rPr>
      </w:pPr>
    </w:p>
    <w:p w:rsidR="006E5622" w:rsidRDefault="0053536F" w:rsidP="000F5F08">
      <w:pPr>
        <w:pStyle w:val="ListNumber"/>
        <w:numPr>
          <w:ilvl w:val="0"/>
          <w:numId w:val="10"/>
        </w:numPr>
        <w:rPr>
          <w:rFonts w:ascii="Times New Roman" w:hAnsi="Times New Roman" w:cs="Times New Roman"/>
          <w:color w:val="17365D" w:themeColor="text2" w:themeShade="BF"/>
          <w:sz w:val="40"/>
          <w:szCs w:val="28"/>
        </w:rPr>
      </w:pPr>
      <w:r w:rsidRPr="000F5F08">
        <w:rPr>
          <w:rFonts w:ascii="Times New Roman" w:hAnsi="Times New Roman" w:cs="Times New Roman"/>
          <w:color w:val="17365D" w:themeColor="text2" w:themeShade="BF"/>
          <w:sz w:val="40"/>
          <w:szCs w:val="28"/>
        </w:rPr>
        <w:t>SWOT Analysis</w:t>
      </w:r>
      <w:r w:rsidR="000F5F08">
        <w:rPr>
          <w:rFonts w:ascii="Times New Roman" w:hAnsi="Times New Roman" w:cs="Times New Roman"/>
          <w:color w:val="17365D" w:themeColor="text2" w:themeShade="BF"/>
          <w:sz w:val="40"/>
          <w:szCs w:val="28"/>
        </w:rPr>
        <w:t xml:space="preserve"> ……………………………. 4</w:t>
      </w:r>
    </w:p>
    <w:p w:rsidR="000F5F08" w:rsidRPr="000F5F08" w:rsidRDefault="000F5F08" w:rsidP="000F5F08">
      <w:pPr>
        <w:pStyle w:val="ListNumber"/>
        <w:numPr>
          <w:ilvl w:val="0"/>
          <w:numId w:val="0"/>
        </w:numPr>
        <w:ind w:left="750"/>
        <w:rPr>
          <w:rFonts w:ascii="Times New Roman" w:hAnsi="Times New Roman" w:cs="Times New Roman"/>
          <w:color w:val="17365D" w:themeColor="text2" w:themeShade="BF"/>
          <w:sz w:val="40"/>
          <w:szCs w:val="28"/>
        </w:rPr>
      </w:pPr>
    </w:p>
    <w:p w:rsidR="00DA2549" w:rsidRPr="000F5F08" w:rsidRDefault="0053536F" w:rsidP="00DA2549">
      <w:pPr>
        <w:pStyle w:val="ListNumber"/>
        <w:numPr>
          <w:ilvl w:val="0"/>
          <w:numId w:val="0"/>
        </w:numPr>
        <w:ind w:left="360"/>
        <w:rPr>
          <w:rFonts w:ascii="Times New Roman" w:hAnsi="Times New Roman" w:cs="Times New Roman"/>
          <w:color w:val="17365D" w:themeColor="text2" w:themeShade="BF"/>
          <w:sz w:val="40"/>
          <w:szCs w:val="28"/>
        </w:rPr>
      </w:pPr>
      <w:r w:rsidRPr="000F5F08">
        <w:rPr>
          <w:rFonts w:ascii="Times New Roman" w:hAnsi="Times New Roman" w:cs="Times New Roman"/>
          <w:color w:val="17365D" w:themeColor="text2" w:themeShade="BF"/>
          <w:sz w:val="40"/>
          <w:szCs w:val="28"/>
        </w:rPr>
        <w:t>6. Conclusions &amp; Recommendations</w:t>
      </w:r>
      <w:r w:rsidR="000F5F08">
        <w:rPr>
          <w:rFonts w:ascii="Times New Roman" w:hAnsi="Times New Roman" w:cs="Times New Roman"/>
          <w:color w:val="17365D" w:themeColor="text2" w:themeShade="BF"/>
          <w:sz w:val="40"/>
          <w:szCs w:val="28"/>
        </w:rPr>
        <w:t xml:space="preserve"> …………. 4</w:t>
      </w:r>
    </w:p>
    <w:p w:rsidR="00DA2549" w:rsidRDefault="00DA2549">
      <w:pPr>
        <w:pStyle w:val="Heading2"/>
        <w:rPr>
          <w:rFonts w:ascii="Times New Roman" w:hAnsi="Times New Roman" w:cs="Times New Roman"/>
          <w:color w:val="17365D" w:themeColor="text2" w:themeShade="BF"/>
          <w:sz w:val="40"/>
          <w:szCs w:val="36"/>
        </w:rPr>
      </w:pPr>
    </w:p>
    <w:p w:rsidR="000F5F08" w:rsidRDefault="000F5F08" w:rsidP="000F5F08">
      <w:pPr>
        <w:pStyle w:val="Heading2"/>
        <w:rPr>
          <w:rFonts w:ascii="Times New Roman" w:hAnsi="Times New Roman" w:cs="Times New Roman"/>
          <w:color w:val="17365D" w:themeColor="text2" w:themeShade="BF"/>
          <w:sz w:val="40"/>
          <w:szCs w:val="36"/>
        </w:rPr>
      </w:pPr>
    </w:p>
    <w:p w:rsidR="000F5F08" w:rsidRDefault="000F5F08" w:rsidP="000F5F08">
      <w:pPr>
        <w:pStyle w:val="Heading2"/>
        <w:rPr>
          <w:rFonts w:ascii="Times New Roman" w:hAnsi="Times New Roman" w:cs="Times New Roman"/>
          <w:color w:val="17365D" w:themeColor="text2" w:themeShade="BF"/>
          <w:sz w:val="40"/>
          <w:szCs w:val="36"/>
        </w:rPr>
      </w:pPr>
    </w:p>
    <w:p w:rsidR="000F5F08" w:rsidRPr="00DA2549" w:rsidRDefault="000F5F08" w:rsidP="000F5F08">
      <w:pPr>
        <w:pStyle w:val="Heading2"/>
        <w:rPr>
          <w:rFonts w:ascii="Times New Roman" w:hAnsi="Times New Roman" w:cs="Times New Roman"/>
          <w:color w:val="17365D" w:themeColor="text2" w:themeShade="BF"/>
          <w:sz w:val="40"/>
          <w:szCs w:val="36"/>
        </w:rPr>
      </w:pPr>
      <w:r w:rsidRPr="00DA2549">
        <w:rPr>
          <w:rFonts w:ascii="Times New Roman" w:hAnsi="Times New Roman" w:cs="Times New Roman"/>
          <w:color w:val="17365D" w:themeColor="text2" w:themeShade="BF"/>
          <w:sz w:val="40"/>
          <w:szCs w:val="36"/>
        </w:rPr>
        <w:t>1. Executive Summary</w:t>
      </w:r>
    </w:p>
    <w:p w:rsidR="000F5F08" w:rsidRPr="00DA2549" w:rsidRDefault="000F5F08" w:rsidP="000F5F08">
      <w:pPr>
        <w:rPr>
          <w:rFonts w:ascii="Times New Roman" w:hAnsi="Times New Roman" w:cs="Times New Roman"/>
          <w:color w:val="17365D" w:themeColor="text2" w:themeShade="BF"/>
          <w:sz w:val="24"/>
          <w:szCs w:val="24"/>
        </w:rPr>
      </w:pPr>
      <w:r w:rsidRPr="00DA2549">
        <w:rPr>
          <w:rFonts w:ascii="Times New Roman" w:hAnsi="Times New Roman" w:cs="Times New Roman"/>
          <w:color w:val="17365D" w:themeColor="text2" w:themeShade="BF"/>
          <w:sz w:val="24"/>
          <w:szCs w:val="24"/>
        </w:rPr>
        <w:t>The Fundraising Analysis Project visualizes multiple performance indicators from global fundraising activities. Key findings include:</w:t>
      </w:r>
      <w:r w:rsidRPr="00DA2549">
        <w:rPr>
          <w:rFonts w:ascii="Times New Roman" w:hAnsi="Times New Roman" w:cs="Times New Roman"/>
          <w:color w:val="17365D" w:themeColor="text2" w:themeShade="BF"/>
          <w:sz w:val="24"/>
          <w:szCs w:val="24"/>
        </w:rPr>
        <w:br/>
        <w:t>- Total Donors: 1,984</w:t>
      </w:r>
      <w:r w:rsidRPr="00DA2549">
        <w:rPr>
          <w:rFonts w:ascii="Times New Roman" w:hAnsi="Times New Roman" w:cs="Times New Roman"/>
          <w:color w:val="17365D" w:themeColor="text2" w:themeShade="BF"/>
          <w:sz w:val="24"/>
          <w:szCs w:val="24"/>
        </w:rPr>
        <w:br/>
        <w:t>- Average Media Coverage Score: 49.95</w:t>
      </w:r>
      <w:r w:rsidRPr="00DA2549">
        <w:rPr>
          <w:rFonts w:ascii="Times New Roman" w:hAnsi="Times New Roman" w:cs="Times New Roman"/>
          <w:color w:val="17365D" w:themeColor="text2" w:themeShade="BF"/>
          <w:sz w:val="24"/>
          <w:szCs w:val="24"/>
        </w:rPr>
        <w:br/>
        <w:t>- Average Social Media Reach: 499.27K</w:t>
      </w:r>
      <w:r w:rsidRPr="00DA2549">
        <w:rPr>
          <w:rFonts w:ascii="Times New Roman" w:hAnsi="Times New Roman" w:cs="Times New Roman"/>
          <w:color w:val="17365D" w:themeColor="text2" w:themeShade="BF"/>
          <w:sz w:val="24"/>
          <w:szCs w:val="24"/>
        </w:rPr>
        <w:br/>
        <w:t>- Top Performing Country: Korea</w:t>
      </w:r>
      <w:r w:rsidRPr="00DA2549">
        <w:rPr>
          <w:rFonts w:ascii="Times New Roman" w:hAnsi="Times New Roman" w:cs="Times New Roman"/>
          <w:color w:val="17365D" w:themeColor="text2" w:themeShade="BF"/>
          <w:sz w:val="24"/>
          <w:szCs w:val="24"/>
        </w:rPr>
        <w:br/>
        <w:t>- Major Donation Categories: Startup and Climate (each ~17.4% of total donations)</w:t>
      </w:r>
      <w:r w:rsidRPr="00DA2549">
        <w:rPr>
          <w:rFonts w:ascii="Times New Roman" w:hAnsi="Times New Roman" w:cs="Times New Roman"/>
          <w:color w:val="17365D" w:themeColor="text2" w:themeShade="BF"/>
          <w:sz w:val="24"/>
          <w:szCs w:val="24"/>
        </w:rPr>
        <w:br/>
      </w:r>
      <w:r w:rsidRPr="00DA2549">
        <w:rPr>
          <w:rFonts w:ascii="Times New Roman" w:hAnsi="Times New Roman" w:cs="Times New Roman"/>
          <w:color w:val="17365D" w:themeColor="text2" w:themeShade="BF"/>
          <w:sz w:val="24"/>
          <w:szCs w:val="24"/>
        </w:rPr>
        <w:br/>
        <w:t>The analysis reveals that online and hybrid campaigns have a strong correlation with higher donation volumes and donor engagement. Currency fluctuations and campaign types also play an important role in determining overall fundraising success.</w:t>
      </w:r>
    </w:p>
    <w:p w:rsidR="000F5F08" w:rsidRPr="00DA2549" w:rsidRDefault="000F5F08" w:rsidP="000F5F08">
      <w:pPr>
        <w:pStyle w:val="Heading2"/>
        <w:rPr>
          <w:rFonts w:ascii="Times New Roman" w:hAnsi="Times New Roman" w:cs="Times New Roman"/>
          <w:color w:val="17365D" w:themeColor="text2" w:themeShade="BF"/>
          <w:sz w:val="40"/>
        </w:rPr>
      </w:pPr>
      <w:r w:rsidRPr="00DA2549">
        <w:rPr>
          <w:rFonts w:ascii="Times New Roman" w:hAnsi="Times New Roman" w:cs="Times New Roman"/>
          <w:color w:val="17365D" w:themeColor="text2" w:themeShade="BF"/>
          <w:sz w:val="40"/>
        </w:rPr>
        <w:t>2. Problem Definition &amp; Introduction</w:t>
      </w:r>
    </w:p>
    <w:p w:rsidR="000F5F08" w:rsidRPr="00DA2549" w:rsidRDefault="000F5F08" w:rsidP="000F5F08">
      <w:pPr>
        <w:pStyle w:val="Heading3"/>
        <w:rPr>
          <w:rFonts w:ascii="Times New Roman" w:hAnsi="Times New Roman" w:cs="Times New Roman"/>
          <w:color w:val="17365D" w:themeColor="text2" w:themeShade="BF"/>
          <w:sz w:val="36"/>
        </w:rPr>
      </w:pPr>
      <w:r w:rsidRPr="00DA2549">
        <w:rPr>
          <w:rFonts w:ascii="Times New Roman" w:hAnsi="Times New Roman" w:cs="Times New Roman"/>
          <w:color w:val="17365D" w:themeColor="text2" w:themeShade="BF"/>
          <w:sz w:val="32"/>
        </w:rPr>
        <w:t>Problem Definition</w:t>
      </w:r>
    </w:p>
    <w:p w:rsidR="000F5F08" w:rsidRPr="00DA2549" w:rsidRDefault="000F5F08" w:rsidP="000F5F08">
      <w:pPr>
        <w:rPr>
          <w:rFonts w:ascii="Times New Roman" w:hAnsi="Times New Roman" w:cs="Times New Roman"/>
          <w:color w:val="17365D" w:themeColor="text2" w:themeShade="BF"/>
          <w:sz w:val="24"/>
        </w:rPr>
      </w:pPr>
      <w:r w:rsidRPr="00DA2549">
        <w:rPr>
          <w:rFonts w:ascii="Times New Roman" w:hAnsi="Times New Roman" w:cs="Times New Roman"/>
          <w:color w:val="17365D" w:themeColor="text2" w:themeShade="BF"/>
          <w:sz w:val="24"/>
        </w:rPr>
        <w:t>Organizations often struggle to understand which campaign types, regions, or funding categories contribute most effectively to their fundraising goals. Without proper data visualization and analytics, it is difficult to measure campaign success and donor engagement accurately.</w:t>
      </w:r>
    </w:p>
    <w:p w:rsidR="000F5F08" w:rsidRDefault="000F5F08" w:rsidP="000F5F08">
      <w:pPr>
        <w:pStyle w:val="Heading3"/>
        <w:rPr>
          <w:rFonts w:ascii="Times New Roman" w:hAnsi="Times New Roman" w:cs="Times New Roman"/>
          <w:color w:val="17365D" w:themeColor="text2" w:themeShade="BF"/>
          <w:sz w:val="36"/>
        </w:rPr>
      </w:pPr>
    </w:p>
    <w:p w:rsidR="000F5F08" w:rsidRPr="00DA2549" w:rsidRDefault="000F5F08" w:rsidP="000F5F08">
      <w:pPr>
        <w:pStyle w:val="Heading3"/>
        <w:rPr>
          <w:rFonts w:ascii="Times New Roman" w:hAnsi="Times New Roman" w:cs="Times New Roman"/>
          <w:color w:val="17365D" w:themeColor="text2" w:themeShade="BF"/>
          <w:sz w:val="32"/>
        </w:rPr>
      </w:pPr>
      <w:r w:rsidRPr="00DA2549">
        <w:rPr>
          <w:rFonts w:ascii="Times New Roman" w:hAnsi="Times New Roman" w:cs="Times New Roman"/>
          <w:color w:val="17365D" w:themeColor="text2" w:themeShade="BF"/>
          <w:sz w:val="32"/>
        </w:rPr>
        <w:t>Introduction</w:t>
      </w:r>
    </w:p>
    <w:p w:rsidR="000F5F08" w:rsidRPr="00DA2549" w:rsidRDefault="000F5F08" w:rsidP="000F5F08">
      <w:pPr>
        <w:rPr>
          <w:rFonts w:ascii="Times New Roman" w:hAnsi="Times New Roman" w:cs="Times New Roman"/>
          <w:color w:val="17365D" w:themeColor="text2" w:themeShade="BF"/>
          <w:sz w:val="24"/>
        </w:rPr>
      </w:pPr>
      <w:r w:rsidRPr="00DA2549">
        <w:rPr>
          <w:rFonts w:ascii="Times New Roman" w:hAnsi="Times New Roman" w:cs="Times New Roman"/>
          <w:color w:val="17365D" w:themeColor="text2" w:themeShade="BF"/>
          <w:sz w:val="24"/>
        </w:rPr>
        <w:t>This Power BI dashboard was created to:</w:t>
      </w:r>
      <w:r w:rsidRPr="00DA2549">
        <w:rPr>
          <w:rFonts w:ascii="Times New Roman" w:hAnsi="Times New Roman" w:cs="Times New Roman"/>
          <w:color w:val="17365D" w:themeColor="text2" w:themeShade="BF"/>
          <w:sz w:val="24"/>
        </w:rPr>
        <w:br/>
        <w:t>- Identify top-performing countries and campaigns.</w:t>
      </w:r>
      <w:r w:rsidRPr="00DA2549">
        <w:rPr>
          <w:rFonts w:ascii="Times New Roman" w:hAnsi="Times New Roman" w:cs="Times New Roman"/>
          <w:color w:val="17365D" w:themeColor="text2" w:themeShade="BF"/>
          <w:sz w:val="24"/>
        </w:rPr>
        <w:br/>
        <w:t>- Analyze donation trends by category and currency.</w:t>
      </w:r>
      <w:r w:rsidRPr="00DA2549">
        <w:rPr>
          <w:rFonts w:ascii="Times New Roman" w:hAnsi="Times New Roman" w:cs="Times New Roman"/>
          <w:color w:val="17365D" w:themeColor="text2" w:themeShade="BF"/>
          <w:sz w:val="24"/>
        </w:rPr>
        <w:br/>
        <w:t>- Measure media and social engagement impact on fundraising outcomes.</w:t>
      </w:r>
      <w:r w:rsidRPr="00DA2549">
        <w:rPr>
          <w:rFonts w:ascii="Times New Roman" w:hAnsi="Times New Roman" w:cs="Times New Roman"/>
          <w:color w:val="17365D" w:themeColor="text2" w:themeShade="BF"/>
          <w:sz w:val="24"/>
        </w:rPr>
        <w:br/>
        <w:t>- Support data-driven decision-making for future fundraising strategies.</w:t>
      </w:r>
    </w:p>
    <w:p w:rsidR="000F5F08" w:rsidRDefault="000F5F08" w:rsidP="000F5F08">
      <w:pPr>
        <w:pStyle w:val="Heading2"/>
        <w:rPr>
          <w:rFonts w:ascii="Times New Roman" w:hAnsi="Times New Roman" w:cs="Times New Roman"/>
          <w:color w:val="17365D" w:themeColor="text2" w:themeShade="BF"/>
          <w:sz w:val="40"/>
        </w:rPr>
      </w:pPr>
    </w:p>
    <w:p w:rsidR="000F5F08" w:rsidRDefault="000F5F08" w:rsidP="000F5F08">
      <w:pPr>
        <w:pStyle w:val="Heading2"/>
        <w:rPr>
          <w:rFonts w:ascii="Times New Roman" w:hAnsi="Times New Roman" w:cs="Times New Roman"/>
          <w:color w:val="17365D" w:themeColor="text2" w:themeShade="BF"/>
          <w:sz w:val="40"/>
        </w:rPr>
      </w:pPr>
    </w:p>
    <w:p w:rsidR="000F5F08" w:rsidRPr="00DA2549" w:rsidRDefault="000F5F08" w:rsidP="000F5F08">
      <w:pPr>
        <w:pStyle w:val="Heading2"/>
        <w:rPr>
          <w:rFonts w:ascii="Times New Roman" w:hAnsi="Times New Roman" w:cs="Times New Roman"/>
          <w:color w:val="17365D" w:themeColor="text2" w:themeShade="BF"/>
          <w:sz w:val="40"/>
        </w:rPr>
      </w:pPr>
      <w:r w:rsidRPr="00DA2549">
        <w:rPr>
          <w:rFonts w:ascii="Times New Roman" w:hAnsi="Times New Roman" w:cs="Times New Roman"/>
          <w:color w:val="17365D" w:themeColor="text2" w:themeShade="BF"/>
          <w:sz w:val="40"/>
        </w:rPr>
        <w:t>3. Statistical Analysis</w:t>
      </w:r>
    </w:p>
    <w:p w:rsidR="000F5F08" w:rsidRPr="00DA2549" w:rsidRDefault="000F5F08" w:rsidP="000F5F08">
      <w:pPr>
        <w:rPr>
          <w:rFonts w:ascii="Times New Roman" w:hAnsi="Times New Roman" w:cs="Times New Roman"/>
          <w:color w:val="17365D" w:themeColor="text2" w:themeShade="BF"/>
          <w:sz w:val="24"/>
        </w:rPr>
      </w:pPr>
      <w:r w:rsidRPr="00DA2549">
        <w:rPr>
          <w:rFonts w:ascii="Times New Roman" w:hAnsi="Times New Roman" w:cs="Times New Roman"/>
          <w:color w:val="17365D" w:themeColor="text2" w:themeShade="BF"/>
          <w:sz w:val="24"/>
        </w:rPr>
        <w:t>- Count of Donors: 1,984 total donors contribute to global fundraising initiatives.</w:t>
      </w:r>
      <w:r w:rsidRPr="00DA2549">
        <w:rPr>
          <w:rFonts w:ascii="Times New Roman" w:hAnsi="Times New Roman" w:cs="Times New Roman"/>
          <w:color w:val="17365D" w:themeColor="text2" w:themeShade="BF"/>
          <w:sz w:val="24"/>
        </w:rPr>
        <w:br/>
        <w:t>- Average Media Coverage: 49.95 indicates moderate publicity effectiveness.</w:t>
      </w:r>
      <w:r w:rsidRPr="00DA2549">
        <w:rPr>
          <w:rFonts w:ascii="Times New Roman" w:hAnsi="Times New Roman" w:cs="Times New Roman"/>
          <w:color w:val="17365D" w:themeColor="text2" w:themeShade="BF"/>
          <w:sz w:val="24"/>
        </w:rPr>
        <w:br/>
        <w:t>- Average Social Media Reach: 499.27K suggests strong digital influence.</w:t>
      </w:r>
      <w:r w:rsidRPr="00DA2549">
        <w:rPr>
          <w:rFonts w:ascii="Times New Roman" w:hAnsi="Times New Roman" w:cs="Times New Roman"/>
          <w:color w:val="17365D" w:themeColor="text2" w:themeShade="BF"/>
          <w:sz w:val="24"/>
        </w:rPr>
        <w:br/>
        <w:t>- Top 5 Country Performance:</w:t>
      </w:r>
      <w:r w:rsidRPr="00DA2549">
        <w:rPr>
          <w:rFonts w:ascii="Times New Roman" w:hAnsi="Times New Roman" w:cs="Times New Roman"/>
          <w:color w:val="17365D" w:themeColor="text2" w:themeShade="BF"/>
          <w:sz w:val="24"/>
        </w:rPr>
        <w:br/>
        <w:t xml:space="preserve">  - Korea (≈22M)</w:t>
      </w:r>
      <w:r w:rsidRPr="00DA2549">
        <w:rPr>
          <w:rFonts w:ascii="Times New Roman" w:hAnsi="Times New Roman" w:cs="Times New Roman"/>
          <w:color w:val="17365D" w:themeColor="text2" w:themeShade="BF"/>
          <w:sz w:val="24"/>
        </w:rPr>
        <w:br/>
        <w:t xml:space="preserve">  - Congo (≈19M)</w:t>
      </w:r>
      <w:r w:rsidRPr="00DA2549">
        <w:rPr>
          <w:rFonts w:ascii="Times New Roman" w:hAnsi="Times New Roman" w:cs="Times New Roman"/>
          <w:color w:val="17365D" w:themeColor="text2" w:themeShade="BF"/>
          <w:sz w:val="24"/>
        </w:rPr>
        <w:br/>
        <w:t xml:space="preserve">  - Honduras, Andorra, and Cocos Islands (~15M each)</w:t>
      </w:r>
      <w:r w:rsidRPr="00DA2549">
        <w:rPr>
          <w:rFonts w:ascii="Times New Roman" w:hAnsi="Times New Roman" w:cs="Times New Roman"/>
          <w:color w:val="17365D" w:themeColor="text2" w:themeShade="BF"/>
          <w:sz w:val="24"/>
        </w:rPr>
        <w:br/>
        <w:t>- Category-wise Donations (Top 3):</w:t>
      </w:r>
      <w:r w:rsidRPr="00DA2549">
        <w:rPr>
          <w:rFonts w:ascii="Times New Roman" w:hAnsi="Times New Roman" w:cs="Times New Roman"/>
          <w:color w:val="17365D" w:themeColor="text2" w:themeShade="BF"/>
          <w:sz w:val="24"/>
        </w:rPr>
        <w:br/>
        <w:t xml:space="preserve">  - Startup (17.4%)</w:t>
      </w:r>
      <w:r w:rsidRPr="00DA2549">
        <w:rPr>
          <w:rFonts w:ascii="Times New Roman" w:hAnsi="Times New Roman" w:cs="Times New Roman"/>
          <w:color w:val="17365D" w:themeColor="text2" w:themeShade="BF"/>
          <w:sz w:val="24"/>
        </w:rPr>
        <w:br/>
        <w:t xml:space="preserve">  - Climate (17.4%)</w:t>
      </w:r>
      <w:r w:rsidRPr="00DA2549">
        <w:rPr>
          <w:rFonts w:ascii="Times New Roman" w:hAnsi="Times New Roman" w:cs="Times New Roman"/>
          <w:color w:val="17365D" w:themeColor="text2" w:themeShade="BF"/>
          <w:sz w:val="24"/>
        </w:rPr>
        <w:br/>
        <w:t xml:space="preserve">  - Education (16.8%)</w:t>
      </w:r>
      <w:r w:rsidRPr="00DA2549">
        <w:rPr>
          <w:rFonts w:ascii="Times New Roman" w:hAnsi="Times New Roman" w:cs="Times New Roman"/>
          <w:color w:val="17365D" w:themeColor="text2" w:themeShade="BF"/>
          <w:sz w:val="24"/>
        </w:rPr>
        <w:br/>
        <w:t>- Funding Type Insights:</w:t>
      </w:r>
      <w:r w:rsidRPr="00DA2549">
        <w:rPr>
          <w:rFonts w:ascii="Times New Roman" w:hAnsi="Times New Roman" w:cs="Times New Roman"/>
          <w:color w:val="17365D" w:themeColor="text2" w:themeShade="BF"/>
          <w:sz w:val="24"/>
        </w:rPr>
        <w:br/>
        <w:t xml:space="preserve">  - External funding is higher in Korea and Congo.</w:t>
      </w:r>
      <w:r w:rsidRPr="00DA2549">
        <w:rPr>
          <w:rFonts w:ascii="Times New Roman" w:hAnsi="Times New Roman" w:cs="Times New Roman"/>
          <w:color w:val="17365D" w:themeColor="text2" w:themeShade="BF"/>
          <w:sz w:val="24"/>
        </w:rPr>
        <w:br/>
        <w:t xml:space="preserve">  - Online and hybrid campaigns show greater reach and engagement compared to offline campaigns.</w:t>
      </w:r>
    </w:p>
    <w:p w:rsidR="000F5F08" w:rsidRPr="00DA2549" w:rsidRDefault="000F5F08" w:rsidP="000F5F08">
      <w:pPr>
        <w:pStyle w:val="Heading2"/>
        <w:rPr>
          <w:rFonts w:ascii="Times New Roman" w:hAnsi="Times New Roman" w:cs="Times New Roman"/>
          <w:color w:val="17365D" w:themeColor="text2" w:themeShade="BF"/>
          <w:sz w:val="40"/>
        </w:rPr>
      </w:pPr>
      <w:r w:rsidRPr="00DA2549">
        <w:rPr>
          <w:rFonts w:ascii="Times New Roman" w:hAnsi="Times New Roman" w:cs="Times New Roman"/>
          <w:color w:val="17365D" w:themeColor="text2" w:themeShade="BF"/>
          <w:sz w:val="40"/>
        </w:rPr>
        <w:t>4. Data Visualization &amp; Insights</w:t>
      </w:r>
    </w:p>
    <w:p w:rsidR="000F5F08" w:rsidRPr="00DA2549" w:rsidRDefault="000F5F08" w:rsidP="000F5F08">
      <w:pPr>
        <w:pStyle w:val="Heading3"/>
        <w:rPr>
          <w:rFonts w:ascii="Times New Roman" w:hAnsi="Times New Roman" w:cs="Times New Roman"/>
          <w:color w:val="17365D" w:themeColor="text2" w:themeShade="BF"/>
          <w:sz w:val="32"/>
        </w:rPr>
      </w:pPr>
      <w:r w:rsidRPr="00DA2549">
        <w:rPr>
          <w:rFonts w:ascii="Times New Roman" w:hAnsi="Times New Roman" w:cs="Times New Roman"/>
          <w:color w:val="17365D" w:themeColor="text2" w:themeShade="BF"/>
          <w:sz w:val="32"/>
        </w:rPr>
        <w:t>Visual Components</w:t>
      </w:r>
    </w:p>
    <w:p w:rsidR="000F5F08" w:rsidRPr="00DA2549" w:rsidRDefault="000F5F08" w:rsidP="000F5F08">
      <w:pPr>
        <w:rPr>
          <w:rFonts w:ascii="Times New Roman" w:hAnsi="Times New Roman" w:cs="Times New Roman"/>
          <w:color w:val="17365D" w:themeColor="text2" w:themeShade="BF"/>
          <w:sz w:val="24"/>
        </w:rPr>
      </w:pPr>
      <w:r w:rsidRPr="00DA2549">
        <w:rPr>
          <w:rFonts w:ascii="Times New Roman" w:hAnsi="Times New Roman" w:cs="Times New Roman"/>
          <w:color w:val="17365D" w:themeColor="text2" w:themeShade="BF"/>
          <w:sz w:val="24"/>
        </w:rPr>
        <w:t>- Top 5 Country Performance Bar Chart: Highlights Korea as the leader in fundraising with substantial contribution differences.</w:t>
      </w:r>
      <w:r w:rsidRPr="00DA2549">
        <w:rPr>
          <w:rFonts w:ascii="Times New Roman" w:hAnsi="Times New Roman" w:cs="Times New Roman"/>
          <w:color w:val="17365D" w:themeColor="text2" w:themeShade="BF"/>
          <w:sz w:val="24"/>
        </w:rPr>
        <w:br/>
        <w:t>- Currency vs Campaign Type Waterfall Chart: Demonstrates how campaign types influence fundraising across different currencies.</w:t>
      </w:r>
      <w:r w:rsidRPr="00DA2549">
        <w:rPr>
          <w:rFonts w:ascii="Times New Roman" w:hAnsi="Times New Roman" w:cs="Times New Roman"/>
          <w:color w:val="17365D" w:themeColor="text2" w:themeShade="BF"/>
          <w:sz w:val="24"/>
        </w:rPr>
        <w:br/>
        <w:t>- Category-Wise Donut Chart: Reflects the distribution of donations across key categories, showing Startup and Climate as dominant sectors.</w:t>
      </w:r>
      <w:r w:rsidRPr="00DA2549">
        <w:rPr>
          <w:rFonts w:ascii="Times New Roman" w:hAnsi="Times New Roman" w:cs="Times New Roman"/>
          <w:color w:val="17365D" w:themeColor="text2" w:themeShade="BF"/>
          <w:sz w:val="24"/>
        </w:rPr>
        <w:br/>
        <w:t>- Geo Map Visualization: Shows global fundraising spread with significant activity across Asia and Africa.</w:t>
      </w:r>
    </w:p>
    <w:p w:rsidR="000F5F08" w:rsidRPr="00DA2549" w:rsidRDefault="000F5F08" w:rsidP="000F5F08">
      <w:pPr>
        <w:pStyle w:val="Heading3"/>
        <w:rPr>
          <w:rFonts w:ascii="Times New Roman" w:hAnsi="Times New Roman" w:cs="Times New Roman"/>
          <w:color w:val="17365D" w:themeColor="text2" w:themeShade="BF"/>
          <w:sz w:val="32"/>
        </w:rPr>
      </w:pPr>
      <w:r w:rsidRPr="00DA2549">
        <w:rPr>
          <w:rFonts w:ascii="Times New Roman" w:hAnsi="Times New Roman" w:cs="Times New Roman"/>
          <w:color w:val="17365D" w:themeColor="text2" w:themeShade="BF"/>
          <w:sz w:val="32"/>
        </w:rPr>
        <w:t>Key Insights</w:t>
      </w:r>
    </w:p>
    <w:p w:rsidR="000F5F08" w:rsidRPr="00DA2549" w:rsidRDefault="000F5F08" w:rsidP="000F5F08">
      <w:pPr>
        <w:rPr>
          <w:rFonts w:ascii="Times New Roman" w:hAnsi="Times New Roman" w:cs="Times New Roman"/>
          <w:color w:val="17365D" w:themeColor="text2" w:themeShade="BF"/>
          <w:sz w:val="24"/>
        </w:rPr>
      </w:pPr>
      <w:r w:rsidRPr="00DA2549">
        <w:rPr>
          <w:rFonts w:ascii="Times New Roman" w:hAnsi="Times New Roman" w:cs="Times New Roman"/>
          <w:color w:val="17365D" w:themeColor="text2" w:themeShade="BF"/>
          <w:sz w:val="24"/>
        </w:rPr>
        <w:t>1. Korea leads globally with the highest amount raised, showing strong internal and external funding support.</w:t>
      </w:r>
      <w:r w:rsidRPr="00DA2549">
        <w:rPr>
          <w:rFonts w:ascii="Times New Roman" w:hAnsi="Times New Roman" w:cs="Times New Roman"/>
          <w:color w:val="17365D" w:themeColor="text2" w:themeShade="BF"/>
          <w:sz w:val="24"/>
        </w:rPr>
        <w:br/>
        <w:t>2. Startup and Climate initiatives attract the most donor attention, likely due to innovation and sustainability trends.</w:t>
      </w:r>
      <w:r w:rsidRPr="00DA2549">
        <w:rPr>
          <w:rFonts w:ascii="Times New Roman" w:hAnsi="Times New Roman" w:cs="Times New Roman"/>
          <w:color w:val="17365D" w:themeColor="text2" w:themeShade="BF"/>
          <w:sz w:val="24"/>
        </w:rPr>
        <w:br/>
        <w:t>3. Online Campaigns outperform offline ones in reach and engagement, driven by digital marketing efforts.</w:t>
      </w:r>
      <w:r w:rsidRPr="00DA2549">
        <w:rPr>
          <w:rFonts w:ascii="Times New Roman" w:hAnsi="Times New Roman" w:cs="Times New Roman"/>
          <w:color w:val="17365D" w:themeColor="text2" w:themeShade="BF"/>
          <w:sz w:val="24"/>
        </w:rPr>
        <w:br/>
        <w:t>4. Currency Fluctuations impact donations, with certain currencies showing higher contributions during campaign surges.</w:t>
      </w:r>
      <w:r w:rsidRPr="00DA2549">
        <w:rPr>
          <w:rFonts w:ascii="Times New Roman" w:hAnsi="Times New Roman" w:cs="Times New Roman"/>
          <w:color w:val="17365D" w:themeColor="text2" w:themeShade="BF"/>
          <w:sz w:val="24"/>
        </w:rPr>
        <w:br/>
        <w:t>5. Media and Social Reach are key contributors to campaign success — higher visibility directly correlates with donor count.</w:t>
      </w:r>
    </w:p>
    <w:p w:rsidR="000F5F08" w:rsidRDefault="000F5F08" w:rsidP="000F5F08">
      <w:pPr>
        <w:pStyle w:val="Heading2"/>
        <w:rPr>
          <w:rFonts w:ascii="Times New Roman" w:hAnsi="Times New Roman" w:cs="Times New Roman"/>
          <w:color w:val="17365D" w:themeColor="text2" w:themeShade="BF"/>
          <w:sz w:val="40"/>
          <w:szCs w:val="40"/>
        </w:rPr>
      </w:pPr>
    </w:p>
    <w:p w:rsidR="000F5F08" w:rsidRDefault="000F5F08" w:rsidP="000F5F08">
      <w:pPr>
        <w:pStyle w:val="Heading2"/>
        <w:rPr>
          <w:rFonts w:ascii="Times New Roman" w:hAnsi="Times New Roman" w:cs="Times New Roman"/>
          <w:color w:val="17365D" w:themeColor="text2" w:themeShade="BF"/>
          <w:sz w:val="40"/>
          <w:szCs w:val="40"/>
        </w:rPr>
      </w:pPr>
    </w:p>
    <w:p w:rsidR="000F5F08" w:rsidRPr="00DA2549" w:rsidRDefault="000F5F08" w:rsidP="000F5F08">
      <w:pPr>
        <w:pStyle w:val="Heading2"/>
        <w:rPr>
          <w:rFonts w:ascii="Times New Roman" w:hAnsi="Times New Roman" w:cs="Times New Roman"/>
          <w:color w:val="17365D" w:themeColor="text2" w:themeShade="BF"/>
          <w:sz w:val="40"/>
          <w:szCs w:val="40"/>
        </w:rPr>
      </w:pPr>
      <w:r w:rsidRPr="00DA2549">
        <w:rPr>
          <w:rFonts w:ascii="Times New Roman" w:hAnsi="Times New Roman" w:cs="Times New Roman"/>
          <w:color w:val="17365D" w:themeColor="text2" w:themeShade="BF"/>
          <w:sz w:val="40"/>
          <w:szCs w:val="40"/>
        </w:rPr>
        <w:t>5. SWOT Analysis</w:t>
      </w:r>
    </w:p>
    <w:tbl>
      <w:tblPr>
        <w:tblStyle w:val="TableGrid"/>
        <w:tblW w:w="0" w:type="auto"/>
        <w:tblLook w:val="04A0"/>
      </w:tblPr>
      <w:tblGrid>
        <w:gridCol w:w="4320"/>
        <w:gridCol w:w="4320"/>
      </w:tblGrid>
      <w:tr w:rsidR="000F5F08" w:rsidRPr="000F5F08" w:rsidTr="00F55888">
        <w:tc>
          <w:tcPr>
            <w:tcW w:w="4320" w:type="dxa"/>
          </w:tcPr>
          <w:p w:rsidR="000F5F08" w:rsidRPr="000F5F08" w:rsidRDefault="000F5F08" w:rsidP="00F55888">
            <w:pPr>
              <w:rPr>
                <w:rFonts w:ascii="Times New Roman" w:hAnsi="Times New Roman" w:cs="Times New Roman"/>
                <w:color w:val="17365D" w:themeColor="text2" w:themeShade="BF"/>
                <w:sz w:val="28"/>
              </w:rPr>
            </w:pPr>
            <w:r w:rsidRPr="000F5F08">
              <w:rPr>
                <w:rFonts w:ascii="Times New Roman" w:hAnsi="Times New Roman" w:cs="Times New Roman"/>
                <w:color w:val="17365D" w:themeColor="text2" w:themeShade="BF"/>
                <w:sz w:val="28"/>
              </w:rPr>
              <w:t>Strengths</w:t>
            </w:r>
          </w:p>
        </w:tc>
        <w:tc>
          <w:tcPr>
            <w:tcW w:w="4320" w:type="dxa"/>
          </w:tcPr>
          <w:p w:rsidR="000F5F08" w:rsidRPr="000F5F08" w:rsidRDefault="000F5F08" w:rsidP="00F55888">
            <w:pPr>
              <w:rPr>
                <w:rFonts w:ascii="Times New Roman" w:hAnsi="Times New Roman" w:cs="Times New Roman"/>
                <w:color w:val="17365D" w:themeColor="text2" w:themeShade="BF"/>
                <w:sz w:val="28"/>
              </w:rPr>
            </w:pPr>
            <w:r w:rsidRPr="000F5F08">
              <w:rPr>
                <w:rFonts w:ascii="Times New Roman" w:hAnsi="Times New Roman" w:cs="Times New Roman"/>
                <w:color w:val="17365D" w:themeColor="text2" w:themeShade="BF"/>
                <w:sz w:val="28"/>
              </w:rPr>
              <w:t>Weaknesses</w:t>
            </w:r>
          </w:p>
        </w:tc>
      </w:tr>
      <w:tr w:rsidR="000F5F08" w:rsidRPr="000F5F08" w:rsidTr="00F55888">
        <w:tc>
          <w:tcPr>
            <w:tcW w:w="4320" w:type="dxa"/>
          </w:tcPr>
          <w:p w:rsidR="000F5F08" w:rsidRPr="000F5F08" w:rsidRDefault="000F5F08" w:rsidP="00F55888">
            <w:pPr>
              <w:rPr>
                <w:rFonts w:ascii="Times New Roman" w:hAnsi="Times New Roman" w:cs="Times New Roman"/>
                <w:color w:val="17365D" w:themeColor="text2" w:themeShade="BF"/>
                <w:sz w:val="28"/>
              </w:rPr>
            </w:pPr>
            <w:r w:rsidRPr="000F5F08">
              <w:rPr>
                <w:rFonts w:ascii="Times New Roman" w:hAnsi="Times New Roman" w:cs="Times New Roman"/>
                <w:color w:val="17365D" w:themeColor="text2" w:themeShade="BF"/>
                <w:sz w:val="28"/>
              </w:rPr>
              <w:t>- High donor count and strong social media reach.</w:t>
            </w:r>
            <w:r w:rsidRPr="000F5F08">
              <w:rPr>
                <w:rFonts w:ascii="Times New Roman" w:hAnsi="Times New Roman" w:cs="Times New Roman"/>
                <w:color w:val="17365D" w:themeColor="text2" w:themeShade="BF"/>
                <w:sz w:val="28"/>
              </w:rPr>
              <w:br/>
              <w:t>- Effective online fundraising campaigns.</w:t>
            </w:r>
            <w:r w:rsidRPr="000F5F08">
              <w:rPr>
                <w:rFonts w:ascii="Times New Roman" w:hAnsi="Times New Roman" w:cs="Times New Roman"/>
                <w:color w:val="17365D" w:themeColor="text2" w:themeShade="BF"/>
                <w:sz w:val="28"/>
              </w:rPr>
              <w:br/>
              <w:t>- Positive response in innovation and climate categories.</w:t>
            </w:r>
          </w:p>
        </w:tc>
        <w:tc>
          <w:tcPr>
            <w:tcW w:w="4320" w:type="dxa"/>
          </w:tcPr>
          <w:p w:rsidR="000F5F08" w:rsidRPr="000F5F08" w:rsidRDefault="000F5F08" w:rsidP="00F55888">
            <w:pPr>
              <w:rPr>
                <w:rFonts w:ascii="Times New Roman" w:hAnsi="Times New Roman" w:cs="Times New Roman"/>
                <w:color w:val="17365D" w:themeColor="text2" w:themeShade="BF"/>
                <w:sz w:val="28"/>
              </w:rPr>
            </w:pPr>
            <w:r w:rsidRPr="000F5F08">
              <w:rPr>
                <w:rFonts w:ascii="Times New Roman" w:hAnsi="Times New Roman" w:cs="Times New Roman"/>
                <w:color w:val="17365D" w:themeColor="text2" w:themeShade="BF"/>
                <w:sz w:val="28"/>
              </w:rPr>
              <w:t>- Limited offline campaign engagement.</w:t>
            </w:r>
            <w:r w:rsidRPr="000F5F08">
              <w:rPr>
                <w:rFonts w:ascii="Times New Roman" w:hAnsi="Times New Roman" w:cs="Times New Roman"/>
                <w:color w:val="17365D" w:themeColor="text2" w:themeShade="BF"/>
                <w:sz w:val="28"/>
              </w:rPr>
              <w:br/>
              <w:t>- Uneven regional distribution of donations.</w:t>
            </w:r>
            <w:r w:rsidRPr="000F5F08">
              <w:rPr>
                <w:rFonts w:ascii="Times New Roman" w:hAnsi="Times New Roman" w:cs="Times New Roman"/>
                <w:color w:val="17365D" w:themeColor="text2" w:themeShade="BF"/>
                <w:sz w:val="28"/>
              </w:rPr>
              <w:br/>
              <w:t>- Moderate media coverage score indicates limited publicity impact.</w:t>
            </w:r>
          </w:p>
        </w:tc>
      </w:tr>
      <w:tr w:rsidR="000F5F08" w:rsidRPr="000F5F08" w:rsidTr="00F55888">
        <w:tc>
          <w:tcPr>
            <w:tcW w:w="4320" w:type="dxa"/>
          </w:tcPr>
          <w:p w:rsidR="000F5F08" w:rsidRPr="000F5F08" w:rsidRDefault="000F5F08" w:rsidP="00F55888">
            <w:pPr>
              <w:rPr>
                <w:rFonts w:ascii="Times New Roman" w:hAnsi="Times New Roman" w:cs="Times New Roman"/>
                <w:color w:val="17365D" w:themeColor="text2" w:themeShade="BF"/>
                <w:sz w:val="28"/>
              </w:rPr>
            </w:pPr>
            <w:r w:rsidRPr="000F5F08">
              <w:rPr>
                <w:rFonts w:ascii="Times New Roman" w:hAnsi="Times New Roman" w:cs="Times New Roman"/>
                <w:color w:val="17365D" w:themeColor="text2" w:themeShade="BF"/>
                <w:sz w:val="28"/>
              </w:rPr>
              <w:t>Opportunities:</w:t>
            </w:r>
            <w:r w:rsidRPr="000F5F08">
              <w:rPr>
                <w:rFonts w:ascii="Times New Roman" w:hAnsi="Times New Roman" w:cs="Times New Roman"/>
                <w:color w:val="17365D" w:themeColor="text2" w:themeShade="BF"/>
                <w:sz w:val="28"/>
              </w:rPr>
              <w:br/>
              <w:t>- Expand hybrid and digital fundraising campaigns.</w:t>
            </w:r>
            <w:r w:rsidRPr="000F5F08">
              <w:rPr>
                <w:rFonts w:ascii="Times New Roman" w:hAnsi="Times New Roman" w:cs="Times New Roman"/>
                <w:color w:val="17365D" w:themeColor="text2" w:themeShade="BF"/>
                <w:sz w:val="28"/>
              </w:rPr>
              <w:br/>
              <w:t>- Improve collaboration with global partners.</w:t>
            </w:r>
            <w:r w:rsidRPr="000F5F08">
              <w:rPr>
                <w:rFonts w:ascii="Times New Roman" w:hAnsi="Times New Roman" w:cs="Times New Roman"/>
                <w:color w:val="17365D" w:themeColor="text2" w:themeShade="BF"/>
                <w:sz w:val="28"/>
              </w:rPr>
              <w:br/>
              <w:t>- Leverage data to enhance targeted marketing.</w:t>
            </w:r>
          </w:p>
        </w:tc>
        <w:tc>
          <w:tcPr>
            <w:tcW w:w="4320" w:type="dxa"/>
          </w:tcPr>
          <w:p w:rsidR="000F5F08" w:rsidRPr="000F5F08" w:rsidRDefault="000F5F08" w:rsidP="00F55888">
            <w:pPr>
              <w:rPr>
                <w:rFonts w:ascii="Times New Roman" w:hAnsi="Times New Roman" w:cs="Times New Roman"/>
                <w:color w:val="17365D" w:themeColor="text2" w:themeShade="BF"/>
                <w:sz w:val="28"/>
              </w:rPr>
            </w:pPr>
            <w:r w:rsidRPr="000F5F08">
              <w:rPr>
                <w:rFonts w:ascii="Times New Roman" w:hAnsi="Times New Roman" w:cs="Times New Roman"/>
                <w:color w:val="17365D" w:themeColor="text2" w:themeShade="BF"/>
                <w:sz w:val="28"/>
              </w:rPr>
              <w:t>Threats:</w:t>
            </w:r>
            <w:r w:rsidRPr="000F5F08">
              <w:rPr>
                <w:rFonts w:ascii="Times New Roman" w:hAnsi="Times New Roman" w:cs="Times New Roman"/>
                <w:color w:val="17365D" w:themeColor="text2" w:themeShade="BF"/>
                <w:sz w:val="28"/>
              </w:rPr>
              <w:br/>
              <w:t>- Currency fluctuation risks affecting donation totals.</w:t>
            </w:r>
            <w:r w:rsidRPr="000F5F08">
              <w:rPr>
                <w:rFonts w:ascii="Times New Roman" w:hAnsi="Times New Roman" w:cs="Times New Roman"/>
                <w:color w:val="17365D" w:themeColor="text2" w:themeShade="BF"/>
                <w:sz w:val="28"/>
              </w:rPr>
              <w:br/>
              <w:t>- Donor fatigue or reduced public trust in certain regions.</w:t>
            </w:r>
            <w:r w:rsidRPr="000F5F08">
              <w:rPr>
                <w:rFonts w:ascii="Times New Roman" w:hAnsi="Times New Roman" w:cs="Times New Roman"/>
                <w:color w:val="17365D" w:themeColor="text2" w:themeShade="BF"/>
                <w:sz w:val="28"/>
              </w:rPr>
              <w:br/>
              <w:t>- Competition from other fundraising organizations.</w:t>
            </w:r>
          </w:p>
        </w:tc>
      </w:tr>
    </w:tbl>
    <w:p w:rsidR="000F5F08" w:rsidRPr="00DA2549" w:rsidRDefault="000F5F08" w:rsidP="000F5F08">
      <w:pPr>
        <w:pStyle w:val="Heading2"/>
        <w:rPr>
          <w:rFonts w:ascii="Times New Roman" w:hAnsi="Times New Roman" w:cs="Times New Roman"/>
          <w:color w:val="17365D" w:themeColor="text2" w:themeShade="BF"/>
          <w:sz w:val="40"/>
          <w:szCs w:val="40"/>
        </w:rPr>
      </w:pPr>
      <w:r w:rsidRPr="00DA2549">
        <w:rPr>
          <w:rFonts w:ascii="Times New Roman" w:hAnsi="Times New Roman" w:cs="Times New Roman"/>
          <w:color w:val="17365D" w:themeColor="text2" w:themeShade="BF"/>
          <w:sz w:val="40"/>
          <w:szCs w:val="40"/>
        </w:rPr>
        <w:t>6. Conclusions &amp; Recommendations</w:t>
      </w:r>
    </w:p>
    <w:p w:rsidR="000F5F08" w:rsidRPr="000F5F08" w:rsidRDefault="000F5F08" w:rsidP="000F5F08">
      <w:pPr>
        <w:pStyle w:val="Heading3"/>
        <w:rPr>
          <w:rFonts w:ascii="Times New Roman" w:hAnsi="Times New Roman" w:cs="Times New Roman"/>
          <w:color w:val="17365D" w:themeColor="text2" w:themeShade="BF"/>
          <w:sz w:val="32"/>
        </w:rPr>
      </w:pPr>
      <w:r w:rsidRPr="000F5F08">
        <w:rPr>
          <w:rFonts w:ascii="Times New Roman" w:hAnsi="Times New Roman" w:cs="Times New Roman"/>
          <w:color w:val="17365D" w:themeColor="text2" w:themeShade="BF"/>
          <w:sz w:val="32"/>
        </w:rPr>
        <w:t>Conclusions</w:t>
      </w:r>
    </w:p>
    <w:p w:rsidR="000F5F08" w:rsidRPr="000F5F08" w:rsidRDefault="000F5F08" w:rsidP="000F5F08">
      <w:pPr>
        <w:rPr>
          <w:rFonts w:ascii="Times New Roman" w:hAnsi="Times New Roman" w:cs="Times New Roman"/>
          <w:color w:val="17365D" w:themeColor="text2" w:themeShade="BF"/>
          <w:sz w:val="24"/>
        </w:rPr>
      </w:pPr>
      <w:r w:rsidRPr="000F5F08">
        <w:rPr>
          <w:rFonts w:ascii="Times New Roman" w:hAnsi="Times New Roman" w:cs="Times New Roman"/>
          <w:color w:val="17365D" w:themeColor="text2" w:themeShade="BF"/>
          <w:sz w:val="24"/>
        </w:rPr>
        <w:t>The fundraising analysis highlights significant performance variation across countries and campaign types. Korea emerges as the top-performing country, while digital campaigns (especially online and hybrid) demonstrate higher engagement and donor participation. The data suggests a clear link between digital visibility and fundraising success.</w:t>
      </w:r>
    </w:p>
    <w:p w:rsidR="000F5F08" w:rsidRPr="000F5F08" w:rsidRDefault="000F5F08" w:rsidP="000F5F08">
      <w:pPr>
        <w:pStyle w:val="Heading3"/>
        <w:rPr>
          <w:rFonts w:ascii="Times New Roman" w:hAnsi="Times New Roman" w:cs="Times New Roman"/>
          <w:color w:val="17365D" w:themeColor="text2" w:themeShade="BF"/>
          <w:sz w:val="32"/>
        </w:rPr>
      </w:pPr>
      <w:r w:rsidRPr="000F5F08">
        <w:rPr>
          <w:rFonts w:ascii="Times New Roman" w:hAnsi="Times New Roman" w:cs="Times New Roman"/>
          <w:color w:val="17365D" w:themeColor="text2" w:themeShade="BF"/>
          <w:sz w:val="32"/>
        </w:rPr>
        <w:t>Recommendations</w:t>
      </w:r>
    </w:p>
    <w:p w:rsidR="00DA2549" w:rsidRPr="000F5F08" w:rsidRDefault="000F5F08" w:rsidP="000F5F08">
      <w:pPr>
        <w:rPr>
          <w:rFonts w:ascii="Times New Roman" w:hAnsi="Times New Roman" w:cs="Times New Roman"/>
          <w:color w:val="17365D" w:themeColor="text2" w:themeShade="BF"/>
          <w:sz w:val="28"/>
        </w:rPr>
      </w:pPr>
      <w:r w:rsidRPr="000F5F08">
        <w:rPr>
          <w:rFonts w:ascii="Times New Roman" w:hAnsi="Times New Roman" w:cs="Times New Roman"/>
          <w:color w:val="17365D" w:themeColor="text2" w:themeShade="BF"/>
          <w:sz w:val="24"/>
        </w:rPr>
        <w:t xml:space="preserve">1. Increase Digital Campaign Investment: Continue expanding online and hybrid </w:t>
      </w:r>
      <w:r>
        <w:rPr>
          <w:rFonts w:ascii="Times New Roman" w:hAnsi="Times New Roman" w:cs="Times New Roman"/>
          <w:color w:val="17365D" w:themeColor="text2" w:themeShade="BF"/>
          <w:sz w:val="24"/>
        </w:rPr>
        <w:t xml:space="preserve">     </w:t>
      </w:r>
      <w:r w:rsidRPr="000F5F08">
        <w:rPr>
          <w:rFonts w:ascii="Times New Roman" w:hAnsi="Times New Roman" w:cs="Times New Roman"/>
          <w:color w:val="17365D" w:themeColor="text2" w:themeShade="BF"/>
          <w:sz w:val="24"/>
        </w:rPr>
        <w:t>campaigns for broader reach.</w:t>
      </w:r>
      <w:r w:rsidRPr="000F5F08">
        <w:rPr>
          <w:rFonts w:ascii="Times New Roman" w:hAnsi="Times New Roman" w:cs="Times New Roman"/>
          <w:color w:val="17365D" w:themeColor="text2" w:themeShade="BF"/>
          <w:sz w:val="24"/>
        </w:rPr>
        <w:br/>
        <w:t>2. Enhance Media Coverage: Improve storytelling and press engagement to increase the media score beyond 50+.</w:t>
      </w:r>
      <w:r w:rsidRPr="000F5F08">
        <w:rPr>
          <w:rFonts w:ascii="Times New Roman" w:hAnsi="Times New Roman" w:cs="Times New Roman"/>
          <w:color w:val="17365D" w:themeColor="text2" w:themeShade="BF"/>
          <w:sz w:val="24"/>
        </w:rPr>
        <w:br/>
        <w:t>3. Focus on Top-Performing Categories: Allocate more resources to startup and climate-related initiatives.</w:t>
      </w:r>
      <w:r w:rsidRPr="000F5F08">
        <w:rPr>
          <w:rFonts w:ascii="Times New Roman" w:hAnsi="Times New Roman" w:cs="Times New Roman"/>
          <w:color w:val="17365D" w:themeColor="text2" w:themeShade="BF"/>
          <w:sz w:val="24"/>
        </w:rPr>
        <w:br/>
        <w:t>4. Diversify Regional Focus: Strengthen campaigns in underperforming regions to balance global contribution levels.</w:t>
      </w:r>
      <w:r w:rsidRPr="000F5F08">
        <w:rPr>
          <w:rFonts w:ascii="Times New Roman" w:hAnsi="Times New Roman" w:cs="Times New Roman"/>
          <w:color w:val="17365D" w:themeColor="text2" w:themeShade="BF"/>
          <w:sz w:val="24"/>
        </w:rPr>
        <w:br/>
        <w:t>5. Monitor Currency Impact: Regularly analyze currency trends to optimize global donation collection timing.</w:t>
      </w:r>
      <w:r w:rsidRPr="000F5F08">
        <w:rPr>
          <w:rFonts w:ascii="Times New Roman" w:hAnsi="Times New Roman" w:cs="Times New Roman"/>
          <w:color w:val="17365D" w:themeColor="text2" w:themeShade="BF"/>
          <w:sz w:val="24"/>
        </w:rPr>
        <w:br/>
        <w:t>6. Integrate Predictive Analytics: Use forecasting models to predict donor behavior and improve campaign targeting.</w:t>
      </w:r>
    </w:p>
    <w:sectPr w:rsidR="00DA2549" w:rsidRPr="000F5F08" w:rsidSect="000F5F08">
      <w:footerReference w:type="default" r:id="rId9"/>
      <w:pgSz w:w="12240" w:h="15840"/>
      <w:pgMar w:top="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36F" w:rsidRDefault="0053536F" w:rsidP="000F5F08">
      <w:pPr>
        <w:spacing w:after="0" w:line="240" w:lineRule="auto"/>
      </w:pPr>
      <w:r>
        <w:separator/>
      </w:r>
    </w:p>
  </w:endnote>
  <w:endnote w:type="continuationSeparator" w:id="1">
    <w:p w:rsidR="0053536F" w:rsidRDefault="0053536F" w:rsidP="000F5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4524"/>
      <w:docPartObj>
        <w:docPartGallery w:val="Page Numbers (Bottom of Page)"/>
        <w:docPartUnique/>
      </w:docPartObj>
    </w:sdtPr>
    <w:sdtContent>
      <w:p w:rsidR="000F5F08" w:rsidRDefault="000F5F08">
        <w:pPr>
          <w:pStyle w:val="Footer"/>
          <w:jc w:val="center"/>
        </w:pPr>
        <w:fldSimple w:instr=" PAGE   \* MERGEFORMAT ">
          <w:r>
            <w:rPr>
              <w:noProof/>
            </w:rPr>
            <w:t>1</w:t>
          </w:r>
        </w:fldSimple>
      </w:p>
    </w:sdtContent>
  </w:sdt>
  <w:p w:rsidR="000F5F08" w:rsidRDefault="000F5F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36F" w:rsidRDefault="0053536F" w:rsidP="000F5F08">
      <w:pPr>
        <w:spacing w:after="0" w:line="240" w:lineRule="auto"/>
      </w:pPr>
      <w:r>
        <w:separator/>
      </w:r>
    </w:p>
  </w:footnote>
  <w:footnote w:type="continuationSeparator" w:id="1">
    <w:p w:rsidR="0053536F" w:rsidRDefault="0053536F" w:rsidP="000F5F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789360F3"/>
    <w:multiLevelType w:val="hybridMultilevel"/>
    <w:tmpl w:val="B4E40F12"/>
    <w:lvl w:ilvl="0" w:tplc="FFF603A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47730"/>
    <w:rsid w:val="00034616"/>
    <w:rsid w:val="0006063C"/>
    <w:rsid w:val="000F5F08"/>
    <w:rsid w:val="0015074B"/>
    <w:rsid w:val="0029639D"/>
    <w:rsid w:val="00326F90"/>
    <w:rsid w:val="0053536F"/>
    <w:rsid w:val="005B6C60"/>
    <w:rsid w:val="006E5622"/>
    <w:rsid w:val="00AA1D8D"/>
    <w:rsid w:val="00B47730"/>
    <w:rsid w:val="00CB0664"/>
    <w:rsid w:val="00DA2549"/>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5B6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C6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5FD9B-9BA0-4766-BFF3-C3A937C0E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2025-10-17T17:22:00Z</dcterms:modified>
  <cp:category/>
</cp:coreProperties>
</file>