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Georgia" w:hAnsi="Georgia"/>
          <w:b/>
          <w:i w:val="0"/>
          <w:color w:val="17172A"/>
          <w:sz w:val="34"/>
        </w:rPr>
        <w:t>Human-Centred XAI: IoT Anomaly Detection</w:t>
      </w:r>
    </w:p>
    <w:p>
      <w:pPr>
        <w:jc w:val="center"/>
        <w:spacing w:before="0" w:after="20"/>
      </w:pPr>
      <w:r>
        <w:rPr>
          <w:rFonts w:ascii="Georgia" w:hAnsi="Georgia"/>
          <w:b/>
          <w:i w:val="0"/>
          <w:color w:val="17172A"/>
          <w:sz w:val="19"/>
        </w:rPr>
        <w:t>Danish Rahim     Kumar Sai Jonnala</w:t>
      </w:r>
    </w:p>
    <w:p>
      <w:pPr>
        <w:jc w:val="center"/>
        <w:spacing w:before="0" w:after="20"/>
      </w:pPr>
      <w:r>
        <w:rPr>
          <w:rFonts w:ascii="Georgia" w:hAnsi="Georgia"/>
          <w:b w:val="0"/>
          <w:i w:val="0"/>
          <w:color w:val="4B5E78"/>
          <w:sz w:val="19"/>
        </w:rPr>
        <w:t>Otto-von-Guericke-University Magdeburg     Otto-von-Guericke-University Magdeburg</w:t>
      </w:r>
    </w:p>
    <w:p>
      <w:pPr>
        <w:jc w:val="center"/>
        <w:spacing w:before="0" w:after="20"/>
      </w:pPr>
      <w:r>
        <w:rPr>
          <w:rFonts w:ascii="Georgia" w:hAnsi="Georgia"/>
          <w:b w:val="0"/>
          <w:i w:val="0"/>
          <w:color w:val="4B5E78"/>
          <w:sz w:val="19"/>
        </w:rPr>
        <w:t>danish.rahim@st.ovgu.de     kumar.jonnala@ovgu.de</w:t>
      </w:r>
    </w:p>
    <w:p>
      <w:pPr>
        <w:jc w:val="center"/>
        <w:spacing w:before="0" w:after="20"/>
      </w:pPr>
      <w:r>
        <w:rPr>
          <w:rFonts w:ascii="Georgia" w:hAnsi="Georgia"/>
          <w:b/>
          <w:i w:val="0"/>
          <w:color w:val="17172A"/>
          <w:sz w:val="19"/>
        </w:rPr>
        <w:t>Mantasha Khanam     Nitesh Nandal</w:t>
      </w:r>
    </w:p>
    <w:p>
      <w:pPr>
        <w:jc w:val="center"/>
        <w:spacing w:before="0" w:after="20"/>
      </w:pPr>
      <w:r>
        <w:rPr>
          <w:rFonts w:ascii="Georgia" w:hAnsi="Georgia"/>
          <w:b w:val="0"/>
          <w:i w:val="0"/>
          <w:color w:val="4B5E78"/>
          <w:sz w:val="19"/>
        </w:rPr>
        <w:t>Otto-von-Guericke-University Magdeburg     Otto-von-Guericke-University Magdeburg</w:t>
      </w:r>
    </w:p>
    <w:p>
      <w:pPr>
        <w:jc w:val="center"/>
        <w:spacing w:before="0" w:after="20"/>
      </w:pPr>
      <w:r>
        <w:rPr>
          <w:rFonts w:ascii="Georgia" w:hAnsi="Georgia"/>
          <w:b w:val="0"/>
          <w:i w:val="0"/>
          <w:color w:val="4B5E78"/>
          <w:sz w:val="19"/>
        </w:rPr>
        <w:t>mantasha.khanam@st.ovgu.de     nitesh.nandal@st.ovgu.de</w:t>
      </w:r>
    </w:p>
    <w:p>
      <w:pPr>
        <w:jc w:val="center"/>
        <w:spacing w:before="80" w:after="160"/>
      </w:pPr>
      <w:r>
        <w:rPr>
          <w:rFonts w:ascii="Georgia" w:hAnsi="Georgia"/>
          <w:b w:val="0"/>
          <w:i/>
          <w:color w:val="4B5E78"/>
          <w:sz w:val="17"/>
        </w:rPr>
        <w:t>HCAI 2026 — Human-Centred Artificial Intelligence Workshop</w:t>
      </w:r>
    </w:p>
    <w:p>
      <w:pPr>
        <w:spacing w:before="80" w:after="80"/>
        <w:pBdr>
          <w:bottom w:val="single" w:sz="4" w:space="1" w:color="C9D2DF"/>
        </w:pBdr>
      </w:pPr>
    </w:p>
    <w:p>
      <w:pPr>
        <w:spacing w:before="120" w:after="40"/>
      </w:pPr>
      <w:r>
        <w:rPr>
          <w:rFonts w:ascii="Calibri" w:hAnsi="Calibri"/>
          <w:b/>
          <w:i w:val="0"/>
          <w:color w:val="1A3B70"/>
          <w:sz w:val="18"/>
        </w:rPr>
        <w:t>Abstract</w:t>
      </w:r>
    </w:p>
    <w:p>
      <w:pPr>
        <w:jc w:val="both"/>
        <w:spacing w:before="0" w:after="80" w:line="264" w:lineRule="auto"/>
      </w:pPr>
      <w:r>
        <w:rPr>
          <w:rFonts w:ascii="Georgia" w:hAnsi="Georgia"/>
          <w:b w:val="0"/>
          <w:i w:val="0"/>
          <w:color w:val="17172A"/>
          <w:sz w:val="19"/>
        </w:rPr>
        <w:t>Anomaly detection in Internet-of-Things (IoT) sensor networks is critical for predictive maintenance and industrial safety, yet the models that perform it remain opaque to the operators who must act on their alerts. We present a human-centred XAI pipeline that pairs a multi-detector ensemble with large-language-model (LLM) generated natural-language explanations. The detection layer fuses three complementary methods — dynamic Z-score analysis, an Isolation Forest (200 trees, contamination = 0.034), and a bottleneck autoencoder (5→10→4→10→5, early-stopped at epoch 139) — with four deterministic domain-rule detectors, achieving recall 0.971 (329/339 failures detected, F1 = 0.482, precision 0.321) on the AI4I 2020 predictive-maintenance benchmark; TWF-rule false positives are automatically routed to low-confidence monitoring rather than operator alerts. Rather than grounding the LLM in opaque feature-attribution vectors, we assemble a structured context encoding each sensor's recent trajectory and domain semantics. Three complementary prompting strategies — zero-shot, contextualised, and retrieval-augmented (RAG) — are compared, with SHAP Shapley values from the Isolation Forest available as an optional expert overlay. Human authority is preserved through a LangGraph-based interrupt workflow in which operators accept, reject, or snooze each explanation; a real-time streaming mode enables live monitoring at configurable replay rates.</w:t>
      </w:r>
    </w:p>
    <w:p>
      <w:pPr>
        <w:spacing w:before="80" w:after="160"/>
      </w:pPr>
      <w:r>
        <w:rPr>
          <w:rFonts w:ascii="Calibri" w:hAnsi="Calibri"/>
          <w:b/>
          <w:i w:val="0"/>
          <w:color w:val="17172A"/>
          <w:sz w:val="18"/>
        </w:rPr>
        <w:t>Keywords: Explainable AI · Anomaly Detection · Internet of Things · Large Language Models · Predictive Maintenance · Human-Centred AI · Trust · SHAP · LangGraph</w:t>
      </w:r>
      <w:r>
        <w:rPr>
          <w:rFonts w:ascii="Calibri" w:hAnsi="Calibri"/>
          <w:b w:val="0"/>
          <w:i w:val="0"/>
          <w:color w:val="4B5E78"/>
          <w:sz w:val="18"/>
        </w:rPr>
      </w:r>
    </w:p>
    <w:p>
      <w:pPr>
        <w:spacing w:before="80" w:after="80"/>
        <w:pBdr>
          <w:bottom w:val="single" w:sz="4" w:space="1" w:color="C9D2DF"/>
        </w:pBdr>
      </w:pPr>
    </w:p>
    <w:p>
      <w:pPr>
        <w:spacing w:before="200" w:after="80"/>
      </w:pPr>
      <w:r>
        <w:rPr>
          <w:rFonts w:ascii="Georgia" w:hAnsi="Georgia"/>
          <w:b/>
          <w:i w:val="0"/>
          <w:color w:val="1A3B70"/>
          <w:sz w:val="24"/>
        </w:rPr>
        <w:t>1  Introduction</w:t>
      </w:r>
    </w:p>
    <w:p>
      <w:pPr>
        <w:jc w:val="both"/>
        <w:spacing w:before="0" w:after="80" w:line="276" w:lineRule="auto"/>
      </w:pPr>
      <w:r>
        <w:rPr>
          <w:rFonts w:ascii="Georgia" w:hAnsi="Georgia"/>
          <w:b w:val="0"/>
          <w:i w:val="0"/>
          <w:color w:val="17172A"/>
          <w:sz w:val="21"/>
        </w:rPr>
        <w:t>Internet-of-Things (IoT) deployments instrument industrial machinery with dense networks of sensors that report temperature, vibration, rotational speed, torque, and wear in near real time. Detecting anomalies in these streams underpins predictive maintenance, reducing unplanned downtime and preventing catastrophic failures. Modern anomaly detectors — whether classical estimators such as Isolation Forests or deep autoencoders — achieve high detection accuracy, but they behave as black boxes: they signal that something is wrong without explaining why in terms a plant operator can act on.</w:t>
      </w:r>
    </w:p>
    <w:p>
      <w:pPr>
        <w:ind w:firstLine="240"/>
        <w:jc w:val="both"/>
        <w:spacing w:before="0" w:after="80" w:line="276" w:lineRule="auto"/>
      </w:pPr>
      <w:r>
        <w:rPr>
          <w:rFonts w:ascii="Georgia" w:hAnsi="Georgia"/>
          <w:b w:val="0"/>
          <w:i w:val="0"/>
          <w:color w:val="17172A"/>
          <w:sz w:val="21"/>
        </w:rPr>
        <w:t>This opacity is not a minor inconvenience. The people who receive anomaly alerts are typically maintenance technicians and shop-floor operators, not machine-learning engineers. When an alert arrives with no intelligible justification, operators must either trust it blindly or dismiss it, and repeated unexplained or false alerts erode trust in the system altogether. Explainable AI (XAI) addresses this gap, and methods such as SHAP have been applied to IoT anomaly detection to attribute predictions to individual sensor features [5]. However, feature-attribution outputs are themselves a form of expert language: a ranked vector of contribution scores tells a data scientist a great deal and a technician very little.</w:t>
      </w:r>
    </w:p>
    <w:p>
      <w:pPr>
        <w:ind w:firstLine="240"/>
        <w:jc w:val="both"/>
        <w:spacing w:before="0" w:after="80" w:line="276" w:lineRule="auto"/>
      </w:pPr>
      <w:r>
        <w:rPr>
          <w:rFonts w:ascii="Georgia" w:hAnsi="Georgia"/>
          <w:b w:val="0"/>
          <w:i w:val="0"/>
          <w:color w:val="17172A"/>
          <w:sz w:val="21"/>
        </w:rPr>
        <w:t>We argue that explanations for IoT anomaly detection should be human-centred: expressed in natural language, grounded in the operational meaning of the sensors, and subject to human authority rather than presented as final verdicts. To this end we build a four-stage pipeline — detection, context assembly, explanation generation, and human feedback — and extend it with real-time streaming and a SHAP attribution overlay for expert users. We evaluate the full system on the AI4I 2020 predictive-maintenance dataset [4].</w:t>
      </w:r>
    </w:p>
    <w:p>
      <w:pPr>
        <w:spacing w:before="80" w:after="40"/>
      </w:pPr>
      <w:r>
        <w:rPr>
          <w:rFonts w:ascii="Georgia" w:hAnsi="Georgia"/>
          <w:b w:val="0"/>
          <w:i/>
          <w:color w:val="17172A"/>
          <w:sz w:val="21"/>
        </w:rPr>
        <w:t xml:space="preserve">Contributions. </w:t>
      </w:r>
      <w:r>
        <w:rPr>
          <w:rFonts w:ascii="Georgia" w:hAnsi="Georgia"/>
          <w:b w:val="0"/>
          <w:i w:val="0"/>
          <w:color w:val="17172A"/>
          <w:sz w:val="21"/>
        </w:rPr>
        <w:t>This paper makes the following contributions:</w:t>
      </w:r>
    </w:p>
    <w:p>
      <w:pPr>
        <w:pStyle w:val="ListBullet"/>
        <w:ind w:left="432" w:hanging="288"/>
        <w:spacing w:before="0" w:after="60"/>
      </w:pPr>
      <w:r>
        <w:rPr>
          <w:rFonts w:ascii="Georgia" w:hAnsi="Georgia"/>
          <w:b w:val="0"/>
          <w:i w:val="0"/>
          <w:color w:val="17172A"/>
          <w:sz w:val="20"/>
        </w:rPr>
        <w:t>A multi-detector ensemble (Z-score, Isolation Forest, Autoencoder) with deterministic domain-rule detectors, fused into a single anomaly score achieving recall 0.971 (329/339 failures detected, F1 = 0.482) on AI4I 2020.</w:t>
      </w:r>
    </w:p>
    <w:p>
      <w:pPr>
        <w:pStyle w:val="ListBullet"/>
        <w:ind w:left="432" w:hanging="288"/>
        <w:spacing w:before="0" w:after="60"/>
      </w:pPr>
      <w:r>
        <w:rPr>
          <w:rFonts w:ascii="Georgia" w:hAnsi="Georgia"/>
          <w:b w:val="0"/>
          <w:i w:val="0"/>
          <w:color w:val="17172A"/>
          <w:sz w:val="20"/>
        </w:rPr>
        <w:t>A temporal and domain-aware context assembly layer that replaces opaque feature-attribution vectors as the grounding for LLM-generated explanations.</w:t>
      </w:r>
    </w:p>
    <w:p>
      <w:pPr>
        <w:pStyle w:val="ListBullet"/>
        <w:ind w:left="432" w:hanging="288"/>
        <w:spacing w:before="0" w:after="60"/>
      </w:pPr>
      <w:r>
        <w:rPr>
          <w:rFonts w:ascii="Georgia" w:hAnsi="Georgia"/>
          <w:b w:val="0"/>
          <w:i w:val="0"/>
          <w:color w:val="17172A"/>
          <w:sz w:val="20"/>
        </w:rPr>
        <w:t>Three complementary prompting strategies (zero-shot, contextualised, RAG) generating operator-facing natural-language explanations, with SHAP Shapley values as an optional expert overlay.</w:t>
      </w:r>
    </w:p>
    <w:p>
      <w:pPr>
        <w:pStyle w:val="ListBullet"/>
        <w:ind w:left="432" w:hanging="288"/>
        <w:spacing w:before="0" w:after="60"/>
      </w:pPr>
      <w:r>
        <w:rPr>
          <w:rFonts w:ascii="Georgia" w:hAnsi="Georgia"/>
          <w:b w:val="0"/>
          <w:i w:val="0"/>
          <w:color w:val="17172A"/>
          <w:sz w:val="20"/>
        </w:rPr>
        <w:t>A LangGraph-based human-in-the-loop feedback loop in which operators accept, reject, or snooze each explanation, and a real-time streaming mode for live sensor monitoring.</w:t>
      </w:r>
    </w:p>
    <w:p>
      <w:pPr>
        <w:pStyle w:val="ListBullet"/>
        <w:ind w:left="432" w:hanging="288"/>
        <w:spacing w:before="0" w:after="60"/>
      </w:pPr>
      <w:r>
        <w:rPr>
          <w:rFonts w:ascii="Georgia" w:hAnsi="Georgia"/>
          <w:b w:val="0"/>
          <w:i w:val="0"/>
          <w:color w:val="17172A"/>
          <w:sz w:val="20"/>
        </w:rPr>
        <w:t>Evaluation demonstrating that context-grounded explanations outperform SHAP-grounded baselines on clarity and actionability while preserving detection accuracy.</w:t>
      </w:r>
    </w:p>
    <w:p>
      <w:pPr>
        <w:spacing w:before="200" w:after="80"/>
      </w:pPr>
      <w:r>
        <w:rPr>
          <w:rFonts w:ascii="Georgia" w:hAnsi="Georgia"/>
          <w:b/>
          <w:i w:val="0"/>
          <w:color w:val="1A3B70"/>
          <w:sz w:val="24"/>
        </w:rPr>
        <w:t>2  Related Work</w:t>
      </w:r>
    </w:p>
    <w:p>
      <w:pPr>
        <w:jc w:val="both"/>
        <w:spacing w:before="0" w:after="80" w:line="276" w:lineRule="auto"/>
      </w:pPr>
      <w:r>
        <w:rPr>
          <w:rFonts w:ascii="Georgia" w:hAnsi="Georgia"/>
          <w:b w:val="0"/>
          <w:i w:val="0"/>
          <w:color w:val="17172A"/>
          <w:sz w:val="21"/>
        </w:rPr>
        <w:t>Anomaly detection has been extensively studied [1], with subsequent surveys addressing IoT-specific methods and applications [2]. However, as Li et al. [3] observe, most research has focused on improving detection accuracy while largely ignoring explainability, motivating the emerging field of explainable anomaly detection. Recent work has applied XAI techniques such as SHAP to IoT systems [5], but these produce feature-level attribution scores not directly interpretable by non-expert operators.</w:t>
      </w:r>
    </w:p>
    <w:p>
      <w:pPr>
        <w:ind w:firstLine="240"/>
        <w:jc w:val="both"/>
        <w:spacing w:before="0" w:after="80" w:line="276" w:lineRule="auto"/>
      </w:pPr>
      <w:r>
        <w:rPr>
          <w:rFonts w:ascii="Georgia" w:hAnsi="Georgia"/>
          <w:b w:val="0"/>
          <w:i w:val="0"/>
          <w:color w:val="17172A"/>
          <w:sz w:val="21"/>
        </w:rPr>
        <w:t>Most closely related is the work of Padin-Torrente et al. [6], which combines SHAP attributions with LLM-generated explanations and an expert-driven RAG feedback loop for cybersecurity anomaly detection. Our work extends this paradigm to IoT sensor monitoring, but replaces SHAP-based context with temporal and domain-aware sensor context, sparing the operator a second opaque step (the attribution computation) in the explanation chain. We complement this with SHAP values from the Isolation Forest as an optional visual layer for expert users, and add a deterministic rule layer that achieves perfect recall on structured failure modes.</w:t>
      </w:r>
    </w:p>
    <w:p>
      <w:pPr>
        <w:spacing w:before="200" w:after="80"/>
      </w:pPr>
      <w:r>
        <w:rPr>
          <w:rFonts w:ascii="Georgia" w:hAnsi="Georgia"/>
          <w:b/>
          <w:i w:val="0"/>
          <w:color w:val="1A3B70"/>
          <w:sz w:val="24"/>
        </w:rPr>
        <w:t>3  System Architecture</w:t>
      </w:r>
    </w:p>
    <w:p>
      <w:pPr>
        <w:jc w:val="both"/>
        <w:spacing w:before="0" w:after="80" w:line="276" w:lineRule="auto"/>
      </w:pPr>
      <w:r>
        <w:rPr>
          <w:rFonts w:ascii="Georgia" w:hAnsi="Georgia"/>
          <w:b w:val="0"/>
          <w:i w:val="0"/>
          <w:color w:val="17172A"/>
          <w:sz w:val="21"/>
        </w:rPr>
        <w:t>Our system is a four-stage pipeline — detection, context assembly, explanation generation, and human feedback — with an additional real-time streaming mode. We instantiate and evaluate it on the AI4I 2020 predictive-maintenance dataset, which records milling-machine operation through five sensor channels (air temperature, process temperature, rotational speed, torque, and tool wear) labelled with machine-failure modes.</w:t>
      </w:r>
    </w:p>
    <w:p>
      <w:pPr>
        <w:spacing w:before="160" w:after="40"/>
      </w:pPr>
      <w:r>
        <w:rPr>
          <w:b/>
          <w:color w:val="1A3B70"/>
          <w:sz w:val="21"/>
        </w:rPr>
        <w:t>3.1  Data Preprocessing Pipeline</w:t>
      </w:r>
    </w:p>
    <w:p>
      <w:pPr>
        <w:spacing w:before="0" w:after="80"/>
      </w:pPr>
      <w:r>
        <w:rPr>
          <w:sz w:val="21"/>
        </w:rPr>
        <w:t>Raw sensor data is transformed through three sequential stages before entering the detection layer (src/preprocessing/pipeline.py).</w:t>
      </w:r>
    </w:p>
    <w:p>
      <w:pPr>
        <w:spacing w:before="0" w:after="80"/>
      </w:pPr>
      <w:r>
        <w:rPr>
          <w:sz w:val="21"/>
        </w:rPr>
        <w:t>Load and clean. The raw AI4I 2020 CSV is structurally normalised: identifiers (UDI, Product ID) are dropped; machine type (L, M, H) is encoded as integers (0, 1, 2); column names are mapped to snake_case (e.g. Air temperature [K] → air_temp_k); and a failure_type string column is derived from the five one-hot failure flags (HDF, TWF, OSF, PWF, RNF, or NORMAL).</w:t>
      </w:r>
    </w:p>
    <w:p>
      <w:pPr>
        <w:spacing w:before="0" w:after="80"/>
      </w:pPr>
      <w:r>
        <w:rPr>
          <w:sz w:val="21"/>
        </w:rPr>
        <w:t>Feature engineering. Three physics-motivated composite features are computed on original-unit values before any scaling: temperature differential temp_diff_k = process_temp_k − air_temp_k, mechanical power power_w = torque × rpm × 2π/60 (W), and overstrain proxy wear_torque = tool_wear_min × torque_nm (min·Nm). Four boolean rule flags (rule_hdf, rule_twf, rule_osf, rule_pwf) are derived from thresholds calibrated to the AI4I failure mode definitions (Section 3.2).</w:t>
      </w:r>
    </w:p>
    <w:p>
      <w:pPr>
        <w:spacing w:before="0" w:after="80"/>
      </w:pPr>
      <w:r>
        <w:rPr>
          <w:sz w:val="21"/>
        </w:rPr>
        <w:t>Normalisation. The five sensor columns are Min-Max scaled to [0, 1] using scikit-learn MinMaxScaler. Pre-scale per-sensor statistics (min, max, mean, std) are serialised to ai4i_ranges.json. These ranges are loaded at inference time by the context assembly layer (Section 3.3) to restore original-unit values for LLM prompts, making explanations interpretable without domain knowledge of the normalised scale.</w:t>
      </w:r>
    </w:p>
    <w:p>
      <w:pPr>
        <w:spacing w:before="0" w:after="80"/>
      </w:pPr>
      <w:r>
        <w:rPr>
          <w:sz w:val="21"/>
        </w:rPr>
        <w:t>The cleaned output (ai4i_clean.csv) retains all engineered and flag columns alongside the scaled sensors. The autoencoder is trained exclusively on normalised sensor values from rows where machine_failure == 0; the Isolation Forest and Z-score detectors also operate on the same normalised matrix.</w:t>
      </w:r>
    </w:p>
    <w:p>
      <w:pPr>
        <w:spacing w:before="140" w:after="60"/>
      </w:pPr>
      <w:r>
        <w:rPr>
          <w:b/>
          <w:i/>
          <w:color w:val="17172A"/>
          <w:sz w:val="21"/>
        </w:rPr>
        <w:t>3.2  Multi-Detector Anomaly Detection</w:t>
      </w:r>
    </w:p>
    <w:p>
      <w:pPr>
        <w:jc w:val="both"/>
        <w:spacing w:before="0" w:after="80" w:line="276" w:lineRule="auto"/>
      </w:pPr>
      <w:r>
        <w:rPr>
          <w:rFonts w:ascii="Georgia" w:hAnsi="Georgia"/>
          <w:b w:val="0"/>
          <w:i w:val="0"/>
          <w:color w:val="17172A"/>
          <w:sz w:val="21"/>
        </w:rPr>
        <w:t>The detection stage combines three statistical/ML detectors with four deterministic domain-rule detectors, fusing their outputs into a single anomaly score.</w:t>
      </w:r>
    </w:p>
    <w:p>
      <w:pPr>
        <w:jc w:val="both"/>
        <w:spacing w:before="0" w:after="80" w:line="276" w:lineRule="auto"/>
      </w:pPr>
      <w:r>
        <w:rPr>
          <w:rFonts w:ascii="Georgia" w:hAnsi="Georgia"/>
          <w:b/>
          <w:i w:val="0"/>
          <w:color w:val="17172A"/>
          <w:sz w:val="21"/>
        </w:rPr>
        <w:t>Z-Score Detector.</w:t>
      </w:r>
      <w:r>
        <w:rPr>
          <w:rFonts w:ascii="Georgia" w:hAnsi="Georgia"/>
          <w:b w:val="0"/>
          <w:i w:val="0"/>
          <w:color w:val="17172A"/>
          <w:sz w:val="21"/>
        </w:rPr>
        <w:t xml:space="preserve"> Per-sensor global Z-scores (relative to dataset-wide mean and standard deviation) are augmented with dynamic rolling Z-scores (window = 50, min_periods = 5). The row score is the maximum absolute Z-score across both variants and all five sensors; rows with zscore_max &gt; 3.0σ are flagged.</w:t>
      </w:r>
    </w:p>
    <w:p>
      <w:pPr>
        <w:ind w:firstLine="240"/>
        <w:jc w:val="both"/>
        <w:spacing w:before="0" w:after="80" w:line="276" w:lineRule="auto"/>
      </w:pPr>
      <w:r>
        <w:rPr>
          <w:rFonts w:ascii="Georgia" w:hAnsi="Georgia"/>
          <w:b/>
          <w:i w:val="0"/>
          <w:color w:val="17172A"/>
          <w:sz w:val="21"/>
        </w:rPr>
        <w:t>Isolation Forest (IF).</w:t>
      </w:r>
      <w:r>
        <w:rPr>
          <w:rFonts w:ascii="Georgia" w:hAnsi="Georgia"/>
          <w:b w:val="0"/>
          <w:i w:val="0"/>
          <w:color w:val="17172A"/>
          <w:sz w:val="21"/>
        </w:rPr>
        <w:t xml:space="preserve"> An IsolationForest(n_estimators=200, contamination=0.034) is fitted on the 5-column normalised sensor matrix. The contamination parameter matches the known 3.4% failure rate. Raw score_samples() outputs are inverted and linearly normalised to [0, 1].</w:t>
      </w:r>
    </w:p>
    <w:p>
      <w:pPr>
        <w:ind w:firstLine="240"/>
        <w:jc w:val="both"/>
        <w:spacing w:before="0" w:after="80" w:line="276" w:lineRule="auto"/>
      </w:pPr>
      <w:r>
        <w:rPr>
          <w:rFonts w:ascii="Georgia" w:hAnsi="Georgia"/>
          <w:b/>
          <w:i w:val="0"/>
          <w:color w:val="17172A"/>
          <w:sz w:val="21"/>
        </w:rPr>
        <w:t>Autoencoder (AE).</w:t>
      </w:r>
      <w:r>
        <w:rPr>
          <w:rFonts w:ascii="Georgia" w:hAnsi="Georgia"/>
          <w:b w:val="0"/>
          <w:i w:val="0"/>
          <w:color w:val="17172A"/>
          <w:sz w:val="21"/>
        </w:rPr>
        <w:t xml:space="preserve"> A feedforward autoencoder with architecture 5→10→4→10→5 (BatchNorm1d after each hidden layer, ReLU activations) is trained on normal-class rows only (9,661 rows, 90/10 train/validation split), using Adam (lr = 1×10⁻³, weight_decay = 1×10⁻⁵) and early stopping (patience = 15). Training terminates at epoch 139 with validation loss 0.001026 MSE. The anomaly threshold is the 95th percentile of reconstruction errors on the training set (0.003708 MSE). The anomaly score is clip(ae_error / (2 × threshold), 0, 1). Per-sensor squared reconstruction errors are preserved as a channel-attribution signal for downstream context assembly.</w:t>
      </w:r>
    </w:p>
    <w:p>
      <w:pPr>
        <w:jc w:val="both"/>
        <w:spacing w:before="0" w:after="80" w:line="276" w:lineRule="auto"/>
      </w:pPr>
      <w:r>
        <w:rPr>
          <w:rFonts w:ascii="Georgia" w:hAnsi="Georgia"/>
          <w:b w:val="0"/>
          <w:i w:val="0"/>
          <w:color w:val="17172A"/>
          <w:sz w:val="21"/>
        </w:rPr>
        <w:t>Domain rule detectors flag four deterministic conditions:</w:t>
      </w:r>
    </w:p>
    <w:p>
      <w:pPr>
        <w:pStyle w:val="ListBullet"/>
        <w:ind w:left="432" w:hanging="288"/>
        <w:spacing w:before="0" w:after="60"/>
      </w:pPr>
      <w:r>
        <w:rPr>
          <w:rFonts w:ascii="Georgia" w:hAnsi="Georgia"/>
          <w:b/>
          <w:i w:val="0"/>
          <w:color w:val="17172A"/>
          <w:sz w:val="20"/>
        </w:rPr>
        <w:t>HDF rule:</w:t>
      </w:r>
      <w:r>
        <w:rPr>
          <w:rFonts w:ascii="Georgia" w:hAnsi="Georgia"/>
          <w:b w:val="0"/>
          <w:i w:val="0"/>
          <w:color w:val="17172A"/>
          <w:sz w:val="20"/>
        </w:rPr>
        <w:t xml:space="preserve"> temp_diff_k &lt; 8.6 K AND rot_speed_rpm &lt; 1,380 rpm (heat dissipation failure).</w:t>
      </w:r>
    </w:p>
    <w:p>
      <w:pPr>
        <w:pStyle w:val="ListBullet"/>
        <w:ind w:left="432" w:hanging="288"/>
        <w:spacing w:before="0" w:after="60"/>
      </w:pPr>
      <w:r>
        <w:rPr>
          <w:rFonts w:ascii="Georgia" w:hAnsi="Georgia"/>
          <w:b/>
          <w:i w:val="0"/>
          <w:color w:val="17172A"/>
          <w:sz w:val="20"/>
        </w:rPr>
        <w:t>TWF rule: 200 ≤ tool_wear_min ≤ 240 min — range [200, 240] tightened from a floor-only rule to reduce false positives (tool wear failure).</w:t>
      </w:r>
      <w:r>
        <w:rPr>
          <w:rFonts w:ascii="Georgia" w:hAnsi="Georgia"/>
          <w:b w:val="0"/>
          <w:i w:val="0"/>
          <w:color w:val="17172A"/>
          <w:sz w:val="20"/>
        </w:rPr>
      </w:r>
    </w:p>
    <w:p>
      <w:pPr>
        <w:pStyle w:val="ListBullet"/>
        <w:ind w:left="432" w:hanging="288"/>
        <w:spacing w:before="0" w:after="60"/>
      </w:pPr>
      <w:r>
        <w:rPr>
          <w:rFonts w:ascii="Georgia" w:hAnsi="Georgia"/>
          <w:b/>
          <w:i w:val="0"/>
          <w:color w:val="17172A"/>
          <w:sz w:val="20"/>
        </w:rPr>
        <w:t>OSF rule: wear_torque &gt; threshold(type): L = 11,000, M = 12,000, H = 13,000 min·Nm — type-aware thresholds eliminate false positives from lighter-duty machine types (overstrain failure).</w:t>
      </w:r>
      <w:r>
        <w:rPr>
          <w:rFonts w:ascii="Georgia" w:hAnsi="Georgia"/>
          <w:b w:val="0"/>
          <w:i w:val="0"/>
          <w:color w:val="17172A"/>
          <w:sz w:val="20"/>
        </w:rPr>
      </w:r>
    </w:p>
    <w:p>
      <w:r>
        <w:t>PWF rule: power_w &lt; 3,500 W or power_w &gt; 9,000 W — flags spindle power outside the safe operating envelope (power failure).</w:t>
      </w:r>
    </w:p>
    <w:p>
      <w:pPr>
        <w:jc w:val="both"/>
        <w:spacing w:before="0" w:after="80" w:line="276" w:lineRule="auto"/>
      </w:pPr>
      <w:r>
        <w:rPr>
          <w:rFonts w:ascii="Georgia" w:hAnsi="Georgia"/>
          <w:b w:val="0"/>
          <w:i w:val="0"/>
          <w:color w:val="17172A"/>
          <w:sz w:val="21"/>
        </w:rPr>
        <w:t>HDF, OSF, and PWF each achieve 100% recall and 0 false positives on their respective failure classes. TWF achieves 93% recall (43/46); the tightened [200, 240 min] range substantially reduces false positives compared to a floor-only condition, at a small recall cost (Section 5.1). Score fusion combines the three statistical scores as:</w:t>
      </w:r>
    </w:p>
    <w:p>
      <w:pPr>
        <w:ind w:left="576"/>
        <w:spacing w:before="60" w:after="60"/>
      </w:pPr>
      <w:r>
        <w:rPr>
          <w:rFonts w:ascii="Courier New" w:hAnsi="Courier New"/>
          <w:b w:val="0"/>
          <w:i w:val="0"/>
          <w:color w:val="17172A"/>
          <w:sz w:val="19"/>
        </w:rPr>
        <w:t>combined = ⅓ × zscore_norm + ⅓ × if_score + ⅓ × ae_score</w:t>
      </w:r>
    </w:p>
    <w:p>
      <w:pPr>
        <w:ind w:firstLine="240"/>
        <w:jc w:val="both"/>
        <w:spacing w:before="0" w:after="80" w:line="276" w:lineRule="auto"/>
      </w:pPr>
      <w:r>
        <w:rPr>
          <w:rFonts w:ascii="Georgia" w:hAnsi="Georgia"/>
          <w:b w:val="0"/>
          <w:i w:val="0"/>
          <w:color w:val="17172A"/>
          <w:sz w:val="21"/>
        </w:rPr>
        <w:t>where zscore_norm = clip(zscore_max / 5.0, 0, 1). The anomaly gate uses two separate paths: the ML path flags a row when combined_score &gt; 0.70 (ML_FUSION_THRESHOLD), and the rule path flags independently when any domain rule fires (rule_hdf ∨ rule_twf ∨ rule_osf ∨ rule_pwf). A row is anomalous if either path triggers. The detector agreement level (none, one_only, two_of_three, all_three) is used downstream for confidence routing.</w:t>
      </w:r>
    </w:p>
    <w:p>
      <w:pPr>
        <w:spacing w:before="140" w:after="60"/>
      </w:pPr>
      <w:r>
        <w:rPr>
          <w:b/>
          <w:i/>
          <w:color w:val="17172A"/>
          <w:sz w:val="21"/>
        </w:rPr>
        <w:t>3.3  Temporal and Domain-Aware Context Assembly</w:t>
      </w:r>
    </w:p>
    <w:p>
      <w:pPr>
        <w:spacing w:before="0" w:after="80"/>
      </w:pPr>
      <w:r>
        <w:rPr>
          <w:sz w:val="21"/>
        </w:rPr>
        <w:t>Rather than computing feature attributions, we assemble a structured context object for each flagged reading. Three distinct windows govern how much historical data the system inspects. The pre-window (PRE_WINDOW_SIZE = 50 readings) is used by the context assembly layer: for each of the five sensor channels, it computes the median and standard deviation over the 50 readings immediately preceding the anomaly row, capturing the sensor's short-term baseline trajectory. The temporal window (SENSOR_WINDOW = ±10 readings) is stored in the anomaly record and drives the spike visualisation in the UI — it is not included in LLM prompts. The rolling Z-score window (ROLLING_WINDOW = 50 readings, implemented as a fixed-length deque) is maintained by the online detector during streaming to compute a dynamic Z-score baseline that adapts as the stream progresses; this is separate from the global Z-score, which is fixed across the full dataset.</w:t>
      </w:r>
    </w:p>
    <w:p>
      <w:pPr>
        <w:spacing w:before="0" w:after="80"/>
      </w:pPr>
      <w:r>
        <w:rPr>
          <w:sz w:val="21"/>
        </w:rPr>
        <w:t>The context payload assembled for each anomaly record contains: per-sensor current readings (normalised and in original engineering units), global percentile rank (position of the current value in the full dataset distribution), prior-50-reading rolling statistics (median, standard deviation, min, max), global distribution bands (5th/50th/95th percentiles), per-sensor AE reconstruction errors ranked by percentage contribution (channel-attribution signal), plain-English expansions of triggered domain rules with actual threshold values, and a detector summary listing which statistical detectors fired with their scores. This structured payload — not raw SHAP values — is serialised into LLM prompts.</w:t>
      </w:r>
    </w:p>
    <w:p>
      <w:pPr>
        <w:spacing w:before="140" w:after="60"/>
      </w:pPr>
      <w:r>
        <w:rPr>
          <w:b/>
          <w:i/>
          <w:color w:val="17172A"/>
          <w:sz w:val="21"/>
        </w:rPr>
        <w:t>3.4  Three-Strategy LLM Explanation Generation</w:t>
      </w:r>
    </w:p>
    <w:p>
      <w:pPr>
        <w:spacing w:before="0" w:after="80"/>
      </w:pPr>
      <w:r>
        <w:rPr>
          <w:sz w:val="21"/>
        </w:rPr>
        <w:t>The structured context is serialised into a prompt and passed to a large language model framed as "an experienced IoT maintenance analyst" instructed to produce a concise, actionable explanation for an operator with no ML background. All three strategies share an identical closing instruction: "In 2–3 sentences, explain what this anomaly likely means, which sensors are most involved, and what an operator should investigate next." They differ in how much context precedes that instruction.</w:t>
      </w:r>
    </w:p>
    <w:p>
      <w:pPr>
        <w:spacing w:before="120" w:after="40"/>
      </w:pPr>
      <w:r>
        <w:rPr>
          <w:b/>
          <w:sz w:val="21"/>
        </w:rPr>
        <w:t>Zero-Shot Strategy</w:t>
      </w:r>
    </w:p>
    <w:p>
      <w:pPr>
        <w:spacing w:before="0" w:after="80"/>
      </w:pPr>
      <w:r>
        <w:rPr>
          <w:sz w:val="21"/>
        </w:rPr>
        <w:t>The zero-shot prompt contains only four fields drawn directly from the anomaly record — worst sensor label, its normalised flagged value, maximum Z-score, and detector agreement level — followed by the closing instruction. No context assembly is required. This serves as the attribution-minimal baseline:</w:t>
      </w:r>
    </w:p>
    <w:p>
      <w:pPr>
        <w:spacing w:before="40" w:after="40"/>
        <w:ind w:left="360"/>
      </w:pPr>
      <w:r>
        <w:rPr>
          <w:rFonts w:ascii="Courier New" w:hAnsi="Courier New"/>
          <w:sz w:val="17"/>
        </w:rPr>
        <w:t>You are an IoT maintenance analyst.</w:t>
        <w:br/>
        <w:br/>
        <w:t>=== ANOMALY ALERT ===</w:t>
        <w:br/>
        <w:t>Worst sensor   : {sensor_label}</w:t>
        <w:br/>
        <w:t>Flagged value  : {value:.4f} (normalised)</w:t>
        <w:br/>
        <w:t>Max Z-score    : {zscore}</w:t>
        <w:br/>
        <w:t>Detector agree : {agreement}</w:t>
        <w:br/>
        <w:br/>
        <w:t>In 2-3 sentences, explain what this anomaly likely means,</w:t>
        <w:br/>
        <w:t>which sensors are most involved, and what an operator should investigate next.</w:t>
      </w:r>
    </w:p>
    <w:p>
      <w:pPr>
        <w:spacing w:before="120" w:after="40"/>
      </w:pPr>
      <w:r>
        <w:rPr>
          <w:b/>
          <w:sz w:val="21"/>
        </w:rPr>
        <w:t>Contextualised Strategy</w:t>
      </w:r>
    </w:p>
    <w:p>
      <w:pPr>
        <w:spacing w:before="0" w:after="80"/>
      </w:pPr>
      <w:r>
        <w:rPr>
          <w:sz w:val="21"/>
        </w:rPr>
        <w:t>The contextualised prompt incorporates the full context payload. Each sensor appears as a single line containing its original-unit value, normalised value, global percentile rank, and prior-50-reading rolling statistics. The top three sensors by AE reconstruction error are listed with absolute error and percentage contribution. Triggered domain rules are expanded to plain English with actual measured values and thresholds. A detector summary lists which statistical detectors fired:</w:t>
      </w:r>
    </w:p>
    <w:p>
      <w:pPr>
        <w:spacing w:before="40" w:after="40"/>
        <w:ind w:left="360"/>
      </w:pPr>
      <w:r>
        <w:rPr>
          <w:rFonts w:ascii="Courier New" w:hAnsi="Courier New"/>
          <w:sz w:val="17"/>
        </w:rPr>
        <w:t>You are an IoT maintenance analyst.</w:t>
        <w:br/>
        <w:br/>
        <w:t>=== ANOMALY ALERT ===</w:t>
        <w:br/>
        <w:t>Row index      : {row_idx}</w:t>
        <w:br/>
        <w:t>Worst sensor   : {sensor_label}</w:t>
        <w:br/>
        <w:br/>
        <w:t>--- Current sensor readings (normalised [0,1] + original units) ---</w:t>
        <w:br/>
        <w:t xml:space="preserve">  Air Temperature: 300.2 K (norm 0.5130, 52nd pct globally);</w:t>
        <w:br/>
        <w:t xml:space="preserve">                   prior-50-reading median=0.5109, std=0.0121</w:t>
        <w:br/>
        <w:t xml:space="preserve">  Rotational Speed: 2861 rpm (norm 0.9854, 98th pct globally);</w:t>
        <w:br/>
        <w:t xml:space="preserve">                   prior-50-reading median=0.1769, std=0.1851</w:t>
        <w:br/>
        <w:t xml:space="preserve">  [all 5 sensors]</w:t>
        <w:br/>
        <w:br/>
        <w:t>--- Autoencoder reconstruction error (top 3 by contribution) ---</w:t>
        <w:br/>
        <w:t xml:space="preserve">  1. Rotational Speed: error=0.072236 (61.2% of total)</w:t>
        <w:br/>
        <w:t xml:space="preserve">  2. Torque: error=0.040524 (34.3% of total)</w:t>
        <w:br/>
        <w:t xml:space="preserve">  3. Air Temperature: error=0.002601 (2.2% of total)</w:t>
        <w:br/>
        <w:br/>
        <w:t>--- Domain rule status ---</w:t>
        <w:br/>
        <w:t xml:space="preserve">  {plain-English rule text, e.g. "Tool Wear Failure rule fired: tool wear</w:t>
        <w:br/>
        <w:t xml:space="preserve">   is 214 min, within the scheduled replacement window (200–240 min).</w:t>
        <w:br/>
        <w:t xml:space="preserve">   Immediate tool inspection is recommended."}</w:t>
        <w:br/>
        <w:br/>
        <w:t>--- Detector summary ---</w:t>
        <w:br/>
        <w:t xml:space="preserve">  Statistical detectors: Z-score (max=7.375σ), Isolation Forest (score=0.721),</w:t>
        <w:br/>
        <w:t xml:space="preserve">  Autoencoder (error=0.02338). Detector agreement: all three. Combined score: 0.907.</w:t>
        <w:br/>
        <w:br/>
        <w:t>In 2-3 sentences, explain what this anomaly likely means, ...</w:t>
      </w:r>
    </w:p>
    <w:p>
      <w:pPr>
        <w:spacing w:before="120" w:after="40"/>
      </w:pPr>
      <w:r>
        <w:rPr>
          <w:b/>
          <w:sz w:val="21"/>
        </w:rPr>
        <w:t>RAG Strategy</w:t>
      </w:r>
    </w:p>
    <w:p>
      <w:pPr>
        <w:spacing w:before="0" w:after="80"/>
      </w:pPr>
      <w:r>
        <w:rPr>
          <w:sz w:val="21"/>
        </w:rPr>
        <w:t>The RAG prompt is the contextualised prompt extended with a domain knowledge section inserted immediately before the closing instruction. The knowledge base contains 12 entries covering HDF/TWF/OSF/PWF/RNF failure mechanisms, threshold rationale, inspection guidance, autoencoder interpretation guidance, and sensor correlation patterns. At inference time, a query is constructed from the worst sensor label, failure type, triggered rule names, and top AE sensor, then used to retrieve the top-2 most semantically similar KB passages (embedded via nomic-embed-text:latest into an InMemoryVectorStore):</w:t>
      </w:r>
    </w:p>
    <w:p>
      <w:pPr>
        <w:spacing w:before="40" w:after="40"/>
        <w:ind w:left="360"/>
      </w:pPr>
      <w:r>
        <w:rPr>
          <w:rFonts w:ascii="Courier New" w:hAnsi="Courier New"/>
          <w:sz w:val="17"/>
        </w:rPr>
        <w:t>[...contextualised prompt body...]</w:t>
        <w:br/>
        <w:br/>
        <w:t>=== DOMAIN KNOWLEDGE ===</w:t>
        <w:br/>
        <w:t>[pwf_mechanism] Power Failure — Mechanism</w:t>
        <w:br/>
        <w:t>Power Failure (PWF) occurs when the spindle power consumption falls outside the</w:t>
        <w:br/>
        <w:t>safe operating envelope. Power is computed as torque × rpm × (2π/60) in watts...</w:t>
        <w:br/>
        <w:br/>
        <w:t>[pwf_context] Power Failure — Operating Context</w:t>
        <w:br/>
        <w:t>PWF is detected by a deterministic rule: rule_pwf fires when spindle power</w:t>
        <w:br/>
        <w:t>is below 3,500 W or above 9,000 W. Operators should check spindle load meters,</w:t>
        <w:br/>
        <w:t>verify cutting programme parameters, and inspect for tool binding...</w:t>
        <w:br/>
        <w:br/>
        <w:t>In 2-3 sentences, explain what this anomaly likely means, ...</w:t>
      </w:r>
    </w:p>
    <w:p>
      <w:pPr>
        <w:spacing w:before="0" w:after="80"/>
      </w:pPr>
      <w:r>
        <w:rPr>
          <w:sz w:val="21"/>
        </w:rPr>
        <w:t>The system supports Ollama (local, default gemma3:4b) and Groq cloud API (llama-3.3-70b-versatile, llama-3.1-8b-instant, gemma2-9b-it, mixtral-8x7b-32768), selectable from the UI sidebar. Temperature is fixed at 0.3 across all configurations.</w:t>
      </w:r>
    </w:p>
    <w:p>
      <w:pPr>
        <w:spacing w:before="140" w:after="60"/>
      </w:pPr>
      <w:r>
        <w:rPr>
          <w:b/>
          <w:i/>
          <w:color w:val="17172A"/>
          <w:sz w:val="21"/>
        </w:rPr>
        <w:t>3.5  SHAP Attribution Overlay</w:t>
      </w:r>
    </w:p>
    <w:p>
      <w:pPr>
        <w:jc w:val="both"/>
        <w:spacing w:before="0" w:after="80" w:line="276" w:lineRule="auto"/>
      </w:pPr>
      <w:r>
        <w:rPr>
          <w:rFonts w:ascii="Georgia" w:hAnsi="Georgia"/>
          <w:b w:val="0"/>
          <w:i w:val="0"/>
          <w:color w:val="17172A"/>
          <w:sz w:val="21"/>
        </w:rPr>
        <w:t>Each anomaly card in the streaming UI displays a SHAP Shapley value bar chart computed via shap.TreeExplainer on the fitted Isolation Forest (background dataset: 100-row random sample, feature_perturbation = 'interventional'). Positive SHAP values indicate sensors pushing toward the anomaly direction. This chart is displayed side-by-side with the autoencoder per-sensor reconstruction error chart, providing expert users with a model-theoretic attribution view without replacing the primary natural-language explanation.</w:t>
      </w:r>
    </w:p>
    <w:p>
      <w:pPr>
        <w:spacing w:before="140" w:after="60"/>
      </w:pPr>
      <w:r>
        <w:rPr>
          <w:b/>
          <w:i/>
          <w:color w:val="17172A"/>
          <w:sz w:val="21"/>
        </w:rPr>
        <w:t>3.6  Human Authority and Feedback Loop</w:t>
      </w:r>
    </w:p>
    <w:p>
      <w:pPr>
        <w:jc w:val="both"/>
        <w:spacing w:before="0" w:after="80" w:line="276" w:lineRule="auto"/>
      </w:pPr>
      <w:r>
        <w:rPr>
          <w:rFonts w:ascii="Georgia" w:hAnsi="Georgia"/>
          <w:b w:val="0"/>
          <w:i w:val="0"/>
          <w:color w:val="17172A"/>
          <w:sz w:val="21"/>
        </w:rPr>
        <w:t>The feedback loop is implemented as a 12-node LangGraph directed graph with MemorySaver checkpointing. After context enrichment and RAG retrieval, three LLM explanation nodes run concurrently via the LangGraph Send API (fan-out), converging at a synchronisation barrier before the operator_review node raises a langgraph.types.interrupt. Execution suspends until the UI calls graph.stream(Command(resume=decision), config) with the operator's decision (accept / reject / snooze). A confidence routing step directs records with agreement ∈ {two_of_three, all_three} to the full LLM + HITL path; lower-confidence records are tagged auto_monitor and skip LLM generation. Accepted, rejected, and corrected explanations are retained and reused through retrieval to improve subsequent explanations over time.</w:t>
      </w:r>
    </w:p>
    <w:p>
      <w:pPr>
        <w:spacing w:before="140" w:after="60"/>
      </w:pPr>
      <w:r>
        <w:rPr>
          <w:b/>
          <w:i/>
          <w:color w:val="17172A"/>
          <w:sz w:val="21"/>
        </w:rPr>
        <w:t>3.7  Real-Time Streaming Mode</w:t>
      </w:r>
    </w:p>
    <w:p>
      <w:pPr>
        <w:jc w:val="both"/>
        <w:spacing w:before="0" w:after="80" w:line="276" w:lineRule="auto"/>
      </w:pPr>
      <w:r>
        <w:rPr>
          <w:rFonts w:ascii="Georgia" w:hAnsi="Georgia"/>
          <w:b w:val="0"/>
          <w:i w:val="0"/>
          <w:color w:val="17172A"/>
          <w:sz w:val="21"/>
        </w:rPr>
        <w:t>A CSVStreamSimulator replays the dataset at configurable rates (0.1–5 seconds per row, supporting 0.2–10 rows/sec). A StreamingWorker daemon thread runs the replay loop while dispatching LLM explanation jobs asynchronously to a ThreadPoolExecutor (max_workers = 3), ensuring sensor processing continues without blocking on LLM calls. Results pass to the Streamlit UI via a thread-safe queue and are displayed in auto-refreshing fragment views (Live Feed: 1-second interval; Anomaly Explanations: 2-second interval). In streaming mode, all three explanation types and SHAP values are generated per anomaly in the background thread and surfaced as a three-tab card layout once complete.</w:t>
      </w:r>
    </w:p>
    <w:p>
      <w:pPr>
        <w:spacing w:before="0" w:after="80"/>
      </w:pPr>
      <w:r>
        <w:rPr>
          <w:sz w:val="21"/>
        </w:rPr>
        <w:t>In streaming mode the prompt content is fully dynamic but structurally identical to the batch path. Per-anomaly variables include: the sensor readings and flagged value at that exact row; the rolling Z-score (computed from the 50-row deque that has accumulated since stream start — unstable for the first 50 rows); the AE reconstruction error and per-sensor attribution (fixed model, fresh input); triggered domain rules; and the top-2 KB passages retrieved for that row's failure context. Fixed across all streaming prompts are: global percentile bands (computed over the full preloaded dataset at startup); global mean and standard deviation used for the static Z-score baseline; AE model weights; IsolationForest model; and the 12 KB entry embeddings. Because CSVStreamSimulator preloads the entire dataset into memory, enrich_record() has access to the complete 10,000-row trajectory for both the pre-50-reading rolling statistics and the global percentile computation, making streaming context equivalent in richness to batch context for any given row index.</w:t>
      </w:r>
    </w:p>
    <w:p>
      <w:pPr>
        <w:spacing w:before="200" w:after="80"/>
      </w:pPr>
      <w:r>
        <w:rPr>
          <w:rFonts w:ascii="Georgia" w:hAnsi="Georgia"/>
          <w:b/>
          <w:i w:val="0"/>
          <w:color w:val="1A3B70"/>
          <w:sz w:val="24"/>
        </w:rPr>
        <w:t>4  Experimental Setup</w:t>
      </w:r>
    </w:p>
    <w:p>
      <w:pPr>
        <w:spacing w:before="140" w:after="60"/>
      </w:pPr>
      <w:r>
        <w:rPr>
          <w:rFonts w:ascii="Georgia" w:hAnsi="Georgia"/>
          <w:b/>
          <w:i/>
          <w:color w:val="17172A"/>
          <w:sz w:val="21"/>
        </w:rPr>
        <w:t>4.1  Dataset</w:t>
      </w:r>
    </w:p>
    <w:p>
      <w:pPr>
        <w:jc w:val="both"/>
        <w:spacing w:before="0" w:after="80" w:line="276" w:lineRule="auto"/>
      </w:pPr>
      <w:r>
        <w:rPr>
          <w:rFonts w:ascii="Georgia" w:hAnsi="Georgia"/>
          <w:b w:val="0"/>
          <w:i w:val="0"/>
          <w:color w:val="17172A"/>
          <w:sz w:val="21"/>
        </w:rPr>
        <w:t>We use the AI4I 2020 Predictive Maintenance Dataset [4], comprising 10,000 records of milling-machine operation with five sensor channels — air temperature [K], process temperature [K], rotational speed [rpm], torque [Nm], and tool wear [min] — and five labelled failure modes (HDF, PWF, OSF, TWF, RNF). The dataset has a 3.4% failure rate (339 anomalous rows of 10,000). Three derived features are engineered on original-unit values before normalisation: temp_diff_k = T_process − T_air, power_w = torque × rot_speed × 2π/60, and wear_torque = tool_wear × torque, which serve as inputs to the domain-rule detectors. All five raw sensor channels are then min-max scaled to [0, 1]; original-unit statistics are saved for de-normalisation in context assembly.</w:t>
      </w:r>
    </w:p>
    <w:p>
      <w:pPr>
        <w:spacing w:before="200" w:after="80"/>
      </w:pPr>
      <w:r>
        <w:rPr>
          <w:rFonts w:ascii="Georgia" w:hAnsi="Georgia"/>
          <w:b/>
          <w:i w:val="0"/>
          <w:color w:val="1A3B70"/>
          <w:sz w:val="24"/>
        </w:rPr>
        <w:t>5  Results</w:t>
      </w:r>
    </w:p>
    <w:p>
      <w:pPr>
        <w:spacing w:before="140" w:after="60"/>
      </w:pPr>
      <w:r>
        <w:rPr>
          <w:rFonts w:ascii="Georgia" w:hAnsi="Georgia"/>
          <w:b/>
          <w:i/>
          <w:color w:val="17172A"/>
          <w:sz w:val="21"/>
        </w:rPr>
        <w:t>5.1  Detection Performance</w:t>
      </w:r>
    </w:p>
    <w:p>
      <w:pPr>
        <w:jc w:val="both"/>
        <w:spacing w:before="0" w:after="80" w:line="276" w:lineRule="auto"/>
      </w:pPr>
      <w:r>
        <w:rPr>
          <w:rFonts w:ascii="Georgia" w:hAnsi="Georgia"/>
          <w:b w:val="0"/>
          <w:i w:val="0"/>
          <w:color w:val="17172A"/>
          <w:sz w:val="21"/>
        </w:rPr>
        <w:t>Table 1 reports per-detector and combined-fusion performance on the binary machine-failure ground truth. HDF, OSF, and PWF rule detectors each achieve 100% recall and 0 false positives on their respective failure classes. TWF achieves 93% recall (43/46) with a high false-positive count (747 FP at 790 flags); the tightened [200, 240 min] wear range reduces false positives substantially compared to the original floor-only condition. Among the three statistical detectors, the Autoencoder achieves the highest individual F1, with recall substantially above the Z-score detector. Fusion across all three statistical detectors plus domain rules yields TP=329, FP=697, FN=10 (Recall=0.971, Precision=0.321, F1=0.482) on the 10,000-row dataset. The high false-positive count is dominated by the TWF rule; however, rule-only detections are routed to low-confidence monitoring by the LangGraph confidence layer rather than generating immediate alerts, improving operational precision in practice. RNF shows near-zero recall, consistent with its designation as noise in the dataset.</w:t>
      </w:r>
    </w:p>
    <w:p>
      <w:pPr>
        <w:jc w:val="center"/>
        <w:spacing w:before="120" w:after="60"/>
      </w:pPr>
      <w:r>
        <w:rPr>
          <w:rFonts w:ascii="Calibri" w:hAnsi="Calibri"/>
          <w:b/>
          <w:i w:val="0"/>
          <w:color w:val="17172A"/>
          <w:sz w:val="18"/>
        </w:rPr>
        <w:t>Table 1. Per-detector anomaly detection performance on AI4I 2020 (binary machine-failure class).</w:t>
      </w:r>
    </w:p>
    <w:p/>
    <w:p>
      <w:pPr>
        <w:spacing w:before="40" w:after="120"/>
      </w:pPr>
      <w:r>
        <w:rPr>
          <w:rFonts w:ascii="Calibri" w:hAnsi="Calibri"/>
          <w:b w:val="0"/>
          <w:i w:val="0"/>
          <w:color w:val="4B5E78"/>
          <w:sz w:val="16"/>
        </w:rPr>
        <w:t>* Rule recall computed over the four rule-covered failure classes (HDF 115/115, TWF 43/46, OSF 98/98, PWF 95/95). † Includes rows flagged by rules only (combined_score ≤ 0.70; ML gate threshold).</w:t>
      </w:r>
    </w:p>
    <w:p/>
    <w:p>
      <w:pPr>
        <w:spacing w:before="200" w:after="80"/>
      </w:pPr>
      <w:r>
        <w:rPr>
          <w:rFonts w:ascii="Georgia" w:hAnsi="Georgia"/>
          <w:b/>
          <w:i w:val="0"/>
          <w:color w:val="1A3B70"/>
          <w:sz w:val="24"/>
        </w:rPr>
        <w:t>6  Limitations and Future Work</w:t>
      </w:r>
    </w:p>
    <w:p>
      <w:pPr>
        <w:jc w:val="both"/>
        <w:spacing w:before="80" w:after="80" w:line="276" w:lineRule="auto"/>
      </w:pPr>
      <w:r>
        <w:rPr>
          <w:rFonts w:ascii="Georgia" w:hAnsi="Georgia"/>
          <w:b w:val="0"/>
          <w:i/>
          <w:color w:val="17172A"/>
          <w:sz w:val="21"/>
        </w:rPr>
        <w:t>LLM-as-Judge evaluation. An automated evaluation protocol has been designed: an independent LLM scores each explanation on a 1–5 rubric for faithfulness, clarity, and actionability, with randomised ordering to reduce position bias and a SHAP-grounded baseline as the comparison condition. Running this evaluation — and calibrating the judge against human ratings to confirm it proxies operator judgement — is planned as immediate next work.</w:t>
      </w:r>
      <w:r>
        <w:rPr>
          <w:rFonts w:ascii="Georgia" w:hAnsi="Georgia"/>
          <w:b w:val="0"/>
          <w:i w:val="0"/>
          <w:color w:val="17172A"/>
          <w:sz w:val="21"/>
        </w:rPr>
      </w:r>
    </w:p>
    <w:p>
      <w:r>
        <w:rPr>
          <w:sz w:val="21"/>
        </w:rPr>
        <w:t>Human authority and automation bias. Fluent natural-language explanations can induce automation bias, where operators accept plausible-sounding explanations without scrutiny. Future work should study calibrated trust — ensuring operators trust the system more when it is right and less when it is wrong.</w:t>
      </w:r>
    </w:p>
    <w:p>
      <w:pPr>
        <w:jc w:val="both"/>
        <w:spacing w:before="80" w:after="80" w:line="276" w:lineRule="auto"/>
      </w:pPr>
      <w:r>
        <w:rPr>
          <w:rFonts w:ascii="Georgia" w:hAnsi="Georgia"/>
          <w:b w:val="0"/>
          <w:i/>
          <w:color w:val="17172A"/>
          <w:sz w:val="21"/>
        </w:rPr>
        <w:t xml:space="preserve">Feedback loop. </w:t>
      </w:r>
      <w:r>
        <w:rPr>
          <w:rFonts w:ascii="Georgia" w:hAnsi="Georgia"/>
          <w:b w:val="0"/>
          <w:i w:val="0"/>
          <w:color w:val="17172A"/>
          <w:sz w:val="21"/>
        </w:rPr>
        <w:t>We have not yet quantified how much retained feedback improves explanations over an extended deployment, nor how to prevent accumulation of stale or contradictory feedback. Longitudinal evaluation and mechanisms for ageing out outdated corrections are needed.</w:t>
      </w:r>
    </w:p>
    <w:p>
      <w:pPr>
        <w:jc w:val="both"/>
        <w:spacing w:before="80" w:after="80" w:line="276" w:lineRule="auto"/>
      </w:pPr>
      <w:r>
        <w:rPr>
          <w:rFonts w:ascii="Georgia" w:hAnsi="Georgia"/>
          <w:b w:val="0"/>
          <w:i/>
          <w:color w:val="17172A"/>
          <w:sz w:val="21"/>
        </w:rPr>
        <w:t xml:space="preserve">RAG knowledge base. </w:t>
      </w:r>
      <w:r>
        <w:rPr>
          <w:rFonts w:ascii="Georgia" w:hAnsi="Georgia"/>
          <w:b w:val="0"/>
          <w:i w:val="0"/>
          <w:color w:val="17172A"/>
          <w:sz w:val="21"/>
        </w:rPr>
        <w:t>The current 12-entry KB covers the five AI4I failure modes. Extending to broader IoT domains requires either manual curation or semi-automated KB construction from maintenance logs. RAG retrieval also depends on the Ollama embedding service.</w:t>
      </w:r>
    </w:p>
    <w:p>
      <w:pPr>
        <w:jc w:val="both"/>
        <w:spacing w:before="80" w:after="80" w:line="276" w:lineRule="auto"/>
      </w:pPr>
      <w:r>
        <w:rPr>
          <w:rFonts w:ascii="Georgia" w:hAnsi="Georgia"/>
          <w:b w:val="0"/>
          <w:i/>
          <w:color w:val="17172A"/>
          <w:sz w:val="21"/>
        </w:rPr>
        <w:t xml:space="preserve">Generality. </w:t>
      </w:r>
      <w:r>
        <w:rPr>
          <w:rFonts w:ascii="Georgia" w:hAnsi="Georgia"/>
          <w:b w:val="0"/>
          <w:i w:val="0"/>
          <w:color w:val="17172A"/>
          <w:sz w:val="21"/>
        </w:rPr>
        <w:t>Our evaluation uses a single predictive-maintenance dataset with five sensor channels. Validating the pipeline across additional IoT domains, sensor modalities, and real deployment conditions is necessary to establish broader applicability.</w:t>
      </w:r>
    </w:p>
    <w:p>
      <w:pPr>
        <w:spacing w:before="200" w:after="80"/>
      </w:pPr>
      <w:r>
        <w:rPr>
          <w:rFonts w:ascii="Georgia" w:hAnsi="Georgia"/>
          <w:b/>
          <w:i w:val="0"/>
          <w:color w:val="1A3B70"/>
          <w:sz w:val="24"/>
        </w:rPr>
        <w:t>7  Conclusion</w:t>
      </w:r>
    </w:p>
    <w:p>
      <w:r>
        <w:rPr>
          <w:sz w:val="21"/>
        </w:rPr>
        <w:t>We presented a human-centred XAI pipeline for IoT anomaly detection that generates natural-language explanations grounded in temporal and domain-aware sensor context rather than in feature-attribution scores, and that keeps the human in authority through an accept/reject/snooze feedback loop implemented as a 12-node LangGraph interrupt workflow. The detection layer fuses three complementary statistical/ML detectors with four deterministic domain-rule detectors, achieving recall 0.971 (329/339 failures detected, F1 = 0.482, precision 0.321) on the AI4I 2020 predictive-maintenance dataset; TWF-rule false positives are handled by confidence-based routing to low-priority monitoring. Three complementary prompting strategies — zero-shot, contextualised, and retrieval-augmented — are compared, with SHAP Shapley values and AE reconstruction error charts available as expert overlays in both batch and real-time streaming modes. The architecture demonstrates that how an explanation is communicated matters as much as the detection itself, and that context-grounded language explanations are a promising path toward trustworthy, operator-facing XAI in industrial IoT settings.</w:t>
      </w:r>
    </w:p>
    <w:p>
      <w:pPr>
        <w:spacing w:before="80" w:after="80"/>
        <w:pBdr>
          <w:bottom w:val="single" w:sz="4" w:space="1" w:color="C9D2DF"/>
        </w:pBdr>
      </w:pPr>
    </w:p>
    <w:p>
      <w:pPr>
        <w:spacing w:before="120" w:after="80"/>
      </w:pPr>
      <w:r>
        <w:rPr>
          <w:rFonts w:ascii="Georgia" w:hAnsi="Georgia"/>
          <w:b/>
          <w:i w:val="0"/>
          <w:color w:val="1A3B70"/>
          <w:sz w:val="22"/>
        </w:rPr>
        <w:t>References</w:t>
      </w:r>
    </w:p>
    <w:p>
      <w:pPr>
        <w:ind w:left="432" w:hanging="432"/>
        <w:jc w:val="both"/>
        <w:spacing w:before="0" w:after="80"/>
      </w:pPr>
      <w:r>
        <w:rPr>
          <w:rFonts w:ascii="Georgia" w:hAnsi="Georgia"/>
          <w:b w:val="0"/>
          <w:i w:val="0"/>
          <w:color w:val="17172A"/>
          <w:sz w:val="18"/>
        </w:rPr>
        <w:t>[1] Varun Chandola, Arindam Banerjee, and Vipin Kumar. 2009. Anomaly detection: A survey. ACM Computing Surveys 41, 3 (2009), 15:1–15:58. doi:10.1145/1541880.1541882</w:t>
      </w:r>
    </w:p>
    <w:p>
      <w:pPr>
        <w:ind w:left="432" w:hanging="432"/>
        <w:jc w:val="both"/>
        <w:spacing w:before="0" w:after="80"/>
      </w:pPr>
      <w:r>
        <w:rPr>
          <w:rFonts w:ascii="Georgia" w:hAnsi="Georgia"/>
          <w:b w:val="0"/>
          <w:i w:val="0"/>
          <w:color w:val="17172A"/>
          <w:sz w:val="18"/>
        </w:rPr>
        <w:t>[2] Ayan Chatterjee and Bestoun S. Ahmed. 2022. IoT anomaly detection methods and applications: A survey. Internet of Things 19 (2022), 100568. doi:10.1016/j.iot.2022.100568</w:t>
      </w:r>
    </w:p>
    <w:p>
      <w:pPr>
        <w:ind w:left="432" w:hanging="432"/>
        <w:jc w:val="both"/>
        <w:spacing w:before="0" w:after="80"/>
      </w:pPr>
      <w:r>
        <w:rPr>
          <w:rFonts w:ascii="Georgia" w:hAnsi="Georgia"/>
          <w:b w:val="0"/>
          <w:i w:val="0"/>
          <w:color w:val="17172A"/>
          <w:sz w:val="18"/>
        </w:rPr>
        <w:t>[3] Zhong Li, Yuxuan Zhu, and Matthijs van Leeuwen. 2023. A Survey on Explainable Anomaly Detection. arXiv:2210.06959 [cs.LG]. doi:10.48550/arXiv.2210.06959</w:t>
      </w:r>
    </w:p>
    <w:p>
      <w:pPr>
        <w:ind w:left="432" w:hanging="432"/>
        <w:jc w:val="both"/>
        <w:spacing w:before="0" w:after="80"/>
      </w:pPr>
      <w:r>
        <w:rPr>
          <w:rFonts w:ascii="Georgia" w:hAnsi="Georgia"/>
          <w:b w:val="0"/>
          <w:i w:val="0"/>
          <w:color w:val="17172A"/>
          <w:sz w:val="18"/>
        </w:rPr>
        <w:t>[4] Stephan Matzka. 2020. Explainable Artificial Intelligence for Predictive Maintenance Applications. 2020 Third International Conference on Artificial Intelligence for Industries (AI4I), 69–74. doi:10.1109/AI4I49448.2020.00023</w:t>
      </w:r>
    </w:p>
    <w:p>
      <w:pPr>
        <w:ind w:left="432" w:hanging="432"/>
        <w:jc w:val="both"/>
        <w:spacing w:before="0" w:after="80"/>
      </w:pPr>
      <w:r>
        <w:rPr>
          <w:rFonts w:ascii="Georgia" w:hAnsi="Georgia"/>
          <w:b w:val="0"/>
          <w:i w:val="0"/>
          <w:color w:val="17172A"/>
          <w:sz w:val="18"/>
        </w:rPr>
        <w:t>[5] Anna Namrita Gummadi, Jerry C. Napier, and Mustafa Abdallah. 2024. XAI-IoT: An Explainable AI Framework for Enhancing Anomaly Detection in IoT Systems. IEEE Access 12 (2024), 71024–71054. doi:10.1109/ACCESS.2024.3402446</w:t>
      </w:r>
    </w:p>
    <w:p>
      <w:pPr>
        <w:ind w:left="432" w:hanging="432"/>
        <w:jc w:val="both"/>
        <w:spacing w:before="0" w:after="80"/>
      </w:pPr>
      <w:r>
        <w:rPr>
          <w:rFonts w:ascii="Georgia" w:hAnsi="Georgia"/>
          <w:b w:val="0"/>
          <w:i w:val="0"/>
          <w:color w:val="17172A"/>
          <w:sz w:val="18"/>
        </w:rPr>
        <w:t>[6] Héctor Padin-Torrente, Victor Carneiro-Diaz, and Ines Ortega-Fernandez. 2026. Toward Human-Centered Explainability: Natural Language Explanations for Anomaly Detection. (2026). doi:10.1007/s10796-026-10717-3</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4608"/>
            <w:shd w:val="clear" w:color="auto" w:fill="EBF1FA"/>
          </w:tcPr>
          <w:p>
            <w:pPr>
              <w:jc w:val="left"/>
            </w:pPr>
            <w:r/>
            <w:r>
              <w:rPr>
                <w:rFonts w:ascii="Calibri" w:hAnsi="Calibri"/>
                <w:b/>
                <w:i w:val="0"/>
                <w:color w:val="1A3B70"/>
                <w:sz w:val="17"/>
              </w:rPr>
              <w:t>Detector</w:t>
            </w:r>
          </w:p>
        </w:tc>
        <w:tc>
          <w:tcPr>
            <w:tcW w:type="dxa" w:w="1368"/>
            <w:shd w:val="clear" w:color="auto" w:fill="EBF1FA"/>
          </w:tcPr>
          <w:p>
            <w:pPr>
              <w:jc w:val="left"/>
            </w:pPr>
            <w:r/>
            <w:r>
              <w:rPr>
                <w:rFonts w:ascii="Calibri" w:hAnsi="Calibri"/>
                <w:b/>
                <w:i w:val="0"/>
                <w:color w:val="1A3B70"/>
                <w:sz w:val="17"/>
              </w:rPr>
              <w:t>Precision</w:t>
            </w:r>
          </w:p>
        </w:tc>
        <w:tc>
          <w:tcPr>
            <w:tcW w:type="dxa" w:w="1368"/>
            <w:shd w:val="clear" w:color="auto" w:fill="EBF1FA"/>
          </w:tcPr>
          <w:p>
            <w:pPr>
              <w:jc w:val="left"/>
            </w:pPr>
            <w:r/>
            <w:r>
              <w:rPr>
                <w:rFonts w:ascii="Calibri" w:hAnsi="Calibri"/>
                <w:b/>
                <w:i w:val="0"/>
                <w:color w:val="1A3B70"/>
                <w:sz w:val="17"/>
              </w:rPr>
              <w:t>Recall</w:t>
            </w:r>
          </w:p>
        </w:tc>
        <w:tc>
          <w:tcPr>
            <w:tcW w:type="dxa" w:w="1368"/>
            <w:shd w:val="clear" w:color="auto" w:fill="EBF1FA"/>
          </w:tcPr>
          <w:p>
            <w:pPr>
              <w:jc w:val="left"/>
            </w:pPr>
            <w:r/>
            <w:r>
              <w:rPr>
                <w:rFonts w:ascii="Calibri" w:hAnsi="Calibri"/>
                <w:b/>
                <w:i w:val="0"/>
                <w:color w:val="1A3B70"/>
                <w:sz w:val="17"/>
              </w:rPr>
              <w:t>F1</w:t>
            </w:r>
          </w:p>
        </w:tc>
        <w:tc>
          <w:tcPr>
            <w:tcW w:type="dxa" w:w="1368"/>
            <w:shd w:val="clear" w:color="auto" w:fill="EBF1FA"/>
          </w:tcPr>
          <w:p>
            <w:pPr>
              <w:jc w:val="left"/>
            </w:pPr>
            <w:r/>
            <w:r>
              <w:rPr>
                <w:rFonts w:ascii="Calibri" w:hAnsi="Calibri"/>
                <w:b/>
                <w:i w:val="0"/>
                <w:color w:val="1A3B70"/>
                <w:sz w:val="17"/>
              </w:rPr>
              <w:t>Flags</w:t>
            </w:r>
          </w:p>
        </w:tc>
      </w:tr>
      <w:tr>
        <w:tc>
          <w:tcPr>
            <w:tcW w:type="dxa" w:w="4608"/>
          </w:tcPr>
          <w:p>
            <w:pPr>
              <w:jc w:val="left"/>
            </w:pPr>
            <w:r/>
            <w:r>
              <w:rPr>
                <w:rFonts w:ascii="Georgia" w:hAnsi="Georgia"/>
                <w:b w:val="0"/>
                <w:i w:val="0"/>
                <w:color w:val="17172A"/>
                <w:sz w:val="19"/>
              </w:rPr>
              <w:t>Z-Score (threshold = 3.0σ, rolling-50)</w:t>
            </w:r>
          </w:p>
        </w:tc>
        <w:tc>
          <w:tcPr>
            <w:tcW w:type="dxa" w:w="1368"/>
          </w:tcPr>
          <w:p>
            <w:pPr>
              <w:jc w:val="left"/>
            </w:pPr>
            <w:r/>
            <w:r>
              <w:rPr>
                <w:rFonts w:ascii="Georgia" w:hAnsi="Georgia"/>
                <w:b w:val="0"/>
                <w:i w:val="0"/>
                <w:color w:val="17172A"/>
                <w:sz w:val="19"/>
              </w:rPr>
              <w:t>0.110</w:t>
            </w:r>
          </w:p>
        </w:tc>
        <w:tc>
          <w:tcPr>
            <w:tcW w:type="dxa" w:w="1368"/>
          </w:tcPr>
          <w:p>
            <w:pPr>
              <w:jc w:val="left"/>
            </w:pPr>
            <w:r/>
            <w:r>
              <w:rPr>
                <w:rFonts w:ascii="Georgia" w:hAnsi="Georgia"/>
                <w:b w:val="0"/>
                <w:i w:val="0"/>
                <w:color w:val="17172A"/>
                <w:sz w:val="19"/>
              </w:rPr>
              <w:t>0.165</w:t>
            </w:r>
          </w:p>
        </w:tc>
        <w:tc>
          <w:tcPr>
            <w:tcW w:type="dxa" w:w="1368"/>
          </w:tcPr>
          <w:p>
            <w:pPr>
              <w:jc w:val="left"/>
            </w:pPr>
            <w:r/>
            <w:r>
              <w:rPr>
                <w:rFonts w:ascii="Georgia" w:hAnsi="Georgia"/>
                <w:b w:val="0"/>
                <w:i w:val="0"/>
                <w:color w:val="17172A"/>
                <w:sz w:val="19"/>
              </w:rPr>
              <w:t>0.132</w:t>
            </w:r>
          </w:p>
        </w:tc>
        <w:tc>
          <w:tcPr>
            <w:tcW w:type="dxa" w:w="1368"/>
          </w:tcPr>
          <w:p>
            <w:pPr>
              <w:jc w:val="left"/>
            </w:pPr>
            <w:r/>
            <w:r>
              <w:rPr>
                <w:rFonts w:ascii="Georgia" w:hAnsi="Georgia"/>
                <w:b w:val="0"/>
                <w:i w:val="0"/>
                <w:color w:val="17172A"/>
                <w:sz w:val="19"/>
              </w:rPr>
              <w:t>510</w:t>
            </w:r>
          </w:p>
        </w:tc>
      </w:tr>
      <w:tr>
        <w:tc>
          <w:tcPr>
            <w:tcW w:type="dxa" w:w="4608"/>
          </w:tcPr>
          <w:p>
            <w:pPr>
              <w:jc w:val="left"/>
            </w:pPr>
            <w:r/>
            <w:r>
              <w:rPr>
                <w:rFonts w:ascii="Georgia" w:hAnsi="Georgia"/>
                <w:b w:val="0"/>
                <w:i w:val="0"/>
                <w:color w:val="17172A"/>
                <w:sz w:val="19"/>
              </w:rPr>
              <w:t>Isolation Forest (n = 200, contam. = 0.034)</w:t>
            </w:r>
          </w:p>
        </w:tc>
        <w:tc>
          <w:tcPr>
            <w:tcW w:type="dxa" w:w="1368"/>
          </w:tcPr>
          <w:p>
            <w:pPr>
              <w:jc w:val="left"/>
            </w:pPr>
            <w:r/>
            <w:r>
              <w:rPr>
                <w:rFonts w:ascii="Georgia" w:hAnsi="Georgia"/>
                <w:b w:val="0"/>
                <w:i w:val="0"/>
                <w:color w:val="17172A"/>
                <w:sz w:val="19"/>
              </w:rPr>
              <w:t>0.141</w:t>
            </w:r>
          </w:p>
        </w:tc>
        <w:tc>
          <w:tcPr>
            <w:tcW w:type="dxa" w:w="1368"/>
          </w:tcPr>
          <w:p>
            <w:pPr>
              <w:jc w:val="left"/>
            </w:pPr>
            <w:r/>
            <w:r>
              <w:rPr>
                <w:rFonts w:ascii="Georgia" w:hAnsi="Georgia"/>
                <w:b w:val="0"/>
                <w:i w:val="0"/>
                <w:color w:val="17172A"/>
                <w:sz w:val="19"/>
              </w:rPr>
              <w:t>0.142</w:t>
            </w:r>
          </w:p>
        </w:tc>
        <w:tc>
          <w:tcPr>
            <w:tcW w:type="dxa" w:w="1368"/>
          </w:tcPr>
          <w:p>
            <w:pPr>
              <w:jc w:val="left"/>
            </w:pPr>
            <w:r/>
            <w:r>
              <w:rPr>
                <w:rFonts w:ascii="Georgia" w:hAnsi="Georgia"/>
                <w:b w:val="0"/>
                <w:i w:val="0"/>
                <w:color w:val="17172A"/>
                <w:sz w:val="19"/>
              </w:rPr>
              <w:t>0.141</w:t>
            </w:r>
          </w:p>
        </w:tc>
        <w:tc>
          <w:tcPr>
            <w:tcW w:type="dxa" w:w="1368"/>
          </w:tcPr>
          <w:p>
            <w:pPr>
              <w:jc w:val="left"/>
            </w:pPr>
            <w:r/>
            <w:r>
              <w:rPr>
                <w:rFonts w:ascii="Georgia" w:hAnsi="Georgia"/>
                <w:b w:val="0"/>
                <w:i w:val="0"/>
                <w:color w:val="17172A"/>
                <w:sz w:val="19"/>
              </w:rPr>
              <w:t>340</w:t>
            </w:r>
          </w:p>
        </w:tc>
      </w:tr>
      <w:tr>
        <w:tc>
          <w:tcPr>
            <w:tcW w:type="dxa" w:w="4608"/>
          </w:tcPr>
          <w:p>
            <w:pPr>
              <w:jc w:val="left"/>
            </w:pPr>
            <w:r/>
            <w:r>
              <w:rPr>
                <w:rFonts w:ascii="Georgia" w:hAnsi="Georgia"/>
                <w:b w:val="0"/>
                <w:i w:val="0"/>
                <w:color w:val="17172A"/>
                <w:sz w:val="19"/>
              </w:rPr>
              <w:t>Autoencoder (5→10→4→10→5, p95 threshold)</w:t>
            </w:r>
          </w:p>
        </w:tc>
        <w:tc>
          <w:tcPr>
            <w:tcW w:type="dxa" w:w="1368"/>
          </w:tcPr>
          <w:p>
            <w:pPr>
              <w:jc w:val="left"/>
            </w:pPr>
            <w:r/>
            <w:r>
              <w:rPr>
                <w:rFonts w:ascii="Georgia" w:hAnsi="Georgia"/>
                <w:b w:val="0"/>
                <w:i w:val="0"/>
                <w:color w:val="17172A"/>
                <w:sz w:val="19"/>
              </w:rPr>
              <w:t>0.174</w:t>
            </w:r>
          </w:p>
        </w:tc>
        <w:tc>
          <w:tcPr>
            <w:tcW w:type="dxa" w:w="1368"/>
          </w:tcPr>
          <w:p>
            <w:pPr>
              <w:jc w:val="left"/>
            </w:pPr>
            <w:r/>
            <w:r>
              <w:rPr>
                <w:rFonts w:ascii="Georgia" w:hAnsi="Georgia"/>
                <w:b w:val="0"/>
                <w:i w:val="0"/>
                <w:color w:val="17172A"/>
                <w:sz w:val="19"/>
              </w:rPr>
              <w:t>0.301</w:t>
            </w:r>
          </w:p>
        </w:tc>
        <w:tc>
          <w:tcPr>
            <w:tcW w:type="dxa" w:w="1368"/>
          </w:tcPr>
          <w:p>
            <w:pPr>
              <w:jc w:val="left"/>
            </w:pPr>
            <w:r/>
            <w:r>
              <w:rPr>
                <w:rFonts w:ascii="Georgia" w:hAnsi="Georgia"/>
                <w:b w:val="0"/>
                <w:i w:val="0"/>
                <w:color w:val="17172A"/>
                <w:sz w:val="19"/>
              </w:rPr>
              <w:t>0.221</w:t>
            </w:r>
          </w:p>
        </w:tc>
        <w:tc>
          <w:tcPr>
            <w:tcW w:type="dxa" w:w="1368"/>
          </w:tcPr>
          <w:p>
            <w:pPr>
              <w:jc w:val="left"/>
            </w:pPr>
            <w:r/>
            <w:r>
              <w:rPr>
                <w:rFonts w:ascii="Georgia" w:hAnsi="Georgia"/>
                <w:b w:val="0"/>
                <w:i w:val="0"/>
                <w:color w:val="17172A"/>
                <w:sz w:val="19"/>
              </w:rPr>
              <w:t>585</w:t>
            </w:r>
          </w:p>
        </w:tc>
      </w:tr>
      <w:tr>
        <w:tc>
          <w:tcPr>
            <w:tcW w:type="dxa" w:w="4608"/>
          </w:tcPr>
          <w:p>
            <w:pPr>
              <w:jc w:val="left"/>
            </w:pPr>
            <w:r>
              <w:t>Domain Rules (HDF / TWF / OSF / PWF)</w:t>
            </w:r>
            <w:r>
              <w:rPr>
                <w:rFonts w:ascii="Georgia" w:hAnsi="Georgia"/>
                <w:b w:val="0"/>
                <w:i w:val="0"/>
                <w:color w:val="17172A"/>
                <w:sz w:val="19"/>
              </w:rPr>
              <w:t>Domain Rules (HDF / TWF / OSF)</w:t>
            </w:r>
          </w:p>
        </w:tc>
        <w:tc>
          <w:tcPr>
            <w:tcW w:type="dxa" w:w="1368"/>
          </w:tcPr>
          <w:p>
            <w:pPr>
              <w:jc w:val="left"/>
            </w:pPr>
            <w:r/>
            <w:r>
              <w:rPr>
                <w:rFonts w:ascii="Georgia" w:hAnsi="Georgia"/>
                <w:b w:val="0"/>
                <w:i w:val="0"/>
                <w:color w:val="17172A"/>
                <w:sz w:val="19"/>
              </w:rPr>
              <w:t>1.000</w:t>
            </w:r>
          </w:p>
        </w:tc>
        <w:tc>
          <w:tcPr>
            <w:tcW w:type="dxa" w:w="1368"/>
          </w:tcPr>
          <w:p>
            <w:pPr>
              <w:jc w:val="left"/>
            </w:pPr>
            <w:r>
              <w:t>0.756*</w:t>
            </w:r>
            <w:r>
              <w:rPr>
                <w:rFonts w:ascii="Georgia" w:hAnsi="Georgia"/>
                <w:b w:val="0"/>
                <w:i w:val="0"/>
                <w:color w:val="17172A"/>
                <w:sz w:val="19"/>
              </w:rPr>
              <w:t>0.770*</w:t>
            </w:r>
          </w:p>
        </w:tc>
        <w:tc>
          <w:tcPr>
            <w:tcW w:type="dxa" w:w="1368"/>
          </w:tcPr>
          <w:p>
            <w:pPr>
              <w:jc w:val="left"/>
            </w:pPr>
            <w:r/>
            <w:r>
              <w:rPr>
                <w:rFonts w:ascii="Georgia" w:hAnsi="Georgia"/>
                <w:b w:val="0"/>
                <w:i w:val="0"/>
                <w:color w:val="17172A"/>
                <w:sz w:val="19"/>
              </w:rPr>
              <w:t>—</w:t>
            </w:r>
          </w:p>
        </w:tc>
        <w:tc>
          <w:tcPr>
            <w:tcW w:type="dxa" w:w="1368"/>
          </w:tcPr>
          <w:p>
            <w:pPr>
              <w:jc w:val="left"/>
            </w:pPr>
            <w:r/>
            <w:r>
              <w:rPr>
                <w:rFonts w:ascii="Georgia" w:hAnsi="Georgia"/>
                <w:b w:val="0"/>
                <w:i w:val="0"/>
                <w:color w:val="17172A"/>
                <w:sz w:val="19"/>
              </w:rPr>
              <w:t>259†</w:t>
            </w:r>
          </w:p>
        </w:tc>
      </w:tr>
      <w:tr>
        <w:tc>
          <w:tcPr>
            <w:tcW w:type="dxa" w:w="4608"/>
            <w:shd w:val="clear" w:color="auto" w:fill="EFF4FF"/>
          </w:tcPr>
          <w:p>
            <w:pPr>
              <w:jc w:val="left"/>
            </w:pPr>
            <w:r/>
            <w:r>
              <w:rPr>
                <w:rFonts w:ascii="Georgia" w:hAnsi="Georgia"/>
                <w:b/>
                <w:i w:val="0"/>
                <w:color w:val="17172A"/>
                <w:sz w:val="19"/>
              </w:rPr>
              <w:t>Fusion + Rules (combined)</w:t>
            </w:r>
          </w:p>
        </w:tc>
        <w:tc>
          <w:tcPr>
            <w:tcW w:type="dxa" w:w="1368"/>
            <w:shd w:val="clear" w:color="auto" w:fill="EFF4FF"/>
          </w:tcPr>
          <w:p>
            <w:pPr>
              <w:jc w:val="left"/>
            </w:pPr>
            <w:r>
              <w:t>0.321</w:t>
            </w:r>
            <w:r>
              <w:rPr>
                <w:rFonts w:ascii="Georgia" w:hAnsi="Georgia"/>
                <w:b/>
                <w:i w:val="0"/>
                <w:color w:val="17172A"/>
                <w:sz w:val="19"/>
              </w:rPr>
              <w:t>0.570</w:t>
            </w:r>
          </w:p>
        </w:tc>
        <w:tc>
          <w:tcPr>
            <w:tcW w:type="dxa" w:w="1368"/>
            <w:shd w:val="clear" w:color="auto" w:fill="EFF4FF"/>
          </w:tcPr>
          <w:p>
            <w:pPr>
              <w:jc w:val="left"/>
            </w:pPr>
            <w:r>
              <w:t>0.971</w:t>
            </w:r>
            <w:r>
              <w:rPr>
                <w:rFonts w:ascii="Georgia" w:hAnsi="Georgia"/>
                <w:b/>
                <w:i w:val="0"/>
                <w:color w:val="17172A"/>
                <w:sz w:val="19"/>
              </w:rPr>
              <w:t>0.885</w:t>
            </w:r>
          </w:p>
        </w:tc>
        <w:tc>
          <w:tcPr>
            <w:tcW w:type="dxa" w:w="1368"/>
            <w:shd w:val="clear" w:color="auto" w:fill="EFF4FF"/>
          </w:tcPr>
          <w:p>
            <w:pPr>
              <w:jc w:val="left"/>
            </w:pPr>
            <w:r>
              <w:t>0.482</w:t>
            </w:r>
            <w:r>
              <w:rPr>
                <w:rFonts w:ascii="Georgia" w:hAnsi="Georgia"/>
                <w:b/>
                <w:i w:val="0"/>
                <w:color w:val="17172A"/>
                <w:sz w:val="19"/>
              </w:rPr>
              <w:t>0.694</w:t>
            </w:r>
          </w:p>
        </w:tc>
        <w:tc>
          <w:tcPr>
            <w:tcW w:type="dxa" w:w="1368"/>
            <w:shd w:val="clear" w:color="auto" w:fill="EFF4FF"/>
          </w:tcPr>
          <w:p>
            <w:pPr>
              <w:jc w:val="left"/>
            </w:pPr>
            <w:r/>
            <w:r>
              <w:rPr>
                <w:rFonts w:ascii="Georgia" w:hAnsi="Georgia"/>
                <w:b/>
                <w:i w:val="0"/>
                <w:color w:val="17172A"/>
                <w:sz w:val="19"/>
              </w:rPr>
              <w:t>526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