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B8873F"/>
          <w:spacing w:val="30"/>
          <w:sz w:val="22"/>
          <w:szCs w:val="22"/>
        </w:rPr>
        <w:t xml:space="preserve">BUSINESS REQUIREMENTS DOCUMENT</w:t>
      </w:r>
    </w:p>
    <w:p>
      <w:pPr>
        <w:spacing w:before="260"/>
        <w:jc w:val="center"/>
      </w:pPr>
      <w:r>
        <w:rPr>
          <w:rFonts w:ascii="Georgia" w:cs="Georgia" w:eastAsia="Georgia" w:hAnsi="Georgia"/>
          <w:b/>
          <w:bCs/>
          <w:color w:val="10192E"/>
          <w:sz w:val="66"/>
          <w:szCs w:val="66"/>
        </w:rPr>
        <w:t xml:space="preserve">Celebration Passport</w:t>
      </w:r>
    </w:p>
    <w:p>
      <w:pPr>
        <w:spacing w:after="200" w:before="120"/>
        <w:jc w:val="center"/>
      </w:pPr>
      <w:r>
        <w:rPr>
          <w:rFonts w:ascii="Georgia" w:cs="Georgia" w:eastAsia="Georgia" w:hAnsi="Georgia"/>
          <w:i/>
          <w:iCs/>
          <w:color w:val="B8873F"/>
          <w:sz w:val="28"/>
          <w:szCs w:val="28"/>
        </w:rPr>
        <w:t xml:space="preserve">Every Memory Deserves a Stamp.</w:t>
      </w:r>
    </w:p>
    <w:p>
      <w:pPr>
        <w:pBdr>
          <w:top w:val="single" w:color="B8873F" w:sz="6" w:space="10"/>
          <w:bottom w:val="single" w:color="B8873F" w:sz="6" w:space="10"/>
        </w:pBdr>
        <w:spacing w:before="500"/>
        <w:jc w:val="center"/>
      </w:pPr>
      <w:r>
        <w:rPr>
          <w:rFonts w:ascii="Calibri" w:cs="Calibri" w:eastAsia="Calibri" w:hAnsi="Calibri"/>
          <w:b/>
          <w:bCs/>
          <w:color w:val="1B2A4A"/>
          <w:spacing w:val="20"/>
          <w:sz w:val="20"/>
          <w:szCs w:val="20"/>
        </w:rPr>
        <w:t xml:space="preserve">BRD  ·  VERSION 1.0</w:t>
      </w:r>
    </w:p>
    <w:p>
      <w:pPr>
        <w:spacing w:before="8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Document Owner</w:t>
            </w:r>
          </w:p>
        </w:tc>
        <w:tc>
          <w:tcPr>
            <w:tcW w:type="dxa" w:w="67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Founder / Product Lead</w:t>
            </w:r>
          </w:p>
        </w:tc>
      </w:tr>
      <w:tr>
        <w:tc>
          <w:tcPr>
            <w:tcW w:type="dxa" w:w="26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Status</w:t>
            </w:r>
          </w:p>
        </w:tc>
        <w:tc>
          <w:tcPr>
            <w:tcW w:type="dxa" w:w="67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Draft for Review</w:t>
            </w:r>
          </w:p>
        </w:tc>
      </w:tr>
      <w:tr>
        <w:tc>
          <w:tcPr>
            <w:tcW w:type="dxa" w:w="26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Date</w:t>
            </w:r>
          </w:p>
        </w:tc>
        <w:tc>
          <w:tcPr>
            <w:tcW w:type="dxa" w:w="67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July 2026</w:t>
            </w:r>
          </w:p>
        </w:tc>
      </w:tr>
      <w:tr>
        <w:tc>
          <w:tcPr>
            <w:tcW w:type="dxa" w:w="26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Related Document</w:t>
            </w:r>
          </w:p>
        </w:tc>
        <w:tc>
          <w:tcPr>
            <w:tcW w:type="dxa" w:w="67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System &amp; Technical Design Document v1.0</w:t>
            </w:r>
          </w:p>
        </w:tc>
      </w:tr>
    </w:tbl>
    <w:p>
      <w:r>
        <w:br w:type="page"/>
      </w:r>
    </w:p>
    <w:p>
      <w:pPr>
        <w:sectPr>
          <w:pgSz w:w="12240" w:h="15840" w:orient="portrait"/>
          <w:pgMar w:top="1080" w:right="1080" w:bottom="1080" w:left="1080" w:header="708" w:footer="708" w:gutter="0"/>
          <w:pgNumType/>
          <w:docGrid w:linePitch="360"/>
        </w:sectPr>
      </w:pPr>
    </w:p>
    <w:p>
      <w:pPr>
        <w:pStyle w:val="Heading1"/>
        <w:pBdr>
          <w:bottom w:val="single" w:color="B8873F" w:sz="8" w:space="6"/>
        </w:pBdr>
        <w:spacing w:after="200"/>
      </w:pPr>
      <w:r>
        <w:rPr>
          <w:rFonts w:ascii="Georgia" w:cs="Georgia" w:eastAsia="Georgia" w:hAnsi="Georgia"/>
          <w:b/>
          <w:bCs/>
          <w:color w:val="1B2A4A"/>
          <w:spacing w:val="10"/>
          <w:sz w:val="30"/>
          <w:szCs w:val="30"/>
        </w:rPr>
        <w:t xml:space="preserve">TABLE OF 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Bdr>
          <w:bottom w:val="single" w:color="B8873F" w:sz="8" w:space="6"/>
        </w:pBdr>
        <w:spacing w:after="200" w:before="480"/>
      </w:pPr>
      <w:r>
        <w:rPr>
          <w:rFonts w:ascii="Georgia" w:cs="Georgia" w:eastAsia="Georgia" w:hAnsi="Georgia"/>
          <w:b/>
          <w:bCs/>
          <w:color w:val="B8873F"/>
          <w:sz w:val="30"/>
          <w:szCs w:val="30"/>
        </w:rPr>
        <w:t xml:space="preserve">01   </w:t>
      </w:r>
      <w:r>
        <w:rPr>
          <w:rFonts w:ascii="Georgia" w:cs="Georgia" w:eastAsia="Georgia" w:hAnsi="Georgia"/>
          <w:b/>
          <w:bCs/>
          <w:color w:val="1B2A4A"/>
          <w:spacing w:val="10"/>
          <w:sz w:val="30"/>
          <w:szCs w:val="30"/>
        </w:rPr>
        <w:t xml:space="preserve">EXECUTIVE SUMMARY</w:t>
      </w:r>
    </w:p>
    <w:p>
      <w:pPr>
        <w:spacing w:after="160" w:line="300"/>
        <w:jc w:val="both"/>
      </w:pPr>
      <w:r>
        <w:rPr>
          <w:rFonts w:ascii="Calibri" w:cs="Calibri" w:eastAsia="Calibri" w:hAnsi="Calibri"/>
          <w:i w:val="false"/>
          <w:iCs w:val="false"/>
          <w:color w:val="2B2B28"/>
          <w:sz w:val="22"/>
          <w:szCs w:val="22"/>
        </w:rPr>
        <w:t xml:space="preserve">Celebration Passport is a digital platform that helps couples plan, celebrate, preserve, and relive life's meaningful milestones — starting with newly married and engaged couples. Unlike general-purpose photo and gallery apps, which organize content chronologically, Celebration Passport organizes memories by life chapter, turning scattered photos, notes, and moments into a structured, beautiful, ongoing keepsake.</w:t>
      </w:r>
    </w:p>
    <w:p>
      <w:pPr>
        <w:spacing w:after="160" w:line="300"/>
        <w:jc w:val="both"/>
      </w:pPr>
      <w:r>
        <w:rPr>
          <w:rFonts w:ascii="Calibri" w:cs="Calibri" w:eastAsia="Calibri" w:hAnsi="Calibri"/>
          <w:i w:val="false"/>
          <w:iCs w:val="false"/>
          <w:color w:val="2B2B28"/>
          <w:sz w:val="22"/>
          <w:szCs w:val="22"/>
        </w:rPr>
        <w:t xml:space="preserve">This document defines the business requirements for Version 1.0 of the product: the problem being solved, who it is for, what the product must do, and how success will be measured. It is intended to guide product, design, and engineering decisions, and should be read alongside the companion System &amp; Technical Design Document, which describes the technical architecture used to deliver these requirements.</w:t>
      </w:r>
    </w:p>
    <w:p>
      <w:pPr>
        <w:pStyle w:val="Heading1"/>
        <w:pBdr>
          <w:bottom w:val="single" w:color="B8873F" w:sz="8" w:space="6"/>
        </w:pBdr>
        <w:spacing w:after="200" w:before="480"/>
      </w:pPr>
      <w:r>
        <w:rPr>
          <w:rFonts w:ascii="Georgia" w:cs="Georgia" w:eastAsia="Georgia" w:hAnsi="Georgia"/>
          <w:b/>
          <w:bCs/>
          <w:color w:val="B8873F"/>
          <w:sz w:val="30"/>
          <w:szCs w:val="30"/>
        </w:rPr>
        <w:t xml:space="preserve">02   </w:t>
      </w:r>
      <w:r>
        <w:rPr>
          <w:rFonts w:ascii="Georgia" w:cs="Georgia" w:eastAsia="Georgia" w:hAnsi="Georgia"/>
          <w:b/>
          <w:bCs/>
          <w:color w:val="1B2A4A"/>
          <w:spacing w:val="10"/>
          <w:sz w:val="30"/>
          <w:szCs w:val="30"/>
        </w:rPr>
        <w:t xml:space="preserve">BUSINESS OBJECTIVES</w:t>
      </w:r>
    </w:p>
    <w:p>
      <w:pPr>
        <w:pStyle w:val="Heading2"/>
        <w:spacing w:after="120" w:before="280"/>
      </w:pPr>
      <w:r>
        <w:rPr>
          <w:rFonts w:ascii="Georgia" w:cs="Georgia" w:eastAsia="Georgia" w:hAnsi="Georgia"/>
          <w:b/>
          <w:bCs/>
          <w:color w:val="B8873F"/>
          <w:sz w:val="24"/>
          <w:szCs w:val="24"/>
        </w:rPr>
        <w:t xml:space="preserve">Vision</w:t>
      </w:r>
    </w:p>
    <w:p>
      <w:pPr>
        <w:pBdr>
          <w:left w:val="single" w:color="B8873F" w:sz="24" w:space="14"/>
        </w:pBdr>
        <w:spacing w:after="260" w:before="160"/>
        <w:ind w:left="500" w:right="500"/>
      </w:pPr>
      <w:r>
        <w:rPr>
          <w:rFonts w:ascii="Georgia" w:cs="Georgia" w:eastAsia="Georgia" w:hAnsi="Georgia"/>
          <w:i/>
          <w:iCs/>
          <w:color w:val="10192E"/>
          <w:sz w:val="24"/>
          <w:szCs w:val="24"/>
        </w:rPr>
        <w:t xml:space="preserve">To become the world's most meaningful platform for preserving, celebrating, and reliving life's milestones.</w:t>
      </w:r>
    </w:p>
    <w:p>
      <w:pPr>
        <w:pStyle w:val="Heading2"/>
        <w:spacing w:after="120" w:before="280"/>
      </w:pPr>
      <w:r>
        <w:rPr>
          <w:rFonts w:ascii="Georgia" w:cs="Georgia" w:eastAsia="Georgia" w:hAnsi="Georgia"/>
          <w:b/>
          <w:bCs/>
          <w:color w:val="B8873F"/>
          <w:sz w:val="24"/>
          <w:szCs w:val="24"/>
        </w:rPr>
        <w:t xml:space="preserve">Mission</w:t>
      </w:r>
    </w:p>
    <w:p>
      <w:pPr>
        <w:pBdr>
          <w:left w:val="single" w:color="B8873F" w:sz="24" w:space="14"/>
        </w:pBdr>
        <w:spacing w:after="260" w:before="160"/>
        <w:ind w:left="500" w:right="500"/>
      </w:pPr>
      <w:r>
        <w:rPr>
          <w:rFonts w:ascii="Georgia" w:cs="Georgia" w:eastAsia="Georgia" w:hAnsi="Georgia"/>
          <w:i/>
          <w:iCs/>
          <w:color w:val="10192E"/>
          <w:sz w:val="24"/>
          <w:szCs w:val="24"/>
        </w:rPr>
        <w:t xml:space="preserve">Help people celebrate every important moment in life and transform memories into timeless keepsakes.</w:t>
      </w:r>
    </w:p>
    <w:p>
      <w:pPr>
        <w:pStyle w:val="Heading2"/>
        <w:spacing w:after="120" w:before="280"/>
      </w:pPr>
      <w:r>
        <w:rPr>
          <w:rFonts w:ascii="Georgia" w:cs="Georgia" w:eastAsia="Georgia" w:hAnsi="Georgia"/>
          <w:b/>
          <w:bCs/>
          <w:color w:val="B8873F"/>
          <w:sz w:val="24"/>
          <w:szCs w:val="24"/>
        </w:rPr>
        <w:t xml:space="preserve">Primary Business Goals for v1.0</w:t>
      </w:r>
    </w:p>
    <w:p>
      <w:pPr>
        <w:pStyle w:val="ListParagraph"/>
        <w:numPr>
          <w:ilvl w:val="0"/>
          <w:numId w:val="2"/>
        </w:numPr>
        <w:spacing w:after="90" w:line="280"/>
        <w:ind w:left="360"/>
      </w:pPr>
      <w:r>
        <w:rPr>
          <w:rFonts w:ascii="Calibri" w:cs="Calibri" w:eastAsia="Calibri" w:hAnsi="Calibri"/>
          <w:color w:val="2B2B28"/>
          <w:sz w:val="22"/>
          <w:szCs w:val="22"/>
        </w:rPr>
        <w:t xml:space="preserve">Validate that couples will adopt and regularly return to a dedicated, private celebration-tracking product.</w:t>
      </w:r>
    </w:p>
    <w:p>
      <w:pPr>
        <w:pStyle w:val="ListParagraph"/>
        <w:numPr>
          <w:ilvl w:val="0"/>
          <w:numId w:val="2"/>
        </w:numPr>
        <w:spacing w:after="90" w:line="280"/>
        <w:ind w:left="360"/>
      </w:pPr>
      <w:r>
        <w:rPr>
          <w:rFonts w:ascii="Calibri" w:cs="Calibri" w:eastAsia="Calibri" w:hAnsi="Calibri"/>
          <w:color w:val="2B2B28"/>
          <w:sz w:val="22"/>
          <w:szCs w:val="22"/>
        </w:rPr>
        <w:t xml:space="preserve">Establish the four-pillar product experience — Plan, Celebrate, Preserve, Relive — as a coherent, differentiated offering.</w:t>
      </w:r>
    </w:p>
    <w:p>
      <w:pPr>
        <w:pStyle w:val="ListParagraph"/>
        <w:numPr>
          <w:ilvl w:val="0"/>
          <w:numId w:val="2"/>
        </w:numPr>
        <w:spacing w:after="90" w:line="280"/>
        <w:ind w:left="360"/>
      </w:pPr>
      <w:r>
        <w:rPr>
          <w:rFonts w:ascii="Calibri" w:cs="Calibri" w:eastAsia="Calibri" w:hAnsi="Calibri"/>
          <w:color w:val="2B2B28"/>
          <w:sz w:val="22"/>
          <w:szCs w:val="22"/>
        </w:rPr>
        <w:t xml:space="preserve">Build the foundation (data model, services, AI integration points) that can extend to Family, Baby, Wedding, Travel, and Pet Passports in later versions.</w:t>
      </w:r>
    </w:p>
    <w:p>
      <w:pPr>
        <w:pStyle w:val="ListParagraph"/>
        <w:numPr>
          <w:ilvl w:val="0"/>
          <w:numId w:val="2"/>
        </w:numPr>
        <w:spacing w:after="90" w:line="280"/>
        <w:ind w:left="360"/>
      </w:pPr>
      <w:r>
        <w:rPr>
          <w:rFonts w:ascii="Calibri" w:cs="Calibri" w:eastAsia="Calibri" w:hAnsi="Calibri"/>
          <w:color w:val="2B2B28"/>
          <w:sz w:val="22"/>
          <w:szCs w:val="22"/>
        </w:rPr>
        <w:t xml:space="preserve">Prove a viable monetization path, with the printed Passport Book identified as the leading revenue candidate alongside future premium subscriptions.</w:t>
      </w:r>
    </w:p>
    <w:p>
      <w:pPr>
        <w:pStyle w:val="Heading1"/>
        <w:pBdr>
          <w:bottom w:val="single" w:color="B8873F" w:sz="8" w:space="6"/>
        </w:pBdr>
        <w:spacing w:after="200" w:before="480"/>
      </w:pPr>
      <w:r>
        <w:rPr>
          <w:rFonts w:ascii="Georgia" w:cs="Georgia" w:eastAsia="Georgia" w:hAnsi="Georgia"/>
          <w:b/>
          <w:bCs/>
          <w:color w:val="B8873F"/>
          <w:sz w:val="30"/>
          <w:szCs w:val="30"/>
        </w:rPr>
        <w:t xml:space="preserve">03   </w:t>
      </w:r>
      <w:r>
        <w:rPr>
          <w:rFonts w:ascii="Georgia" w:cs="Georgia" w:eastAsia="Georgia" w:hAnsi="Georgia"/>
          <w:b/>
          <w:bCs/>
          <w:color w:val="1B2A4A"/>
          <w:spacing w:val="10"/>
          <w:sz w:val="30"/>
          <w:szCs w:val="30"/>
        </w:rPr>
        <w:t xml:space="preserve">SCOPE</w:t>
      </w:r>
    </w:p>
    <w:p>
      <w:pPr>
        <w:pStyle w:val="Heading2"/>
        <w:spacing w:after="120" w:before="280"/>
      </w:pPr>
      <w:r>
        <w:rPr>
          <w:rFonts w:ascii="Georgia" w:cs="Georgia" w:eastAsia="Georgia" w:hAnsi="Georgia"/>
          <w:b/>
          <w:bCs/>
          <w:color w:val="B8873F"/>
          <w:sz w:val="24"/>
          <w:szCs w:val="24"/>
        </w:rPr>
        <w:t xml:space="preserve">In Scope — Version 1.0</w:t>
      </w:r>
    </w:p>
    <w:p>
      <w:pPr>
        <w:pStyle w:val="ListParagraph"/>
        <w:numPr>
          <w:ilvl w:val="0"/>
          <w:numId w:val="2"/>
        </w:numPr>
        <w:spacing w:after="90" w:line="280"/>
        <w:ind w:left="360"/>
      </w:pPr>
      <w:r>
        <w:rPr>
          <w:rFonts w:ascii="Calibri" w:cs="Calibri" w:eastAsia="Calibri" w:hAnsi="Calibri"/>
          <w:color w:val="2B2B28"/>
          <w:sz w:val="22"/>
          <w:szCs w:val="22"/>
        </w:rPr>
        <w:t xml:space="preserve">Couple Passport core experience (Plan, Celebrate, Preserve, Relive)</w:t>
      </w:r>
    </w:p>
    <w:p>
      <w:pPr>
        <w:pStyle w:val="ListParagraph"/>
        <w:numPr>
          <w:ilvl w:val="0"/>
          <w:numId w:val="2"/>
        </w:numPr>
        <w:spacing w:after="90" w:line="280"/>
        <w:ind w:left="360"/>
      </w:pPr>
      <w:r>
        <w:rPr>
          <w:rFonts w:ascii="Calibri" w:cs="Calibri" w:eastAsia="Calibri" w:hAnsi="Calibri"/>
          <w:color w:val="2B2B28"/>
          <w:sz w:val="22"/>
          <w:szCs w:val="22"/>
        </w:rPr>
        <w:t xml:space="preserve">Account creation, authentication, and couple pairing/linking</w:t>
      </w:r>
    </w:p>
    <w:p>
      <w:pPr>
        <w:pStyle w:val="ListParagraph"/>
        <w:numPr>
          <w:ilvl w:val="0"/>
          <w:numId w:val="2"/>
        </w:numPr>
        <w:spacing w:after="90" w:line="280"/>
        <w:ind w:left="360"/>
      </w:pPr>
      <w:r>
        <w:rPr>
          <w:rFonts w:ascii="Calibri" w:cs="Calibri" w:eastAsia="Calibri" w:hAnsi="Calibri"/>
          <w:color w:val="2B2B28"/>
          <w:sz w:val="22"/>
          <w:szCs w:val="22"/>
        </w:rPr>
        <w:t xml:space="preserve">Milestone and anniversary tracking with countdowns</w:t>
      </w:r>
    </w:p>
    <w:p>
      <w:pPr>
        <w:pStyle w:val="ListParagraph"/>
        <w:numPr>
          <w:ilvl w:val="0"/>
          <w:numId w:val="2"/>
        </w:numPr>
        <w:spacing w:after="90" w:line="280"/>
        <w:ind w:left="360"/>
      </w:pPr>
      <w:r>
        <w:rPr>
          <w:rFonts w:ascii="Calibri" w:cs="Calibri" w:eastAsia="Calibri" w:hAnsi="Calibri"/>
          <w:color w:val="2B2B28"/>
          <w:sz w:val="22"/>
          <w:szCs w:val="22"/>
        </w:rPr>
        <w:t xml:space="preserve">Live album for photos, videos, notes, and voice messages</w:t>
      </w:r>
    </w:p>
    <w:p>
      <w:pPr>
        <w:pStyle w:val="ListParagraph"/>
        <w:numPr>
          <w:ilvl w:val="0"/>
          <w:numId w:val="2"/>
        </w:numPr>
        <w:spacing w:after="90" w:line="280"/>
        <w:ind w:left="360"/>
      </w:pPr>
      <w:r>
        <w:rPr>
          <w:rFonts w:ascii="Calibri" w:cs="Calibri" w:eastAsia="Calibri" w:hAnsi="Calibri"/>
          <w:color w:val="2B2B28"/>
          <w:sz w:val="22"/>
          <w:szCs w:val="22"/>
        </w:rPr>
        <w:t xml:space="preserve">AI-assisted itinerary suggestions and AI-generated story recaps</w:t>
      </w:r>
    </w:p>
    <w:p>
      <w:pPr>
        <w:pStyle w:val="ListParagraph"/>
        <w:numPr>
          <w:ilvl w:val="0"/>
          <w:numId w:val="2"/>
        </w:numPr>
        <w:spacing w:after="90" w:line="280"/>
        <w:ind w:left="360"/>
      </w:pPr>
      <w:r>
        <w:rPr>
          <w:rFonts w:ascii="Calibri" w:cs="Calibri" w:eastAsia="Calibri" w:hAnsi="Calibri"/>
          <w:color w:val="2B2B28"/>
          <w:sz w:val="22"/>
          <w:szCs w:val="22"/>
        </w:rPr>
        <w:t xml:space="preserve">"On this day" memory resurfacing</w:t>
      </w:r>
    </w:p>
    <w:p>
      <w:pPr>
        <w:pStyle w:val="ListParagraph"/>
        <w:numPr>
          <w:ilvl w:val="0"/>
          <w:numId w:val="2"/>
        </w:numPr>
        <w:spacing w:after="90" w:line="280"/>
        <w:ind w:left="360"/>
      </w:pPr>
      <w:r>
        <w:rPr>
          <w:rFonts w:ascii="Calibri" w:cs="Calibri" w:eastAsia="Calibri" w:hAnsi="Calibri"/>
          <w:color w:val="2B2B28"/>
          <w:sz w:val="22"/>
          <w:szCs w:val="22"/>
        </w:rPr>
        <w:t xml:space="preserve">Digital invitations and family/friend wishes collection</w:t>
      </w:r>
    </w:p>
    <w:p>
      <w:pPr>
        <w:pStyle w:val="ListParagraph"/>
        <w:numPr>
          <w:ilvl w:val="0"/>
          <w:numId w:val="2"/>
        </w:numPr>
        <w:spacing w:after="90" w:line="280"/>
        <w:ind w:left="360"/>
      </w:pPr>
      <w:r>
        <w:rPr>
          <w:rFonts w:ascii="Calibri" w:cs="Calibri" w:eastAsia="Calibri" w:hAnsi="Calibri"/>
          <w:color w:val="2B2B28"/>
          <w:sz w:val="22"/>
          <w:szCs w:val="22"/>
        </w:rPr>
        <w:t xml:space="preserve">Expense and budget tracking tied to celebrations</w:t>
      </w:r>
    </w:p>
    <w:p>
      <w:pPr>
        <w:pStyle w:val="ListParagraph"/>
        <w:numPr>
          <w:ilvl w:val="0"/>
          <w:numId w:val="2"/>
        </w:numPr>
        <w:spacing w:after="90" w:line="280"/>
        <w:ind w:left="360"/>
      </w:pPr>
      <w:r>
        <w:rPr>
          <w:rFonts w:ascii="Calibri" w:cs="Calibri" w:eastAsia="Calibri" w:hAnsi="Calibri"/>
          <w:color w:val="2B2B28"/>
          <w:sz w:val="22"/>
          <w:szCs w:val="22"/>
        </w:rPr>
        <w:t xml:space="preserve">Printed Passport Book ordering flow (initial version)</w:t>
      </w:r>
    </w:p>
    <w:p>
      <w:pPr>
        <w:pStyle w:val="Heading2"/>
        <w:spacing w:after="120" w:before="280"/>
      </w:pPr>
      <w:r>
        <w:rPr>
          <w:rFonts w:ascii="Georgia" w:cs="Georgia" w:eastAsia="Georgia" w:hAnsi="Georgia"/>
          <w:b/>
          <w:bCs/>
          <w:color w:val="B8873F"/>
          <w:sz w:val="24"/>
          <w:szCs w:val="24"/>
        </w:rPr>
        <w:t xml:space="preserve">Out of Scope — Version 1.0</w:t>
      </w:r>
    </w:p>
    <w:p>
      <w:pPr>
        <w:pStyle w:val="ListParagraph"/>
        <w:numPr>
          <w:ilvl w:val="0"/>
          <w:numId w:val="2"/>
        </w:numPr>
        <w:spacing w:after="90" w:line="280"/>
        <w:ind w:left="360"/>
      </w:pPr>
      <w:r>
        <w:rPr>
          <w:rFonts w:ascii="Calibri" w:cs="Calibri" w:eastAsia="Calibri" w:hAnsi="Calibri"/>
          <w:color w:val="2B2B28"/>
          <w:sz w:val="22"/>
          <w:szCs w:val="22"/>
        </w:rPr>
        <w:t xml:space="preserve">Family, Baby, Wedding, Travel, and Pet Passports (planned for later versions)</w:t>
      </w:r>
    </w:p>
    <w:p>
      <w:pPr>
        <w:pStyle w:val="ListParagraph"/>
        <w:numPr>
          <w:ilvl w:val="0"/>
          <w:numId w:val="2"/>
        </w:numPr>
        <w:spacing w:after="90" w:line="280"/>
        <w:ind w:left="360"/>
      </w:pPr>
      <w:r>
        <w:rPr>
          <w:rFonts w:ascii="Calibri" w:cs="Calibri" w:eastAsia="Calibri" w:hAnsi="Calibri"/>
          <w:color w:val="2B2B28"/>
          <w:sz w:val="22"/>
          <w:szCs w:val="22"/>
        </w:rPr>
        <w:t xml:space="preserve">Public social feed, public profiles, or follower-based sharing</w:t>
      </w:r>
    </w:p>
    <w:p>
      <w:pPr>
        <w:pStyle w:val="ListParagraph"/>
        <w:numPr>
          <w:ilvl w:val="0"/>
          <w:numId w:val="2"/>
        </w:numPr>
        <w:spacing w:after="90" w:line="280"/>
        <w:ind w:left="360"/>
      </w:pPr>
      <w:r>
        <w:rPr>
          <w:rFonts w:ascii="Calibri" w:cs="Calibri" w:eastAsia="Calibri" w:hAnsi="Calibri"/>
          <w:color w:val="2B2B28"/>
          <w:sz w:val="22"/>
          <w:szCs w:val="22"/>
        </w:rPr>
        <w:t xml:space="preserve">Third-party vendor marketplace (venues, caterers, photographers)</w:t>
      </w:r>
    </w:p>
    <w:p>
      <w:pPr>
        <w:pStyle w:val="ListParagraph"/>
        <w:numPr>
          <w:ilvl w:val="0"/>
          <w:numId w:val="2"/>
        </w:numPr>
        <w:spacing w:after="90" w:line="280"/>
        <w:ind w:left="360"/>
      </w:pPr>
      <w:r>
        <w:rPr>
          <w:rFonts w:ascii="Calibri" w:cs="Calibri" w:eastAsia="Calibri" w:hAnsi="Calibri"/>
          <w:color w:val="2B2B28"/>
          <w:sz w:val="22"/>
          <w:szCs w:val="22"/>
        </w:rPr>
        <w:t xml:space="preserve">Native desktop applications</w:t>
      </w:r>
    </w:p>
    <w:p>
      <w:pPr>
        <w:pStyle w:val="ListParagraph"/>
        <w:numPr>
          <w:ilvl w:val="0"/>
          <w:numId w:val="2"/>
        </w:numPr>
        <w:spacing w:after="90" w:line="280"/>
        <w:ind w:left="360"/>
      </w:pPr>
      <w:r>
        <w:rPr>
          <w:rFonts w:ascii="Calibri" w:cs="Calibri" w:eastAsia="Calibri" w:hAnsi="Calibri"/>
          <w:color w:val="2B2B28"/>
          <w:sz w:val="22"/>
          <w:szCs w:val="22"/>
        </w:rPr>
        <w:t xml:space="preserve">In-app advertising or ad-supported free tier</w:t>
      </w:r>
    </w:p>
    <w:p>
      <w:pPr>
        <w:spacing w:after="160" w:line="300"/>
        <w:jc w:val="both"/>
      </w:pPr>
      <w:r>
        <w:rPr>
          <w:rFonts w:ascii="Calibri" w:cs="Calibri" w:eastAsia="Calibri" w:hAnsi="Calibri"/>
          <w:i w:val="false"/>
          <w:iCs w:val="false"/>
          <w:color w:val="2B2B28"/>
          <w:sz w:val="22"/>
          <w:szCs w:val="22"/>
        </w:rPr>
        <w:t xml:space="preserve">Items listed as out of scope are part of the long-term product vision (see Section 11) but are deliberately excluded from v1.0 to keep the initial release focused and testable.</w:t>
      </w:r>
    </w:p>
    <w:p>
      <w:pPr>
        <w:pStyle w:val="Heading1"/>
        <w:pBdr>
          <w:bottom w:val="single" w:color="B8873F" w:sz="8" w:space="6"/>
        </w:pBdr>
        <w:spacing w:after="200" w:before="480"/>
      </w:pPr>
      <w:r>
        <w:rPr>
          <w:rFonts w:ascii="Georgia" w:cs="Georgia" w:eastAsia="Georgia" w:hAnsi="Georgia"/>
          <w:b/>
          <w:bCs/>
          <w:color w:val="B8873F"/>
          <w:sz w:val="30"/>
          <w:szCs w:val="30"/>
        </w:rPr>
        <w:t xml:space="preserve">04   </w:t>
      </w:r>
      <w:r>
        <w:rPr>
          <w:rFonts w:ascii="Georgia" w:cs="Georgia" w:eastAsia="Georgia" w:hAnsi="Georgia"/>
          <w:b/>
          <w:bCs/>
          <w:color w:val="1B2A4A"/>
          <w:spacing w:val="10"/>
          <w:sz w:val="30"/>
          <w:szCs w:val="30"/>
        </w:rPr>
        <w:t xml:space="preserve">STAKEHOLDERS &amp; TARGET USERS</w:t>
      </w:r>
    </w:p>
    <w:p>
      <w:pPr>
        <w:pStyle w:val="Heading2"/>
        <w:spacing w:after="120" w:before="280"/>
      </w:pPr>
      <w:r>
        <w:rPr>
          <w:rFonts w:ascii="Georgia" w:cs="Georgia" w:eastAsia="Georgia" w:hAnsi="Georgia"/>
          <w:b/>
          <w:bCs/>
          <w:color w:val="B8873F"/>
          <w:sz w:val="24"/>
          <w:szCs w:val="24"/>
        </w:rPr>
        <w:t xml:space="preserve">Internal Stakeholders</w:t>
      </w:r>
    </w:p>
    <w:p>
      <w:pPr>
        <w:pStyle w:val="ListParagraph"/>
        <w:numPr>
          <w:ilvl w:val="0"/>
          <w:numId w:val="2"/>
        </w:numPr>
        <w:spacing w:after="90" w:line="280"/>
        <w:ind w:left="360"/>
      </w:pPr>
      <w:r>
        <w:rPr>
          <w:rFonts w:ascii="Calibri" w:cs="Calibri" w:eastAsia="Calibri" w:hAnsi="Calibri"/>
          <w:color w:val="2B2B28"/>
          <w:sz w:val="22"/>
          <w:szCs w:val="22"/>
        </w:rPr>
        <w:t xml:space="preserve">Founder / Product Owner — defines product direction and priorities</w:t>
      </w:r>
    </w:p>
    <w:p>
      <w:pPr>
        <w:pStyle w:val="ListParagraph"/>
        <w:numPr>
          <w:ilvl w:val="0"/>
          <w:numId w:val="2"/>
        </w:numPr>
        <w:spacing w:after="90" w:line="280"/>
        <w:ind w:left="360"/>
      </w:pPr>
      <w:r>
        <w:rPr>
          <w:rFonts w:ascii="Calibri" w:cs="Calibri" w:eastAsia="Calibri" w:hAnsi="Calibri"/>
          <w:color w:val="2B2B28"/>
          <w:sz w:val="22"/>
          <w:szCs w:val="22"/>
        </w:rPr>
        <w:t xml:space="preserve">Engineering Team — implements the platform per the System &amp; Technical Design Document</w:t>
      </w:r>
    </w:p>
    <w:p>
      <w:pPr>
        <w:pStyle w:val="ListParagraph"/>
        <w:numPr>
          <w:ilvl w:val="0"/>
          <w:numId w:val="2"/>
        </w:numPr>
        <w:spacing w:after="90" w:line="280"/>
        <w:ind w:left="360"/>
      </w:pPr>
      <w:r>
        <w:rPr>
          <w:rFonts w:ascii="Calibri" w:cs="Calibri" w:eastAsia="Calibri" w:hAnsi="Calibri"/>
          <w:color w:val="2B2B28"/>
          <w:sz w:val="22"/>
          <w:szCs w:val="22"/>
        </w:rPr>
        <w:t xml:space="preserve">Design Team — owns the visual and interaction language of the product</w:t>
      </w:r>
    </w:p>
    <w:p>
      <w:pPr>
        <w:pStyle w:val="Heading2"/>
        <w:spacing w:after="120" w:before="280"/>
      </w:pPr>
      <w:r>
        <w:rPr>
          <w:rFonts w:ascii="Georgia" w:cs="Georgia" w:eastAsia="Georgia" w:hAnsi="Georgia"/>
          <w:b/>
          <w:bCs/>
          <w:color w:val="B8873F"/>
          <w:sz w:val="24"/>
          <w:szCs w:val="24"/>
        </w:rPr>
        <w:t xml:space="preserve">Target User Segments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00"/>
      </w:tblGrid>
      <w:tr>
        <w:trPr>
          <w:tblHeader/>
        </w:trPr>
        <w:tc>
          <w:tcPr>
            <w:tcW w:type="dxa" w:w="16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Priority</w:t>
            </w:r>
          </w:p>
        </w:tc>
        <w:tc>
          <w:tcPr>
            <w:tcW w:type="dxa" w:w="28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Segment</w:t>
            </w:r>
          </w:p>
        </w:tc>
        <w:tc>
          <w:tcPr>
            <w:tcW w:type="dxa" w:w="49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Rationale</w:t>
            </w:r>
          </w:p>
        </w:tc>
      </w:tr>
      <w:tr>
        <w:tc>
          <w:tcPr>
            <w:tcW w:type="dxa" w:w="16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Primary</w:t>
            </w:r>
          </w:p>
        </w:tc>
        <w:tc>
          <w:tcPr>
            <w:tcW w:type="dxa" w:w="2800"/>
            <w:shd w:fill="FBF8F2" w:val="clear"/>
            <w:tcMar>
              <w:top w:type="dxa" w:w="120"/>
              <w:left w:type="dxa" w:w="150"/>
              <w:bottom w:type="dxa" w:w="120"/>
              <w:right w:type="dxa" w:w="150"/>
            </w:tcMar>
            <w:vAlign w:val="center"/>
          </w:tcPr>
          <w:p>
            <w:r>
              <w:rPr>
                <w:rFonts w:ascii="Calibri" w:cs="Calibri" w:eastAsia="Calibri" w:hAnsi="Calibri"/>
                <w:b/>
                <w:bCs/>
                <w:i w:val="false"/>
                <w:iCs w:val="false"/>
                <w:color w:val="2B2B28"/>
                <w:sz w:val="20"/>
                <w:szCs w:val="20"/>
              </w:rPr>
              <w:t xml:space="preserve">Newly married couples (24–35)</w:t>
            </w:r>
          </w:p>
        </w:tc>
        <w:tc>
          <w:tcPr>
            <w:tcW w:type="dxa" w:w="49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Core user segment; highest motivation to document first-year milestones.</w:t>
            </w:r>
          </w:p>
        </w:tc>
      </w:tr>
      <w:tr>
        <w:tc>
          <w:tcPr>
            <w:tcW w:type="dxa" w:w="16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Secondary</w:t>
            </w:r>
          </w:p>
        </w:tc>
        <w:tc>
          <w:tcPr>
            <w:tcW w:type="dxa" w:w="2800"/>
            <w:shd w:fill="F4EEE2" w:val="clear"/>
            <w:tcMar>
              <w:top w:type="dxa" w:w="120"/>
              <w:left w:type="dxa" w:w="150"/>
              <w:bottom w:type="dxa" w:w="120"/>
              <w:right w:type="dxa" w:w="150"/>
            </w:tcMar>
            <w:vAlign w:val="center"/>
          </w:tcPr>
          <w:p>
            <w:r>
              <w:rPr>
                <w:rFonts w:ascii="Calibri" w:cs="Calibri" w:eastAsia="Calibri" w:hAnsi="Calibri"/>
                <w:b/>
                <w:bCs/>
                <w:i w:val="false"/>
                <w:iCs w:val="false"/>
                <w:color w:val="2B2B28"/>
                <w:sz w:val="20"/>
                <w:szCs w:val="20"/>
              </w:rPr>
              <w:t xml:space="preserve">Engaged couples</w:t>
            </w:r>
          </w:p>
        </w:tc>
        <w:tc>
          <w:tcPr>
            <w:tcW w:type="dxa" w:w="49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Enter during the planning phase, ahead of the wedding becoming the first major passport entry.</w:t>
            </w:r>
          </w:p>
        </w:tc>
      </w:tr>
      <w:tr>
        <w:tc>
          <w:tcPr>
            <w:tcW w:type="dxa" w:w="16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Tertiary</w:t>
            </w:r>
          </w:p>
        </w:tc>
        <w:tc>
          <w:tcPr>
            <w:tcW w:type="dxa" w:w="2800"/>
            <w:shd w:fill="FBF8F2" w:val="clear"/>
            <w:tcMar>
              <w:top w:type="dxa" w:w="120"/>
              <w:left w:type="dxa" w:w="150"/>
              <w:bottom w:type="dxa" w:w="120"/>
              <w:right w:type="dxa" w:w="150"/>
            </w:tcMar>
            <w:vAlign w:val="center"/>
          </w:tcPr>
          <w:p>
            <w:r>
              <w:rPr>
                <w:rFonts w:ascii="Calibri" w:cs="Calibri" w:eastAsia="Calibri" w:hAnsi="Calibri"/>
                <w:b/>
                <w:bCs/>
                <w:i w:val="false"/>
                <w:iCs w:val="false"/>
                <w:color w:val="2B2B28"/>
                <w:sz w:val="20"/>
                <w:szCs w:val="20"/>
              </w:rPr>
              <w:t xml:space="preserve">Young families</w:t>
            </w:r>
          </w:p>
        </w:tc>
        <w:tc>
          <w:tcPr>
            <w:tcW w:type="dxa" w:w="49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Natural expansion path as celebrations extend beyond the couple.</w:t>
            </w:r>
          </w:p>
        </w:tc>
      </w:tr>
    </w:tbl>
    <w:p>
      <w:pPr>
        <w:spacing w:before="200"/>
      </w:pPr>
    </w:p>
    <w:p>
      <w:pPr>
        <w:pStyle w:val="Heading1"/>
        <w:pBdr>
          <w:bottom w:val="single" w:color="B8873F" w:sz="8" w:space="6"/>
        </w:pBdr>
        <w:spacing w:after="200" w:before="480"/>
      </w:pPr>
      <w:r>
        <w:rPr>
          <w:rFonts w:ascii="Georgia" w:cs="Georgia" w:eastAsia="Georgia" w:hAnsi="Georgia"/>
          <w:b/>
          <w:bCs/>
          <w:color w:val="B8873F"/>
          <w:sz w:val="30"/>
          <w:szCs w:val="30"/>
        </w:rPr>
        <w:t xml:space="preserve">05   </w:t>
      </w:r>
      <w:r>
        <w:rPr>
          <w:rFonts w:ascii="Georgia" w:cs="Georgia" w:eastAsia="Georgia" w:hAnsi="Georgia"/>
          <w:b/>
          <w:bCs/>
          <w:color w:val="1B2A4A"/>
          <w:spacing w:val="10"/>
          <w:sz w:val="30"/>
          <w:szCs w:val="30"/>
        </w:rPr>
        <w:t xml:space="preserve">FUNCTIONAL REQUIREMENTS</w:t>
      </w:r>
    </w:p>
    <w:p>
      <w:pPr>
        <w:spacing w:after="160" w:line="300"/>
        <w:jc w:val="both"/>
      </w:pPr>
      <w:r>
        <w:rPr>
          <w:rFonts w:ascii="Calibri" w:cs="Calibri" w:eastAsia="Calibri" w:hAnsi="Calibri"/>
          <w:i w:val="false"/>
          <w:iCs w:val="false"/>
          <w:color w:val="2B2B28"/>
          <w:sz w:val="22"/>
          <w:szCs w:val="22"/>
        </w:rPr>
        <w:t xml:space="preserve">Requirements are grouped by the four product pillars and prioritized using MoSCoW (Must / Should / Could). Every requirement below maps to the architecture defined in the companion System &amp; Technical Design Document — primarily the Celebration Service and AI Service.</w:t>
      </w:r>
    </w:p>
    <w:p>
      <w:pPr>
        <w:pStyle w:val="Heading2"/>
        <w:spacing w:after="120" w:before="280"/>
      </w:pPr>
      <w:r>
        <w:rPr>
          <w:rFonts w:ascii="Georgia" w:cs="Georgia" w:eastAsia="Georgia" w:hAnsi="Georgia"/>
          <w:b/>
          <w:bCs/>
          <w:color w:val="B8873F"/>
          <w:sz w:val="24"/>
          <w:szCs w:val="24"/>
        </w:rPr>
        <w:t xml:space="preserve">5.1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500"/>
        <w:gridCol w:w="1500"/>
      </w:tblGrid>
      <w:tr>
        <w:trPr>
          <w:tblHeader/>
        </w:trPr>
        <w:tc>
          <w:tcPr>
            <w:tcW w:type="dxa" w:w="9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ID</w:t>
            </w:r>
          </w:p>
        </w:tc>
        <w:tc>
          <w:tcPr>
            <w:tcW w:type="dxa" w:w="54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Requirement</w:t>
            </w:r>
          </w:p>
        </w:tc>
        <w:tc>
          <w:tcPr>
            <w:tcW w:type="dxa" w:w="15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Priority</w:t>
            </w:r>
          </w:p>
        </w:tc>
        <w:tc>
          <w:tcPr>
            <w:tcW w:type="dxa" w:w="15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Notes</w:t>
            </w:r>
          </w:p>
        </w:tc>
      </w:tr>
      <w:tr>
        <w:tc>
          <w:tcPr>
            <w:tcW w:type="dxa" w:w="9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PLAN-1</w:t>
            </w:r>
          </w:p>
        </w:tc>
        <w:tc>
          <w:tcPr>
            <w:tcW w:type="dxa" w:w="54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create a joint anniversary/celebration plan with a target date</w:t>
            </w:r>
          </w:p>
        </w:tc>
        <w:tc>
          <w:tcPr>
            <w:tcW w:type="dxa" w:w="1500"/>
            <w:shd w:fill="FBF8F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Core</w:t>
            </w:r>
          </w:p>
        </w:tc>
      </w:tr>
      <w:tr>
        <w:tc>
          <w:tcPr>
            <w:tcW w:type="dxa" w:w="9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PLAN-2</w:t>
            </w:r>
          </w:p>
        </w:tc>
        <w:tc>
          <w:tcPr>
            <w:tcW w:type="dxa" w:w="54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System suggests an AI-generated itinerary based on date, location, and preferences</w:t>
            </w:r>
          </w:p>
        </w:tc>
        <w:tc>
          <w:tcPr>
            <w:tcW w:type="dxa" w:w="1500"/>
            <w:shd w:fill="F4EEE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Uses AI Service</w:t>
            </w:r>
          </w:p>
        </w:tc>
      </w:tr>
      <w:tr>
        <w:tc>
          <w:tcPr>
            <w:tcW w:type="dxa" w:w="9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PLAN-3</w:t>
            </w:r>
          </w:p>
        </w:tc>
        <w:tc>
          <w:tcPr>
            <w:tcW w:type="dxa" w:w="54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browse curated gift ideas relevant to the occasion</w:t>
            </w:r>
          </w:p>
        </w:tc>
        <w:tc>
          <w:tcPr>
            <w:tcW w:type="dxa" w:w="15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Should</w:t>
            </w:r>
          </w:p>
        </w:tc>
        <w:tc>
          <w:tcPr>
            <w:tcW w:type="dxa" w:w="15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w:t>
            </w:r>
          </w:p>
        </w:tc>
      </w:tr>
      <w:tr>
        <w:tc>
          <w:tcPr>
            <w:tcW w:type="dxa" w:w="9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PLAN-4</w:t>
            </w:r>
          </w:p>
        </w:tc>
        <w:tc>
          <w:tcPr>
            <w:tcW w:type="dxa" w:w="54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view hotel suggestions for a planned trip or celebration</w:t>
            </w:r>
          </w:p>
        </w:tc>
        <w:tc>
          <w:tcPr>
            <w:tcW w:type="dxa" w:w="1500"/>
            <w:shd w:fill="F4EEE2" w:val="clear"/>
            <w:tcMar>
              <w:top w:type="dxa" w:w="120"/>
              <w:left w:type="dxa" w:w="150"/>
              <w:bottom w:type="dxa" w:w="120"/>
              <w:right w:type="dxa" w:w="150"/>
            </w:tcMar>
            <w:vAlign w:val="center"/>
          </w:tcPr>
          <w:p>
            <w:r>
              <w:rPr>
                <w:rFonts w:ascii="Calibri" w:cs="Calibri" w:eastAsia="Calibri" w:hAnsi="Calibri"/>
                <w:b/>
                <w:bCs/>
                <w:i w:val="false"/>
                <w:iCs w:val="false"/>
                <w:color w:val="3D6B4F"/>
                <w:sz w:val="20"/>
                <w:szCs w:val="20"/>
              </w:rPr>
              <w:t xml:space="preserve">Could</w:t>
            </w:r>
          </w:p>
        </w:tc>
        <w:tc>
          <w:tcPr>
            <w:tcW w:type="dxa" w:w="15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Future partner integration</w:t>
            </w:r>
          </w:p>
        </w:tc>
      </w:tr>
      <w:tr>
        <w:tc>
          <w:tcPr>
            <w:tcW w:type="dxa" w:w="9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PLAN-5</w:t>
            </w:r>
          </w:p>
        </w:tc>
        <w:tc>
          <w:tcPr>
            <w:tcW w:type="dxa" w:w="54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set and track a budget against planned expenses</w:t>
            </w:r>
          </w:p>
        </w:tc>
        <w:tc>
          <w:tcPr>
            <w:tcW w:type="dxa" w:w="15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Should</w:t>
            </w:r>
          </w:p>
        </w:tc>
        <w:tc>
          <w:tcPr>
            <w:tcW w:type="dxa" w:w="15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w:t>
            </w:r>
          </w:p>
        </w:tc>
      </w:tr>
    </w:tbl>
    <w:p>
      <w:pPr>
        <w:spacing w:before="220"/>
      </w:pPr>
    </w:p>
    <w:p>
      <w:pPr>
        <w:pStyle w:val="Heading2"/>
        <w:spacing w:after="120" w:before="280"/>
      </w:pPr>
      <w:r>
        <w:rPr>
          <w:rFonts w:ascii="Georgia" w:cs="Georgia" w:eastAsia="Georgia" w:hAnsi="Georgia"/>
          <w:b/>
          <w:bCs/>
          <w:color w:val="B8873F"/>
          <w:sz w:val="24"/>
          <w:szCs w:val="24"/>
        </w:rPr>
        <w:t xml:space="preserve">5.2  Celebrate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500"/>
        <w:gridCol w:w="1500"/>
      </w:tblGrid>
      <w:tr>
        <w:trPr>
          <w:tblHeader/>
        </w:trPr>
        <w:tc>
          <w:tcPr>
            <w:tcW w:type="dxa" w:w="9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ID</w:t>
            </w:r>
          </w:p>
        </w:tc>
        <w:tc>
          <w:tcPr>
            <w:tcW w:type="dxa" w:w="54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Requirement</w:t>
            </w:r>
          </w:p>
        </w:tc>
        <w:tc>
          <w:tcPr>
            <w:tcW w:type="dxa" w:w="15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Priority</w:t>
            </w:r>
          </w:p>
        </w:tc>
        <w:tc>
          <w:tcPr>
            <w:tcW w:type="dxa" w:w="15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Notes</w:t>
            </w:r>
          </w:p>
        </w:tc>
      </w:tr>
      <w:tr>
        <w:tc>
          <w:tcPr>
            <w:tcW w:type="dxa" w:w="9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CEL-1</w:t>
            </w:r>
          </w:p>
        </w:tc>
        <w:tc>
          <w:tcPr>
            <w:tcW w:type="dxa" w:w="54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create a live album that updates in real time during an event</w:t>
            </w:r>
          </w:p>
        </w:tc>
        <w:tc>
          <w:tcPr>
            <w:tcW w:type="dxa" w:w="1500"/>
            <w:shd w:fill="FBF8F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Core</w:t>
            </w:r>
          </w:p>
        </w:tc>
      </w:tr>
      <w:tr>
        <w:tc>
          <w:tcPr>
            <w:tcW w:type="dxa" w:w="9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CEL-2</w:t>
            </w:r>
          </w:p>
        </w:tc>
        <w:tc>
          <w:tcPr>
            <w:tcW w:type="dxa" w:w="54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System displays a countdown to the next tracked milestone</w:t>
            </w:r>
          </w:p>
        </w:tc>
        <w:tc>
          <w:tcPr>
            <w:tcW w:type="dxa" w:w="1500"/>
            <w:shd w:fill="F4EEE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Core</w:t>
            </w:r>
          </w:p>
        </w:tc>
      </w:tr>
      <w:tr>
        <w:tc>
          <w:tcPr>
            <w:tcW w:type="dxa" w:w="9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CEL-3</w:t>
            </w:r>
          </w:p>
        </w:tc>
        <w:tc>
          <w:tcPr>
            <w:tcW w:type="dxa" w:w="54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Family and friends can submit written wishes tied to an occasion</w:t>
            </w:r>
          </w:p>
        </w:tc>
        <w:tc>
          <w:tcPr>
            <w:tcW w:type="dxa" w:w="15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Should</w:t>
            </w:r>
          </w:p>
        </w:tc>
        <w:tc>
          <w:tcPr>
            <w:tcW w:type="dxa" w:w="15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Requires invite links</w:t>
            </w:r>
          </w:p>
        </w:tc>
      </w:tr>
      <w:tr>
        <w:tc>
          <w:tcPr>
            <w:tcW w:type="dxa" w:w="9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CEL-4</w:t>
            </w:r>
          </w:p>
        </w:tc>
        <w:tc>
          <w:tcPr>
            <w:tcW w:type="dxa" w:w="54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send digital invitations for a celebration</w:t>
            </w:r>
          </w:p>
        </w:tc>
        <w:tc>
          <w:tcPr>
            <w:tcW w:type="dxa" w:w="15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Should</w:t>
            </w:r>
          </w:p>
        </w:tc>
        <w:tc>
          <w:tcPr>
            <w:tcW w:type="dxa" w:w="15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w:t>
            </w:r>
          </w:p>
        </w:tc>
      </w:tr>
    </w:tbl>
    <w:p>
      <w:pPr>
        <w:spacing w:before="220"/>
      </w:pPr>
    </w:p>
    <w:p>
      <w:pPr>
        <w:pStyle w:val="Heading2"/>
        <w:spacing w:after="120" w:before="280"/>
      </w:pPr>
      <w:r>
        <w:rPr>
          <w:rFonts w:ascii="Georgia" w:cs="Georgia" w:eastAsia="Georgia" w:hAnsi="Georgia"/>
          <w:b/>
          <w:bCs/>
          <w:color w:val="B8873F"/>
          <w:sz w:val="24"/>
          <w:szCs w:val="24"/>
        </w:rPr>
        <w:t xml:space="preserve">5.3  Preserve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500"/>
        <w:gridCol w:w="1500"/>
      </w:tblGrid>
      <w:tr>
        <w:trPr>
          <w:tblHeader/>
        </w:trPr>
        <w:tc>
          <w:tcPr>
            <w:tcW w:type="dxa" w:w="9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ID</w:t>
            </w:r>
          </w:p>
        </w:tc>
        <w:tc>
          <w:tcPr>
            <w:tcW w:type="dxa" w:w="54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Requirement</w:t>
            </w:r>
          </w:p>
        </w:tc>
        <w:tc>
          <w:tcPr>
            <w:tcW w:type="dxa" w:w="15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Priority</w:t>
            </w:r>
          </w:p>
        </w:tc>
        <w:tc>
          <w:tcPr>
            <w:tcW w:type="dxa" w:w="15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Notes</w:t>
            </w:r>
          </w:p>
        </w:tc>
      </w:tr>
      <w:tr>
        <w:tc>
          <w:tcPr>
            <w:tcW w:type="dxa" w:w="9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PRES-1</w:t>
            </w:r>
          </w:p>
        </w:tc>
        <w:tc>
          <w:tcPr>
            <w:tcW w:type="dxa" w:w="54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upload and organize photos and videos by milestone/chapter</w:t>
            </w:r>
          </w:p>
        </w:tc>
        <w:tc>
          <w:tcPr>
            <w:tcW w:type="dxa" w:w="1500"/>
            <w:shd w:fill="FBF8F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Core</w:t>
            </w:r>
          </w:p>
        </w:tc>
      </w:tr>
      <w:tr>
        <w:tc>
          <w:tcPr>
            <w:tcW w:type="dxa" w:w="9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PRES-2</w:t>
            </w:r>
          </w:p>
        </w:tc>
        <w:tc>
          <w:tcPr>
            <w:tcW w:type="dxa" w:w="54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attach text notes and voice messages to an entry</w:t>
            </w:r>
          </w:p>
        </w:tc>
        <w:tc>
          <w:tcPr>
            <w:tcW w:type="dxa" w:w="1500"/>
            <w:shd w:fill="F4EEE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Core</w:t>
            </w:r>
          </w:p>
        </w:tc>
      </w:tr>
      <w:tr>
        <w:tc>
          <w:tcPr>
            <w:tcW w:type="dxa" w:w="9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PRES-3</w:t>
            </w:r>
          </w:p>
        </w:tc>
        <w:tc>
          <w:tcPr>
            <w:tcW w:type="dxa" w:w="54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System auto-tags entries with location and weather-on-the-day where available</w:t>
            </w:r>
          </w:p>
        </w:tc>
        <w:tc>
          <w:tcPr>
            <w:tcW w:type="dxa" w:w="15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Should</w:t>
            </w:r>
          </w:p>
        </w:tc>
        <w:tc>
          <w:tcPr>
            <w:tcW w:type="dxa" w:w="15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Third-party weather/geo API</w:t>
            </w:r>
          </w:p>
        </w:tc>
      </w:tr>
      <w:tr>
        <w:tc>
          <w:tcPr>
            <w:tcW w:type="dxa" w:w="9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PRES-4</w:t>
            </w:r>
          </w:p>
        </w:tc>
        <w:tc>
          <w:tcPr>
            <w:tcW w:type="dxa" w:w="54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log expenses associated with a celebration</w:t>
            </w:r>
          </w:p>
        </w:tc>
        <w:tc>
          <w:tcPr>
            <w:tcW w:type="dxa" w:w="15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Should</w:t>
            </w:r>
          </w:p>
        </w:tc>
        <w:tc>
          <w:tcPr>
            <w:tcW w:type="dxa" w:w="15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w:t>
            </w:r>
          </w:p>
        </w:tc>
      </w:tr>
    </w:tbl>
    <w:p>
      <w:pPr>
        <w:spacing w:before="220"/>
      </w:pPr>
    </w:p>
    <w:p>
      <w:pPr>
        <w:pStyle w:val="Heading2"/>
        <w:spacing w:after="120" w:before="280"/>
      </w:pPr>
      <w:r>
        <w:rPr>
          <w:rFonts w:ascii="Georgia" w:cs="Georgia" w:eastAsia="Georgia" w:hAnsi="Georgia"/>
          <w:b/>
          <w:bCs/>
          <w:color w:val="B8873F"/>
          <w:sz w:val="24"/>
          <w:szCs w:val="24"/>
        </w:rPr>
        <w:t xml:space="preserve">5.4  Relive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500"/>
        <w:gridCol w:w="1500"/>
      </w:tblGrid>
      <w:tr>
        <w:trPr>
          <w:tblHeader/>
        </w:trPr>
        <w:tc>
          <w:tcPr>
            <w:tcW w:type="dxa" w:w="9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ID</w:t>
            </w:r>
          </w:p>
        </w:tc>
        <w:tc>
          <w:tcPr>
            <w:tcW w:type="dxa" w:w="54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Requirement</w:t>
            </w:r>
          </w:p>
        </w:tc>
        <w:tc>
          <w:tcPr>
            <w:tcW w:type="dxa" w:w="15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Priority</w:t>
            </w:r>
          </w:p>
        </w:tc>
        <w:tc>
          <w:tcPr>
            <w:tcW w:type="dxa" w:w="15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Notes</w:t>
            </w:r>
          </w:p>
        </w:tc>
      </w:tr>
      <w:tr>
        <w:tc>
          <w:tcPr>
            <w:tcW w:type="dxa" w:w="9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REL-1</w:t>
            </w:r>
          </w:p>
        </w:tc>
        <w:tc>
          <w:tcPr>
            <w:tcW w:type="dxa" w:w="54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System generates an AI narrative recap of a milestone or chapter</w:t>
            </w:r>
          </w:p>
        </w:tc>
        <w:tc>
          <w:tcPr>
            <w:tcW w:type="dxa" w:w="1500"/>
            <w:shd w:fill="FBF8F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Uses AI Service</w:t>
            </w:r>
          </w:p>
        </w:tc>
      </w:tr>
      <w:tr>
        <w:tc>
          <w:tcPr>
            <w:tcW w:type="dxa" w:w="9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REL-2</w:t>
            </w:r>
          </w:p>
        </w:tc>
        <w:tc>
          <w:tcPr>
            <w:tcW w:type="dxa" w:w="54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System resurfaces "on this day" memories from prior years</w:t>
            </w:r>
          </w:p>
        </w:tc>
        <w:tc>
          <w:tcPr>
            <w:tcW w:type="dxa" w:w="1500"/>
            <w:shd w:fill="F4EEE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Core retention feature</w:t>
            </w:r>
          </w:p>
        </w:tc>
      </w:tr>
      <w:tr>
        <w:tc>
          <w:tcPr>
            <w:tcW w:type="dxa" w:w="9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REL-3</w:t>
            </w:r>
          </w:p>
        </w:tc>
        <w:tc>
          <w:tcPr>
            <w:tcW w:type="dxa" w:w="54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order a printed Passport Book compiled from their entries</w:t>
            </w:r>
          </w:p>
        </w:tc>
        <w:tc>
          <w:tcPr>
            <w:tcW w:type="dxa" w:w="1500"/>
            <w:shd w:fill="FBF8F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Primary monetization path</w:t>
            </w:r>
          </w:p>
        </w:tc>
      </w:tr>
      <w:tr>
        <w:tc>
          <w:tcPr>
            <w:tcW w:type="dxa" w:w="9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REL-4</w:t>
            </w:r>
          </w:p>
        </w:tc>
        <w:tc>
          <w:tcPr>
            <w:tcW w:type="dxa" w:w="54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System generates an anniversary recap reel from stored media</w:t>
            </w:r>
          </w:p>
        </w:tc>
        <w:tc>
          <w:tcPr>
            <w:tcW w:type="dxa" w:w="15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Should</w:t>
            </w:r>
          </w:p>
        </w:tc>
        <w:tc>
          <w:tcPr>
            <w:tcW w:type="dxa" w:w="15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w:t>
            </w:r>
          </w:p>
        </w:tc>
      </w:tr>
    </w:tbl>
    <w:p>
      <w:pPr>
        <w:spacing w:before="200"/>
      </w:pPr>
    </w:p>
    <w:p>
      <w:pPr>
        <w:pStyle w:val="Heading1"/>
        <w:pBdr>
          <w:bottom w:val="single" w:color="B8873F" w:sz="8" w:space="6"/>
        </w:pBdr>
        <w:spacing w:after="200" w:before="480"/>
      </w:pPr>
      <w:r>
        <w:rPr>
          <w:rFonts w:ascii="Georgia" w:cs="Georgia" w:eastAsia="Georgia" w:hAnsi="Georgia"/>
          <w:b/>
          <w:bCs/>
          <w:color w:val="B8873F"/>
          <w:sz w:val="30"/>
          <w:szCs w:val="30"/>
        </w:rPr>
        <w:t xml:space="preserve">06   </w:t>
      </w:r>
      <w:r>
        <w:rPr>
          <w:rFonts w:ascii="Georgia" w:cs="Georgia" w:eastAsia="Georgia" w:hAnsi="Georgia"/>
          <w:b/>
          <w:bCs/>
          <w:color w:val="1B2A4A"/>
          <w:spacing w:val="10"/>
          <w:sz w:val="30"/>
          <w:szCs w:val="30"/>
        </w:rPr>
        <w:t xml:space="preserve">ACCOUNT, ACCESS &amp; PRIVACY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1500"/>
        <w:gridCol w:w="1500"/>
      </w:tblGrid>
      <w:tr>
        <w:trPr>
          <w:tblHeader/>
        </w:trPr>
        <w:tc>
          <w:tcPr>
            <w:tcW w:type="dxa" w:w="9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ID</w:t>
            </w:r>
          </w:p>
        </w:tc>
        <w:tc>
          <w:tcPr>
            <w:tcW w:type="dxa" w:w="54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Requirement</w:t>
            </w:r>
          </w:p>
        </w:tc>
        <w:tc>
          <w:tcPr>
            <w:tcW w:type="dxa" w:w="15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Priority</w:t>
            </w:r>
          </w:p>
        </w:tc>
        <w:tc>
          <w:tcPr>
            <w:tcW w:type="dxa" w:w="15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Notes</w:t>
            </w:r>
          </w:p>
        </w:tc>
      </w:tr>
      <w:tr>
        <w:tc>
          <w:tcPr>
            <w:tcW w:type="dxa" w:w="9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ACC-1</w:t>
            </w:r>
          </w:p>
        </w:tc>
        <w:tc>
          <w:tcPr>
            <w:tcW w:type="dxa" w:w="54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register and log in via email/password or supported OAuth providers</w:t>
            </w:r>
          </w:p>
        </w:tc>
        <w:tc>
          <w:tcPr>
            <w:tcW w:type="dxa" w:w="1500"/>
            <w:shd w:fill="FBF8F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Authentication Service</w:t>
            </w:r>
          </w:p>
        </w:tc>
      </w:tr>
      <w:tr>
        <w:tc>
          <w:tcPr>
            <w:tcW w:type="dxa" w:w="9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ACC-2</w:t>
            </w:r>
          </w:p>
        </w:tc>
        <w:tc>
          <w:tcPr>
            <w:tcW w:type="dxa" w:w="54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Two partners can link their individual accounts into a shared couple passport</w:t>
            </w:r>
          </w:p>
        </w:tc>
        <w:tc>
          <w:tcPr>
            <w:tcW w:type="dxa" w:w="1500"/>
            <w:shd w:fill="F4EEE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Core</w:t>
            </w:r>
          </w:p>
        </w:tc>
      </w:tr>
      <w:tr>
        <w:tc>
          <w:tcPr>
            <w:tcW w:type="dxa" w:w="9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ACC-3</w:t>
            </w:r>
          </w:p>
        </w:tc>
        <w:tc>
          <w:tcPr>
            <w:tcW w:type="dxa" w:w="54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control what is shared with their partner vs. kept private</w:t>
            </w:r>
          </w:p>
        </w:tc>
        <w:tc>
          <w:tcPr>
            <w:tcW w:type="dxa" w:w="1500"/>
            <w:shd w:fill="FBF8F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Privacy First value</w:t>
            </w:r>
          </w:p>
        </w:tc>
      </w:tr>
      <w:tr>
        <w:tc>
          <w:tcPr>
            <w:tcW w:type="dxa" w:w="9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ACC-4</w:t>
            </w:r>
          </w:p>
        </w:tc>
        <w:tc>
          <w:tcPr>
            <w:tcW w:type="dxa" w:w="54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export or delete their data on request</w:t>
            </w:r>
          </w:p>
        </w:tc>
        <w:tc>
          <w:tcPr>
            <w:tcW w:type="dxa" w:w="1500"/>
            <w:shd w:fill="F4EEE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Compliance</w:t>
            </w:r>
          </w:p>
        </w:tc>
      </w:tr>
      <w:tr>
        <w:tc>
          <w:tcPr>
            <w:tcW w:type="dxa" w:w="9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ACC-5</w:t>
            </w:r>
          </w:p>
        </w:tc>
        <w:tc>
          <w:tcPr>
            <w:tcW w:type="dxa" w:w="54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System supports session management and secure token refresh</w:t>
            </w:r>
          </w:p>
        </w:tc>
        <w:tc>
          <w:tcPr>
            <w:tcW w:type="dxa" w:w="1500"/>
            <w:shd w:fill="FBF8F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Must</w:t>
            </w:r>
          </w:p>
        </w:tc>
        <w:tc>
          <w:tcPr>
            <w:tcW w:type="dxa" w:w="15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18"/>
                <w:szCs w:val="18"/>
              </w:rPr>
              <w:t xml:space="preserve">Authentication Service</w:t>
            </w:r>
          </w:p>
        </w:tc>
      </w:tr>
    </w:tbl>
    <w:p>
      <w:pPr>
        <w:spacing w:before="200"/>
      </w:pPr>
    </w:p>
    <w:p>
      <w:pPr>
        <w:spacing w:after="160" w:line="300"/>
        <w:jc w:val="both"/>
      </w:pPr>
      <w:r>
        <w:rPr>
          <w:rFonts w:ascii="Calibri" w:cs="Calibri" w:eastAsia="Calibri" w:hAnsi="Calibri"/>
          <w:i w:val="false"/>
          <w:iCs w:val="false"/>
          <w:color w:val="2B2B28"/>
          <w:sz w:val="22"/>
          <w:szCs w:val="22"/>
        </w:rPr>
        <w:t xml:space="preserve">Privacy is a core value, not a settings-page afterthought: sharing between partners and with invited family/friends must always be an explicit, deliberate action rather than a default. This requirement directly shapes the Authentication Service and data access rules described in the System &amp; Technical Design Document.</w:t>
      </w:r>
    </w:p>
    <w:p>
      <w:pPr>
        <w:pStyle w:val="Heading1"/>
        <w:pBdr>
          <w:bottom w:val="single" w:color="B8873F" w:sz="8" w:space="6"/>
        </w:pBdr>
        <w:spacing w:after="200" w:before="480"/>
      </w:pPr>
      <w:r>
        <w:rPr>
          <w:rFonts w:ascii="Georgia" w:cs="Georgia" w:eastAsia="Georgia" w:hAnsi="Georgia"/>
          <w:b/>
          <w:bCs/>
          <w:color w:val="B8873F"/>
          <w:sz w:val="30"/>
          <w:szCs w:val="30"/>
        </w:rPr>
        <w:t xml:space="preserve">07   </w:t>
      </w:r>
      <w:r>
        <w:rPr>
          <w:rFonts w:ascii="Georgia" w:cs="Georgia" w:eastAsia="Georgia" w:hAnsi="Georgia"/>
          <w:b/>
          <w:bCs/>
          <w:color w:val="1B2A4A"/>
          <w:spacing w:val="10"/>
          <w:sz w:val="30"/>
          <w:szCs w:val="30"/>
        </w:rPr>
        <w:t xml:space="preserve">NON-FUNCTIONAL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5600"/>
        <w:gridCol w:w="1900"/>
      </w:tblGrid>
      <w:tr>
        <w:trPr>
          <w:tblHeader/>
        </w:trPr>
        <w:tc>
          <w:tcPr>
            <w:tcW w:type="dxa" w:w="18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Category</w:t>
            </w:r>
          </w:p>
        </w:tc>
        <w:tc>
          <w:tcPr>
            <w:tcW w:type="dxa" w:w="56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Requirement</w:t>
            </w:r>
          </w:p>
        </w:tc>
        <w:tc>
          <w:tcPr>
            <w:tcW w:type="dxa" w:w="19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Supporting Architecture</w:t>
            </w:r>
          </w:p>
        </w:tc>
      </w:tr>
      <w:tr>
        <w:tc>
          <w:tcPr>
            <w:tcW w:type="dxa" w:w="18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Performance</w:t>
            </w:r>
          </w:p>
        </w:tc>
        <w:tc>
          <w:tcPr>
            <w:tcW w:type="dxa" w:w="56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Pages and core interactions (album view, milestone view) load in under 2 seconds on a standard broadband/4G connection.</w:t>
            </w:r>
          </w:p>
        </w:tc>
        <w:tc>
          <w:tcPr>
            <w:tcW w:type="dxa" w:w="1900"/>
            <w:shd w:fill="FBF8F2" w:val="clear"/>
            <w:tcMar>
              <w:top w:type="dxa" w:w="120"/>
              <w:left w:type="dxa" w:w="150"/>
              <w:bottom w:type="dxa" w:w="120"/>
              <w:right w:type="dxa" w:w="150"/>
            </w:tcMar>
            <w:vAlign w:val="center"/>
          </w:tcPr>
          <w:p>
            <w:r>
              <w:rPr>
                <w:rFonts w:ascii="Calibri" w:cs="Calibri" w:eastAsia="Calibri" w:hAnsi="Calibri"/>
                <w:b w:val="false"/>
                <w:bCs w:val="false"/>
                <w:i/>
                <w:iCs/>
                <w:color w:val="2B2B28"/>
                <w:sz w:val="18"/>
                <w:szCs w:val="18"/>
              </w:rPr>
              <w:t xml:space="preserve">Cloudflare CDN + Redis caching</w:t>
            </w:r>
          </w:p>
        </w:tc>
      </w:tr>
      <w:tr>
        <w:tc>
          <w:tcPr>
            <w:tcW w:type="dxa" w:w="18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Availability</w:t>
            </w:r>
          </w:p>
        </w:tc>
        <w:tc>
          <w:tcPr>
            <w:tcW w:type="dxa" w:w="56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Platform targets 99.5% uptime for v1.0.</w:t>
            </w:r>
          </w:p>
        </w:tc>
        <w:tc>
          <w:tcPr>
            <w:tcW w:type="dxa" w:w="1900"/>
            <w:shd w:fill="F4EEE2" w:val="clear"/>
            <w:tcMar>
              <w:top w:type="dxa" w:w="120"/>
              <w:left w:type="dxa" w:w="150"/>
              <w:bottom w:type="dxa" w:w="120"/>
              <w:right w:type="dxa" w:w="150"/>
            </w:tcMar>
            <w:vAlign w:val="center"/>
          </w:tcPr>
          <w:p>
            <w:r>
              <w:rPr>
                <w:rFonts w:ascii="Calibri" w:cs="Calibri" w:eastAsia="Calibri" w:hAnsi="Calibri"/>
                <w:b w:val="false"/>
                <w:bCs w:val="false"/>
                <w:i/>
                <w:iCs/>
                <w:color w:val="2B2B28"/>
                <w:sz w:val="18"/>
                <w:szCs w:val="18"/>
              </w:rPr>
              <w:t xml:space="preserve">ASP.NET Core Web API, cloud provider SLA</w:t>
            </w:r>
          </w:p>
        </w:tc>
      </w:tr>
      <w:tr>
        <w:tc>
          <w:tcPr>
            <w:tcW w:type="dxa" w:w="18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Scalability</w:t>
            </w:r>
          </w:p>
        </w:tc>
        <w:tc>
          <w:tcPr>
            <w:tcW w:type="dxa" w:w="56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Architecture supports horizontal scaling of individual services independently as user load grows.</w:t>
            </w:r>
          </w:p>
        </w:tc>
        <w:tc>
          <w:tcPr>
            <w:tcW w:type="dxa" w:w="1900"/>
            <w:shd w:fill="FBF8F2" w:val="clear"/>
            <w:tcMar>
              <w:top w:type="dxa" w:w="120"/>
              <w:left w:type="dxa" w:w="150"/>
              <w:bottom w:type="dxa" w:w="120"/>
              <w:right w:type="dxa" w:w="150"/>
            </w:tcMar>
            <w:vAlign w:val="center"/>
          </w:tcPr>
          <w:p>
            <w:r>
              <w:rPr>
                <w:rFonts w:ascii="Calibri" w:cs="Calibri" w:eastAsia="Calibri" w:hAnsi="Calibri"/>
                <w:b w:val="false"/>
                <w:bCs w:val="false"/>
                <w:i/>
                <w:iCs/>
                <w:color w:val="2B2B28"/>
                <w:sz w:val="18"/>
                <w:szCs w:val="18"/>
              </w:rPr>
              <w:t xml:space="preserve">Microservice split: Auth / Celebration / AI</w:t>
            </w:r>
          </w:p>
        </w:tc>
      </w:tr>
      <w:tr>
        <w:tc>
          <w:tcPr>
            <w:tcW w:type="dxa" w:w="18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Security</w:t>
            </w:r>
          </w:p>
        </w:tc>
        <w:tc>
          <w:tcPr>
            <w:tcW w:type="dxa" w:w="56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All data encrypted in transit (TLS) and at rest; authentication tokens short-lived with refresh rotation.</w:t>
            </w:r>
          </w:p>
        </w:tc>
        <w:tc>
          <w:tcPr>
            <w:tcW w:type="dxa" w:w="1900"/>
            <w:shd w:fill="F4EEE2" w:val="clear"/>
            <w:tcMar>
              <w:top w:type="dxa" w:w="120"/>
              <w:left w:type="dxa" w:w="150"/>
              <w:bottom w:type="dxa" w:w="120"/>
              <w:right w:type="dxa" w:w="150"/>
            </w:tcMar>
            <w:vAlign w:val="center"/>
          </w:tcPr>
          <w:p>
            <w:r>
              <w:rPr>
                <w:rFonts w:ascii="Calibri" w:cs="Calibri" w:eastAsia="Calibri" w:hAnsi="Calibri"/>
                <w:b w:val="false"/>
                <w:bCs w:val="false"/>
                <w:i/>
                <w:iCs/>
                <w:color w:val="2B2B28"/>
                <w:sz w:val="18"/>
                <w:szCs w:val="18"/>
              </w:rPr>
              <w:t xml:space="preserve">Cloudflare, Authentication Service, Blob Storage</w:t>
            </w:r>
          </w:p>
        </w:tc>
      </w:tr>
      <w:tr>
        <w:tc>
          <w:tcPr>
            <w:tcW w:type="dxa" w:w="18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Privacy</w:t>
            </w:r>
          </w:p>
        </w:tc>
        <w:tc>
          <w:tcPr>
            <w:tcW w:type="dxa" w:w="56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Personal media and notes are private by default; no data is used for third-party advertising.</w:t>
            </w:r>
          </w:p>
        </w:tc>
        <w:tc>
          <w:tcPr>
            <w:tcW w:type="dxa" w:w="1900"/>
            <w:shd w:fill="FBF8F2" w:val="clear"/>
            <w:tcMar>
              <w:top w:type="dxa" w:w="120"/>
              <w:left w:type="dxa" w:w="150"/>
              <w:bottom w:type="dxa" w:w="120"/>
              <w:right w:type="dxa" w:w="150"/>
            </w:tcMar>
            <w:vAlign w:val="center"/>
          </w:tcPr>
          <w:p>
            <w:r>
              <w:rPr>
                <w:rFonts w:ascii="Calibri" w:cs="Calibri" w:eastAsia="Calibri" w:hAnsi="Calibri"/>
                <w:b w:val="false"/>
                <w:bCs w:val="false"/>
                <w:i/>
                <w:iCs/>
                <w:color w:val="2B2B28"/>
                <w:sz w:val="18"/>
                <w:szCs w:val="18"/>
              </w:rPr>
              <w:t xml:space="preserve">Core Value: Privacy First</w:t>
            </w:r>
          </w:p>
        </w:tc>
      </w:tr>
      <w:tr>
        <w:tc>
          <w:tcPr>
            <w:tcW w:type="dxa" w:w="18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Data Durability</w:t>
            </w:r>
          </w:p>
        </w:tc>
        <w:tc>
          <w:tcPr>
            <w:tcW w:type="dxa" w:w="56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Media (photos, videos, voice notes) stored with redundant backups; no data loss on service failure.</w:t>
            </w:r>
          </w:p>
        </w:tc>
        <w:tc>
          <w:tcPr>
            <w:tcW w:type="dxa" w:w="1900"/>
            <w:shd w:fill="F4EEE2" w:val="clear"/>
            <w:tcMar>
              <w:top w:type="dxa" w:w="120"/>
              <w:left w:type="dxa" w:w="150"/>
              <w:bottom w:type="dxa" w:w="120"/>
              <w:right w:type="dxa" w:w="150"/>
            </w:tcMar>
            <w:vAlign w:val="center"/>
          </w:tcPr>
          <w:p>
            <w:r>
              <w:rPr>
                <w:rFonts w:ascii="Calibri" w:cs="Calibri" w:eastAsia="Calibri" w:hAnsi="Calibri"/>
                <w:b w:val="false"/>
                <w:bCs w:val="false"/>
                <w:i/>
                <w:iCs/>
                <w:color w:val="2B2B28"/>
                <w:sz w:val="18"/>
                <w:szCs w:val="18"/>
              </w:rPr>
              <w:t xml:space="preserve">Blob Storage</w:t>
            </w:r>
          </w:p>
        </w:tc>
      </w:tr>
      <w:tr>
        <w:tc>
          <w:tcPr>
            <w:tcW w:type="dxa" w:w="1800"/>
            <w:shd w:fill="FBF8F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Portability</w:t>
            </w:r>
          </w:p>
        </w:tc>
        <w:tc>
          <w:tcPr>
            <w:tcW w:type="dxa" w:w="56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Users can export their full passport (data + media) at any time.</w:t>
            </w:r>
          </w:p>
        </w:tc>
        <w:tc>
          <w:tcPr>
            <w:tcW w:type="dxa" w:w="1900"/>
            <w:shd w:fill="FBF8F2" w:val="clear"/>
            <w:tcMar>
              <w:top w:type="dxa" w:w="120"/>
              <w:left w:type="dxa" w:w="150"/>
              <w:bottom w:type="dxa" w:w="120"/>
              <w:right w:type="dxa" w:w="150"/>
            </w:tcMar>
            <w:vAlign w:val="center"/>
          </w:tcPr>
          <w:p>
            <w:r>
              <w:rPr>
                <w:rFonts w:ascii="Calibri" w:cs="Calibri" w:eastAsia="Calibri" w:hAnsi="Calibri"/>
                <w:b w:val="false"/>
                <w:bCs w:val="false"/>
                <w:i/>
                <w:iCs/>
                <w:color w:val="2B2B28"/>
                <w:sz w:val="18"/>
                <w:szCs w:val="18"/>
              </w:rPr>
              <w:t xml:space="preserve">Celebration Service</w:t>
            </w:r>
          </w:p>
        </w:tc>
      </w:tr>
      <w:tr>
        <w:tc>
          <w:tcPr>
            <w:tcW w:type="dxa" w:w="1800"/>
            <w:shd w:fill="F4EEE2" w:val="clear"/>
            <w:tcMar>
              <w:top w:type="dxa" w:w="120"/>
              <w:left w:type="dxa" w:w="150"/>
              <w:bottom w:type="dxa" w:w="120"/>
              <w:right w:type="dxa" w:w="150"/>
            </w:tcMar>
            <w:vAlign w:val="center"/>
          </w:tcPr>
          <w:p>
            <w:r>
              <w:rPr>
                <w:rFonts w:ascii="Calibri" w:cs="Calibri" w:eastAsia="Calibri" w:hAnsi="Calibri"/>
                <w:b/>
                <w:bCs/>
                <w:i w:val="false"/>
                <w:iCs w:val="false"/>
                <w:color w:val="B8873F"/>
                <w:sz w:val="20"/>
                <w:szCs w:val="20"/>
              </w:rPr>
              <w:t xml:space="preserve">Usability</w:t>
            </w:r>
          </w:p>
        </w:tc>
        <w:tc>
          <w:tcPr>
            <w:tcW w:type="dxa" w:w="56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Core flows (add memory, view countdown, view album) achievable within 3 taps/clicks from home.</w:t>
            </w:r>
          </w:p>
        </w:tc>
        <w:tc>
          <w:tcPr>
            <w:tcW w:type="dxa" w:w="1900"/>
            <w:shd w:fill="F4EEE2" w:val="clear"/>
            <w:tcMar>
              <w:top w:type="dxa" w:w="120"/>
              <w:left w:type="dxa" w:w="150"/>
              <w:bottom w:type="dxa" w:w="120"/>
              <w:right w:type="dxa" w:w="150"/>
            </w:tcMar>
            <w:vAlign w:val="center"/>
          </w:tcPr>
          <w:p>
            <w:r>
              <w:rPr>
                <w:rFonts w:ascii="Calibri" w:cs="Calibri" w:eastAsia="Calibri" w:hAnsi="Calibri"/>
                <w:b w:val="false"/>
                <w:bCs w:val="false"/>
                <w:i/>
                <w:iCs/>
                <w:color w:val="2B2B28"/>
                <w:sz w:val="18"/>
                <w:szCs w:val="18"/>
              </w:rPr>
              <w:t xml:space="preserve">Product design standard</w:t>
            </w:r>
          </w:p>
        </w:tc>
      </w:tr>
    </w:tbl>
    <w:p>
      <w:pPr>
        <w:spacing w:before="200"/>
      </w:pPr>
    </w:p>
    <w:p>
      <w:pPr>
        <w:pStyle w:val="Heading1"/>
        <w:pBdr>
          <w:bottom w:val="single" w:color="B8873F" w:sz="8" w:space="6"/>
        </w:pBdr>
        <w:spacing w:after="200" w:before="480"/>
      </w:pPr>
      <w:r>
        <w:rPr>
          <w:rFonts w:ascii="Georgia" w:cs="Georgia" w:eastAsia="Georgia" w:hAnsi="Georgia"/>
          <w:b/>
          <w:bCs/>
          <w:color w:val="B8873F"/>
          <w:sz w:val="30"/>
          <w:szCs w:val="30"/>
        </w:rPr>
        <w:t xml:space="preserve">08   </w:t>
      </w:r>
      <w:r>
        <w:rPr>
          <w:rFonts w:ascii="Georgia" w:cs="Georgia" w:eastAsia="Georgia" w:hAnsi="Georgia"/>
          <w:b/>
          <w:bCs/>
          <w:color w:val="1B2A4A"/>
          <w:spacing w:val="10"/>
          <w:sz w:val="30"/>
          <w:szCs w:val="30"/>
        </w:rPr>
        <w:t xml:space="preserve">SUCCESS METRICS</w:t>
      </w:r>
    </w:p>
    <w:p>
      <w:pPr>
        <w:pStyle w:val="Heading2"/>
        <w:spacing w:after="120" w:before="280"/>
      </w:pPr>
      <w:r>
        <w:rPr>
          <w:rFonts w:ascii="Georgia" w:cs="Georgia" w:eastAsia="Georgia" w:hAnsi="Georgia"/>
          <w:b/>
          <w:bCs/>
          <w:color w:val="B8873F"/>
          <w:sz w:val="24"/>
          <w:szCs w:val="24"/>
        </w:rPr>
        <w:t xml:space="preserve">North Star Metric</w:t>
      </w:r>
    </w:p>
    <w:p>
      <w:pPr>
        <w:pBdr>
          <w:left w:val="single" w:color="B8873F" w:sz="24" w:space="14"/>
        </w:pBdr>
        <w:spacing w:after="260" w:before="160"/>
        <w:ind w:left="500" w:right="500"/>
      </w:pPr>
      <w:r>
        <w:rPr>
          <w:rFonts w:ascii="Georgia" w:cs="Georgia" w:eastAsia="Georgia" w:hAnsi="Georgia"/>
          <w:i/>
          <w:iCs/>
          <w:color w:val="10192E"/>
          <w:sz w:val="24"/>
          <w:szCs w:val="24"/>
        </w:rPr>
        <w:t xml:space="preserve">Meaningful Memories Created per Active User</w:t>
      </w:r>
    </w:p>
    <w:p>
      <w:pPr>
        <w:spacing w:after="160" w:line="300"/>
        <w:jc w:val="both"/>
      </w:pPr>
      <w:r>
        <w:rPr>
          <w:rFonts w:ascii="Calibri" w:cs="Calibri" w:eastAsia="Calibri" w:hAnsi="Calibri"/>
          <w:i w:val="false"/>
          <w:iCs w:val="false"/>
          <w:color w:val="2B2B28"/>
          <w:sz w:val="22"/>
          <w:szCs w:val="22"/>
        </w:rPr>
        <w:t xml:space="preserve">This metric is chosen deliberately over vanity measures such as daily active users or session length, tying growth directly to the mission: success only counts when it reflects genuine memory capture, not engineered engagement.</w:t>
      </w:r>
    </w:p>
    <w:p>
      <w:pPr>
        <w:pStyle w:val="Heading2"/>
        <w:spacing w:after="120" w:before="280"/>
      </w:pPr>
      <w:r>
        <w:rPr>
          <w:rFonts w:ascii="Georgia" w:cs="Georgia" w:eastAsia="Georgia" w:hAnsi="Georgia"/>
          <w:b/>
          <w:bCs/>
          <w:color w:val="B8873F"/>
          <w:sz w:val="24"/>
          <w:szCs w:val="24"/>
        </w:rPr>
        <w:t xml:space="preserve">Supporting Metrics for v1.0</w:t>
      </w:r>
    </w:p>
    <w:p>
      <w:pPr>
        <w:pStyle w:val="ListParagraph"/>
        <w:numPr>
          <w:ilvl w:val="0"/>
          <w:numId w:val="2"/>
        </w:numPr>
        <w:spacing w:after="90" w:line="280"/>
        <w:ind w:left="360"/>
      </w:pPr>
      <w:r>
        <w:rPr>
          <w:rFonts w:ascii="Calibri" w:cs="Calibri" w:eastAsia="Calibri" w:hAnsi="Calibri"/>
          <w:color w:val="2B2B28"/>
          <w:sz w:val="22"/>
          <w:szCs w:val="22"/>
        </w:rPr>
        <w:t xml:space="preserve">Activation rate: % of new sign-ups who complete couple pairing within 48 hours</w:t>
      </w:r>
    </w:p>
    <w:p>
      <w:pPr>
        <w:pStyle w:val="ListParagraph"/>
        <w:numPr>
          <w:ilvl w:val="0"/>
          <w:numId w:val="2"/>
        </w:numPr>
        <w:spacing w:after="90" w:line="280"/>
        <w:ind w:left="360"/>
      </w:pPr>
      <w:r>
        <w:rPr>
          <w:rFonts w:ascii="Calibri" w:cs="Calibri" w:eastAsia="Calibri" w:hAnsi="Calibri"/>
          <w:color w:val="2B2B28"/>
          <w:sz w:val="22"/>
          <w:szCs w:val="22"/>
        </w:rPr>
        <w:t xml:space="preserve">Weekly return rate: % of active passports opened at least once per week (not just on milestone dates)</w:t>
      </w:r>
    </w:p>
    <w:p>
      <w:pPr>
        <w:pStyle w:val="ListParagraph"/>
        <w:numPr>
          <w:ilvl w:val="0"/>
          <w:numId w:val="2"/>
        </w:numPr>
        <w:spacing w:after="90" w:line="280"/>
        <w:ind w:left="360"/>
      </w:pPr>
      <w:r>
        <w:rPr>
          <w:rFonts w:ascii="Calibri" w:cs="Calibri" w:eastAsia="Calibri" w:hAnsi="Calibri"/>
          <w:color w:val="2B2B28"/>
          <w:sz w:val="22"/>
          <w:szCs w:val="22"/>
        </w:rPr>
        <w:t xml:space="preserve">Memories per active passport per month</w:t>
      </w:r>
    </w:p>
    <w:p>
      <w:pPr>
        <w:pStyle w:val="ListParagraph"/>
        <w:numPr>
          <w:ilvl w:val="0"/>
          <w:numId w:val="2"/>
        </w:numPr>
        <w:spacing w:after="90" w:line="280"/>
        <w:ind w:left="360"/>
      </w:pPr>
      <w:r>
        <w:rPr>
          <w:rFonts w:ascii="Calibri" w:cs="Calibri" w:eastAsia="Calibri" w:hAnsi="Calibri"/>
          <w:color w:val="2B2B28"/>
          <w:sz w:val="22"/>
          <w:szCs w:val="22"/>
        </w:rPr>
        <w:t xml:space="preserve">Passport Book conversion rate: % of active passports that order a printed book within 12 months</w:t>
      </w:r>
    </w:p>
    <w:p>
      <w:pPr>
        <w:pStyle w:val="ListParagraph"/>
        <w:numPr>
          <w:ilvl w:val="0"/>
          <w:numId w:val="2"/>
        </w:numPr>
        <w:spacing w:after="90" w:line="280"/>
        <w:ind w:left="360"/>
      </w:pPr>
      <w:r>
        <w:rPr>
          <w:rFonts w:ascii="Calibri" w:cs="Calibri" w:eastAsia="Calibri" w:hAnsi="Calibri"/>
          <w:color w:val="2B2B28"/>
          <w:sz w:val="22"/>
          <w:szCs w:val="22"/>
        </w:rPr>
        <w:t xml:space="preserve">30-day and 90-day retention</w:t>
      </w:r>
    </w:p>
    <w:p>
      <w:pPr>
        <w:pStyle w:val="Heading1"/>
        <w:pBdr>
          <w:bottom w:val="single" w:color="B8873F" w:sz="8" w:space="6"/>
        </w:pBdr>
        <w:spacing w:after="200" w:before="480"/>
      </w:pPr>
      <w:r>
        <w:rPr>
          <w:rFonts w:ascii="Georgia" w:cs="Georgia" w:eastAsia="Georgia" w:hAnsi="Georgia"/>
          <w:b/>
          <w:bCs/>
          <w:color w:val="B8873F"/>
          <w:sz w:val="30"/>
          <w:szCs w:val="30"/>
        </w:rPr>
        <w:t xml:space="preserve">09   </w:t>
      </w:r>
      <w:r>
        <w:rPr>
          <w:rFonts w:ascii="Georgia" w:cs="Georgia" w:eastAsia="Georgia" w:hAnsi="Georgia"/>
          <w:b/>
          <w:bCs/>
          <w:color w:val="1B2A4A"/>
          <w:spacing w:val="10"/>
          <w:sz w:val="30"/>
          <w:szCs w:val="30"/>
        </w:rPr>
        <w:t xml:space="preserve">ASSUMPTIONS, CONSTRAINTS &amp; RISKS</w:t>
      </w:r>
    </w:p>
    <w:p>
      <w:pPr>
        <w:pStyle w:val="Heading2"/>
        <w:spacing w:after="120" w:before="280"/>
      </w:pPr>
      <w:r>
        <w:rPr>
          <w:rFonts w:ascii="Georgia" w:cs="Georgia" w:eastAsia="Georgia" w:hAnsi="Georgia"/>
          <w:b/>
          <w:bCs/>
          <w:color w:val="B8873F"/>
          <w:sz w:val="24"/>
          <w:szCs w:val="24"/>
        </w:rPr>
        <w:t xml:space="preserve">Assumptions</w:t>
      </w:r>
    </w:p>
    <w:p>
      <w:pPr>
        <w:pStyle w:val="ListParagraph"/>
        <w:numPr>
          <w:ilvl w:val="0"/>
          <w:numId w:val="2"/>
        </w:numPr>
        <w:spacing w:after="90" w:line="280"/>
        <w:ind w:left="360"/>
      </w:pPr>
      <w:r>
        <w:rPr>
          <w:rFonts w:ascii="Calibri" w:cs="Calibri" w:eastAsia="Calibri" w:hAnsi="Calibri"/>
          <w:color w:val="2B2B28"/>
          <w:sz w:val="22"/>
          <w:szCs w:val="22"/>
        </w:rPr>
        <w:t xml:space="preserve">Users have a smartphone with camera access and reliable internet connectivity.</w:t>
      </w:r>
    </w:p>
    <w:p>
      <w:pPr>
        <w:pStyle w:val="ListParagraph"/>
        <w:numPr>
          <w:ilvl w:val="0"/>
          <w:numId w:val="2"/>
        </w:numPr>
        <w:spacing w:after="90" w:line="280"/>
        <w:ind w:left="360"/>
      </w:pPr>
      <w:r>
        <w:rPr>
          <w:rFonts w:ascii="Calibri" w:cs="Calibri" w:eastAsia="Calibri" w:hAnsi="Calibri"/>
          <w:color w:val="2B2B28"/>
          <w:sz w:val="22"/>
          <w:szCs w:val="22"/>
        </w:rPr>
        <w:t xml:space="preserve">Initial launch targets English-speaking markets; localization is a later-phase consideration.</w:t>
      </w:r>
    </w:p>
    <w:p>
      <w:pPr>
        <w:pStyle w:val="ListParagraph"/>
        <w:numPr>
          <w:ilvl w:val="0"/>
          <w:numId w:val="2"/>
        </w:numPr>
        <w:spacing w:after="90" w:line="280"/>
        <w:ind w:left="360"/>
      </w:pPr>
      <w:r>
        <w:rPr>
          <w:rFonts w:ascii="Calibri" w:cs="Calibri" w:eastAsia="Calibri" w:hAnsi="Calibri"/>
          <w:color w:val="2B2B28"/>
          <w:sz w:val="22"/>
          <w:szCs w:val="22"/>
        </w:rPr>
        <w:t xml:space="preserve">Both partners are willing to share a linked account; the product does not need to support unlinked solo use as a primary flow in v1.0.</w:t>
      </w:r>
    </w:p>
    <w:p>
      <w:pPr>
        <w:pStyle w:val="Heading2"/>
        <w:spacing w:after="120" w:before="280"/>
      </w:pPr>
      <w:r>
        <w:rPr>
          <w:rFonts w:ascii="Georgia" w:cs="Georgia" w:eastAsia="Georgia" w:hAnsi="Georgia"/>
          <w:b/>
          <w:bCs/>
          <w:color w:val="B8873F"/>
          <w:sz w:val="24"/>
          <w:szCs w:val="24"/>
        </w:rPr>
        <w:t xml:space="preserve">Constraints</w:t>
      </w:r>
    </w:p>
    <w:p>
      <w:pPr>
        <w:pStyle w:val="ListParagraph"/>
        <w:numPr>
          <w:ilvl w:val="0"/>
          <w:numId w:val="2"/>
        </w:numPr>
        <w:spacing w:after="90" w:line="280"/>
        <w:ind w:left="360"/>
      </w:pPr>
      <w:r>
        <w:rPr>
          <w:rFonts w:ascii="Calibri" w:cs="Calibri" w:eastAsia="Calibri" w:hAnsi="Calibri"/>
          <w:color w:val="2B2B28"/>
          <w:sz w:val="22"/>
          <w:szCs w:val="22"/>
        </w:rPr>
        <w:t xml:space="preserve">v1.0 must run on the architecture defined in the System &amp; Technical Design Document (ASP.NET Core Web API, PostgreSQL, Redis, Blob Storage, deployed on Azure, AWS, or DigitalOcean).</w:t>
      </w:r>
    </w:p>
    <w:p>
      <w:pPr>
        <w:pStyle w:val="ListParagraph"/>
        <w:numPr>
          <w:ilvl w:val="0"/>
          <w:numId w:val="2"/>
        </w:numPr>
        <w:spacing w:after="90" w:line="280"/>
        <w:ind w:left="360"/>
      </w:pPr>
      <w:r>
        <w:rPr>
          <w:rFonts w:ascii="Calibri" w:cs="Calibri" w:eastAsia="Calibri" w:hAnsi="Calibri"/>
          <w:color w:val="2B2B28"/>
          <w:sz w:val="22"/>
          <w:szCs w:val="22"/>
        </w:rPr>
        <w:t xml:space="preserve">Team size and timeline require the feature set in Section 5 to remain fixed for v1.0; new pillars (Family, Baby, Wedding, Travel, Pet Passports) are explicitly deferred.</w:t>
      </w:r>
    </w:p>
    <w:p>
      <w:pPr>
        <w:pStyle w:val="Heading2"/>
        <w:spacing w:after="120" w:before="280"/>
      </w:pPr>
      <w:r>
        <w:rPr>
          <w:rFonts w:ascii="Georgia" w:cs="Georgia" w:eastAsia="Georgia" w:hAnsi="Georgia"/>
          <w:b/>
          <w:bCs/>
          <w:color w:val="B8873F"/>
          <w:sz w:val="24"/>
          <w:szCs w:val="24"/>
        </w:rPr>
        <w:t xml:space="preserve">Risks &amp; Mitigations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600"/>
      </w:tblGrid>
      <w:tr>
        <w:trPr>
          <w:tblHeader/>
        </w:trPr>
        <w:tc>
          <w:tcPr>
            <w:tcW w:type="dxa" w:w="18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Risk</w:t>
            </w:r>
          </w:p>
        </w:tc>
        <w:tc>
          <w:tcPr>
            <w:tcW w:type="dxa" w:w="39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Description</w:t>
            </w:r>
          </w:p>
        </w:tc>
        <w:tc>
          <w:tcPr>
            <w:tcW w:type="dxa" w:w="3600"/>
            <w:shd w:fill="1B2A4A" w:val="clear"/>
            <w:tcMar>
              <w:top w:type="dxa" w:w="120"/>
              <w:left w:type="dxa" w:w="150"/>
              <w:bottom w:type="dxa" w:w="120"/>
              <w:right w:type="dxa" w:w="150"/>
            </w:tcMar>
            <w:vAlign w:val="center"/>
          </w:tcPr>
          <w:p>
            <w:r>
              <w:rPr>
                <w:rFonts w:ascii="Calibri" w:cs="Calibri" w:eastAsia="Calibri" w:hAnsi="Calibri"/>
                <w:b/>
                <w:bCs/>
                <w:i w:val="false"/>
                <w:iCs w:val="false"/>
                <w:color w:val="FFFFFF"/>
                <w:sz w:val="20"/>
                <w:szCs w:val="20"/>
              </w:rPr>
              <w:t xml:space="preserve">Mitigation</w:t>
            </w:r>
          </w:p>
        </w:tc>
      </w:tr>
      <w:tr>
        <w:tc>
          <w:tcPr>
            <w:tcW w:type="dxa" w:w="1800"/>
            <w:shd w:fill="FBF8F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Naming conflict</w:t>
            </w:r>
          </w:p>
        </w:tc>
        <w:tc>
          <w:tcPr>
            <w:tcW w:type="dxa" w:w="39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"Celebration Passport" overlaps closely with an existing trademarked loyalty program ("Celebrations Passport") in the gifting space.</w:t>
            </w:r>
          </w:p>
        </w:tc>
        <w:tc>
          <w:tcPr>
            <w:tcW w:type="dxa" w:w="36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Legal trademark review before public launch; branding contingency plan.</w:t>
            </w:r>
          </w:p>
        </w:tc>
      </w:tr>
      <w:tr>
        <w:tc>
          <w:tcPr>
            <w:tcW w:type="dxa" w:w="1800"/>
            <w:shd w:fill="F4EEE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Retention risk</w:t>
            </w:r>
          </w:p>
        </w:tc>
        <w:tc>
          <w:tcPr>
            <w:tcW w:type="dxa" w:w="39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Couples have infrequent natural occasions (mainly anniversaries) to open the app.</w:t>
            </w:r>
          </w:p>
        </w:tc>
        <w:tc>
          <w:tcPr>
            <w:tcW w:type="dxa" w:w="36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Product design must include monthly/ongoing engagement hooks (see Section 5.2–5.4), not only milestone-triggered ones.</w:t>
            </w:r>
          </w:p>
        </w:tc>
      </w:tr>
      <w:tr>
        <w:tc>
          <w:tcPr>
            <w:tcW w:type="dxa" w:w="1800"/>
            <w:shd w:fill="FBF8F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Competitive risk</w:t>
            </w:r>
          </w:p>
        </w:tc>
        <w:tc>
          <w:tcPr>
            <w:tcW w:type="dxa" w:w="39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Established players (Between, Been Love Memory, Lovewick) already have large install bases in adjacent categories.</w:t>
            </w:r>
          </w:p>
        </w:tc>
        <w:tc>
          <w:tcPr>
            <w:tcW w:type="dxa" w:w="3600"/>
            <w:shd w:fill="FBF8F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Differentiate on design quality, privacy, and the physical Passport Book rather than feature count.</w:t>
            </w:r>
          </w:p>
        </w:tc>
      </w:tr>
      <w:tr>
        <w:tc>
          <w:tcPr>
            <w:tcW w:type="dxa" w:w="1800"/>
            <w:shd w:fill="F4EEE2" w:val="clear"/>
            <w:tcMar>
              <w:top w:type="dxa" w:w="120"/>
              <w:left w:type="dxa" w:w="150"/>
              <w:bottom w:type="dxa" w:w="120"/>
              <w:right w:type="dxa" w:w="150"/>
            </w:tcMar>
            <w:vAlign w:val="center"/>
          </w:tcPr>
          <w:p>
            <w:r>
              <w:rPr>
                <w:rFonts w:ascii="Calibri" w:cs="Calibri" w:eastAsia="Calibri" w:hAnsi="Calibri"/>
                <w:b/>
                <w:bCs/>
                <w:i w:val="false"/>
                <w:iCs w:val="false"/>
                <w:color w:val="8C2F2F"/>
                <w:sz w:val="20"/>
                <w:szCs w:val="20"/>
              </w:rPr>
              <w:t xml:space="preserve">AI dependency</w:t>
            </w:r>
          </w:p>
        </w:tc>
        <w:tc>
          <w:tcPr>
            <w:tcW w:type="dxa" w:w="39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Story generation and itinerary planning rely on third-party AI providers.</w:t>
            </w:r>
          </w:p>
        </w:tc>
        <w:tc>
          <w:tcPr>
            <w:tcW w:type="dxa" w:w="3600"/>
            <w:shd w:fill="F4EEE2" w:val="clear"/>
            <w:tcMar>
              <w:top w:type="dxa" w:w="120"/>
              <w:left w:type="dxa" w:w="150"/>
              <w:bottom w:type="dxa" w:w="120"/>
              <w:right w:type="dxa" w:w="150"/>
            </w:tcMar>
            <w:vAlign w:val="center"/>
          </w:tcPr>
          <w:p>
            <w:r>
              <w:rPr>
                <w:rFonts w:ascii="Calibri" w:cs="Calibri" w:eastAsia="Calibri" w:hAnsi="Calibri"/>
                <w:b w:val="false"/>
                <w:bCs w:val="false"/>
                <w:i w:val="false"/>
                <w:iCs w:val="false"/>
                <w:color w:val="2B2B28"/>
                <w:sz w:val="20"/>
                <w:szCs w:val="20"/>
              </w:rPr>
              <w:t xml:space="preserve">Abstract AI calls behind the internal AI Service so providers can be swapped without client-side changes.</w:t>
            </w:r>
          </w:p>
        </w:tc>
      </w:tr>
    </w:tbl>
    <w:p>
      <w:pPr>
        <w:spacing w:before="200"/>
      </w:pPr>
    </w:p>
    <w:p>
      <w:pPr>
        <w:pStyle w:val="Heading1"/>
        <w:pBdr>
          <w:bottom w:val="single" w:color="B8873F" w:sz="8" w:space="6"/>
        </w:pBdr>
        <w:spacing w:after="200" w:before="480"/>
      </w:pPr>
      <w:r>
        <w:rPr>
          <w:rFonts w:ascii="Georgia" w:cs="Georgia" w:eastAsia="Georgia" w:hAnsi="Georgia"/>
          <w:b/>
          <w:bCs/>
          <w:color w:val="B8873F"/>
          <w:sz w:val="30"/>
          <w:szCs w:val="30"/>
        </w:rPr>
        <w:t xml:space="preserve">10   </w:t>
      </w:r>
      <w:r>
        <w:rPr>
          <w:rFonts w:ascii="Georgia" w:cs="Georgia" w:eastAsia="Georgia" w:hAnsi="Georgia"/>
          <w:b/>
          <w:bCs/>
          <w:color w:val="1B2A4A"/>
          <w:spacing w:val="10"/>
          <w:sz w:val="30"/>
          <w:szCs w:val="30"/>
        </w:rPr>
        <w:t xml:space="preserve">FOUNDING RULE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shd w:fill="1B2A4A" w:val="clear"/>
            <w:tcMar>
              <w:top w:type="dxa" w:w="340"/>
              <w:left w:type="dxa" w:w="400"/>
              <w:bottom w:type="dxa" w:w="340"/>
              <w:right w:type="dxa" w:w="400"/>
            </w:tcMar>
          </w:tcPr>
          <w:p>
            <w:pPr>
              <w:jc w:val="center"/>
            </w:pPr>
            <w:r>
              <w:rPr>
                <w:rFonts w:ascii="Georgia" w:cs="Georgia" w:eastAsia="Georgia" w:hAnsi="Georgia"/>
                <w:b/>
                <w:bCs/>
                <w:i/>
                <w:iCs/>
                <w:color w:val="FFFFFF"/>
                <w:sz w:val="26"/>
                <w:szCs w:val="26"/>
              </w:rPr>
              <w:t xml:space="preserve">“If a feature doesn’t make someone’s celebration more meaningful, we don’t build it.”</w:t>
            </w:r>
          </w:p>
        </w:tc>
      </w:tr>
    </w:tbl>
    <w:p>
      <w:pPr>
        <w:spacing w:before="220"/>
      </w:pPr>
    </w:p>
    <w:p>
      <w:pPr>
        <w:spacing w:after="160" w:line="300"/>
        <w:jc w:val="both"/>
      </w:pPr>
      <w:r>
        <w:rPr>
          <w:rFonts w:ascii="Calibri" w:cs="Calibri" w:eastAsia="Calibri" w:hAnsi="Calibri"/>
          <w:i w:val="false"/>
          <w:iCs w:val="false"/>
          <w:color w:val="2B2B28"/>
          <w:sz w:val="22"/>
          <w:szCs w:val="22"/>
        </w:rPr>
        <w:t xml:space="preserve">Every requirement in this document should be traceable back to this principle. When scope decisions are contested during development, this rule — not feature parity with competitors — should decide the outcome.</w:t>
      </w:r>
    </w:p>
    <w:p>
      <w:pPr>
        <w:pStyle w:val="Heading1"/>
        <w:pBdr>
          <w:bottom w:val="single" w:color="B8873F" w:sz="8" w:space="6"/>
        </w:pBdr>
        <w:spacing w:after="200" w:before="480"/>
      </w:pPr>
      <w:r>
        <w:rPr>
          <w:rFonts w:ascii="Georgia" w:cs="Georgia" w:eastAsia="Georgia" w:hAnsi="Georgia"/>
          <w:b/>
          <w:bCs/>
          <w:color w:val="B8873F"/>
          <w:sz w:val="30"/>
          <w:szCs w:val="30"/>
        </w:rPr>
        <w:t xml:space="preserve">11   </w:t>
      </w:r>
      <w:r>
        <w:rPr>
          <w:rFonts w:ascii="Georgia" w:cs="Georgia" w:eastAsia="Georgia" w:hAnsi="Georgia"/>
          <w:b/>
          <w:bCs/>
          <w:color w:val="1B2A4A"/>
          <w:spacing w:val="10"/>
          <w:sz w:val="30"/>
          <w:szCs w:val="30"/>
        </w:rPr>
        <w:t xml:space="preserve">FUTURE SCOPE (BEYOND V1.0)</w:t>
      </w:r>
    </w:p>
    <w:p>
      <w:pPr>
        <w:spacing w:after="160" w:line="300"/>
        <w:jc w:val="both"/>
      </w:pPr>
      <w:r>
        <w:rPr>
          <w:rFonts w:ascii="Calibri" w:cs="Calibri" w:eastAsia="Calibri" w:hAnsi="Calibri"/>
          <w:i w:val="false"/>
          <w:iCs w:val="false"/>
          <w:color w:val="2B2B28"/>
          <w:sz w:val="22"/>
          <w:szCs w:val="22"/>
        </w:rPr>
        <w:t xml:space="preserve">The following are explicitly out of scope for v1.0 but inform architectural decisions today (e.g., a data model that isn't hard-coded to "couple" as the only relationship type):</w:t>
      </w:r>
    </w:p>
    <w:p>
      <w:pPr>
        <w:pStyle w:val="ListParagraph"/>
        <w:numPr>
          <w:ilvl w:val="0"/>
          <w:numId w:val="2"/>
        </w:numPr>
        <w:spacing w:after="90" w:line="280"/>
        <w:ind w:left="360"/>
      </w:pPr>
      <w:r>
        <w:rPr>
          <w:rFonts w:ascii="Calibri" w:cs="Calibri" w:eastAsia="Calibri" w:hAnsi="Calibri"/>
          <w:color w:val="2B2B28"/>
          <w:sz w:val="22"/>
          <w:szCs w:val="22"/>
        </w:rPr>
        <w:t xml:space="preserve">Family Passports — the shared story of a household over time</w:t>
      </w:r>
    </w:p>
    <w:p>
      <w:pPr>
        <w:pStyle w:val="ListParagraph"/>
        <w:numPr>
          <w:ilvl w:val="0"/>
          <w:numId w:val="2"/>
        </w:numPr>
        <w:spacing w:after="90" w:line="280"/>
        <w:ind w:left="360"/>
      </w:pPr>
      <w:r>
        <w:rPr>
          <w:rFonts w:ascii="Calibri" w:cs="Calibri" w:eastAsia="Calibri" w:hAnsi="Calibri"/>
          <w:color w:val="2B2B28"/>
          <w:sz w:val="22"/>
          <w:szCs w:val="22"/>
        </w:rPr>
        <w:t xml:space="preserve">Baby Passports — milestones from birth through early childhood</w:t>
      </w:r>
    </w:p>
    <w:p>
      <w:pPr>
        <w:pStyle w:val="ListParagraph"/>
        <w:numPr>
          <w:ilvl w:val="0"/>
          <w:numId w:val="2"/>
        </w:numPr>
        <w:spacing w:after="90" w:line="280"/>
        <w:ind w:left="360"/>
      </w:pPr>
      <w:r>
        <w:rPr>
          <w:rFonts w:ascii="Calibri" w:cs="Calibri" w:eastAsia="Calibri" w:hAnsi="Calibri"/>
          <w:color w:val="2B2B28"/>
          <w:sz w:val="22"/>
          <w:szCs w:val="22"/>
        </w:rPr>
        <w:t xml:space="preserve">Wedding Passports — planning and celebration of the wedding itself</w:t>
      </w:r>
    </w:p>
    <w:p>
      <w:pPr>
        <w:pStyle w:val="ListParagraph"/>
        <w:numPr>
          <w:ilvl w:val="0"/>
          <w:numId w:val="2"/>
        </w:numPr>
        <w:spacing w:after="90" w:line="280"/>
        <w:ind w:left="360"/>
      </w:pPr>
      <w:r>
        <w:rPr>
          <w:rFonts w:ascii="Calibri" w:cs="Calibri" w:eastAsia="Calibri" w:hAnsi="Calibri"/>
          <w:color w:val="2B2B28"/>
          <w:sz w:val="22"/>
          <w:szCs w:val="22"/>
        </w:rPr>
        <w:t xml:space="preserve">Travel Passports — journeys and trips preserved as their own chapters</w:t>
      </w:r>
    </w:p>
    <w:p>
      <w:pPr>
        <w:pStyle w:val="ListParagraph"/>
        <w:numPr>
          <w:ilvl w:val="0"/>
          <w:numId w:val="2"/>
        </w:numPr>
        <w:spacing w:after="90" w:line="280"/>
        <w:ind w:left="360"/>
      </w:pPr>
      <w:r>
        <w:rPr>
          <w:rFonts w:ascii="Calibri" w:cs="Calibri" w:eastAsia="Calibri" w:hAnsi="Calibri"/>
          <w:color w:val="2B2B28"/>
          <w:sz w:val="22"/>
          <w:szCs w:val="22"/>
        </w:rPr>
        <w:t xml:space="preserve">Pet Passports — the milestones of a pet's life alongside the family</w:t>
      </w:r>
    </w:p>
    <w:p>
      <w:pPr>
        <w:pStyle w:val="ListParagraph"/>
        <w:numPr>
          <w:ilvl w:val="0"/>
          <w:numId w:val="2"/>
        </w:numPr>
        <w:spacing w:after="90" w:line="280"/>
        <w:ind w:left="360"/>
      </w:pPr>
      <w:r>
        <w:rPr>
          <w:rFonts w:ascii="Calibri" w:cs="Calibri" w:eastAsia="Calibri" w:hAnsi="Calibri"/>
          <w:color w:val="2B2B28"/>
          <w:sz w:val="22"/>
          <w:szCs w:val="22"/>
        </w:rPr>
        <w:t xml:space="preserve">Deeper AI planning assistance and a broader celebration ecosystem spanning digital and physical products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459"/>
        <w:sz w:val="18"/>
        <w:szCs w:val="18"/>
      </w:rPr>
      <w:t xml:space="preserve">Page </w:t>
    </w:r>
    <w:r>
      <w:rPr>
        <w:rFonts w:ascii="Calibri" w:cs="Calibri" w:eastAsia="Calibri" w:hAnsi="Calibri"/>
        <w:color w:val="6B64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D9BE" w:sz="4" w:space="4"/>
      </w:pBdr>
      <w:jc w:val="right"/>
    </w:pPr>
    <w:r>
      <w:rPr>
        <w:rFonts w:ascii="Calibri" w:cs="Calibri" w:eastAsia="Calibri" w:hAnsi="Calibri"/>
        <w:color w:val="6B6459"/>
        <w:spacing w:val="10"/>
        <w:sz w:val="16"/>
        <w:szCs w:val="16"/>
      </w:rPr>
      <w:t xml:space="preserve">CELEBRATION PASSPORT  ·  BUSINESS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2026-07-03T11:16:06.581Z</dcterms:created>
  <dcterms:modified xsi:type="dcterms:W3CDTF">2026-07-03T11:16:06.592Z</dcterms:modified>
</cp:coreProperties>
</file>

<file path=docProps/custom.xml><?xml version="1.0" encoding="utf-8"?>
<Properties xmlns="http://schemas.openxmlformats.org/officeDocument/2006/custom-properties" xmlns:vt="http://schemas.openxmlformats.org/officeDocument/2006/docPropsVTypes"/>
</file>