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B8873F"/>
          <w:spacing w:val="30"/>
          <w:sz w:val="22"/>
          <w:szCs w:val="22"/>
        </w:rPr>
        <w:t xml:space="preserve">SYSTEM &amp; TECHNICAL DESIGN DOCUMENT</w:t>
      </w:r>
    </w:p>
    <w:p>
      <w:pPr>
        <w:spacing w:before="260"/>
        <w:jc w:val="center"/>
      </w:pPr>
      <w:r>
        <w:rPr>
          <w:rFonts w:ascii="Georgia" w:cs="Georgia" w:eastAsia="Georgia" w:hAnsi="Georgia"/>
          <w:b/>
          <w:bCs/>
          <w:color w:val="10192E"/>
          <w:sz w:val="66"/>
          <w:szCs w:val="66"/>
        </w:rPr>
        <w:t xml:space="preserve">Celebration Passport</w:t>
      </w:r>
    </w:p>
    <w:p>
      <w:pPr>
        <w:spacing w:after="200" w:before="120"/>
        <w:jc w:val="center"/>
      </w:pPr>
      <w:r>
        <w:rPr>
          <w:rFonts w:ascii="Georgia" w:cs="Georgia" w:eastAsia="Georgia" w:hAnsi="Georgia"/>
          <w:i/>
          <w:iCs/>
          <w:color w:val="B8873F"/>
          <w:sz w:val="28"/>
          <w:szCs w:val="28"/>
        </w:rPr>
        <w:t xml:space="preserve">Platform Architecture &amp; Technical Design</w:t>
      </w:r>
    </w:p>
    <w:p>
      <w:pPr>
        <w:pBdr>
          <w:top w:val="single" w:color="B8873F" w:sz="6" w:space="10"/>
          <w:bottom w:val="single" w:color="B8873F" w:sz="6" w:space="10"/>
        </w:pBdr>
        <w:spacing w:before="500"/>
        <w:jc w:val="center"/>
      </w:pPr>
      <w:r>
        <w:rPr>
          <w:rFonts w:ascii="Calibri" w:cs="Calibri" w:eastAsia="Calibri" w:hAnsi="Calibri"/>
          <w:b/>
          <w:bCs/>
          <w:color w:val="1B2A4A"/>
          <w:spacing w:val="20"/>
          <w:sz w:val="20"/>
          <w:szCs w:val="20"/>
        </w:rPr>
        <w:t xml:space="preserve">TDD  ·  VERSION 1.0</w:t>
      </w:r>
    </w:p>
    <w:p>
      <w:pPr>
        <w:spacing w:before="8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1B2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Engineering Lead</w:t>
            </w:r>
          </w:p>
        </w:tc>
      </w:tr>
      <w:tr>
        <w:tc>
          <w:tcPr>
            <w:tcW w:type="dxa" w:w="2600"/>
            <w:shd w:fill="1B2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7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2600"/>
            <w:shd w:fill="1B2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7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600"/>
            <w:shd w:fill="1B2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Related Document</w:t>
            </w:r>
          </w:p>
        </w:tc>
        <w:tc>
          <w:tcPr>
            <w:tcW w:type="dxa" w:w="67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Business Requirements Document v1.0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8873F" w:sz="8" w:space="6"/>
        </w:pBdr>
        <w:spacing w:after="200"/>
      </w:pP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8873F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B8873F"/>
          <w:sz w:val="30"/>
          <w:szCs w:val="30"/>
        </w:rPr>
        <w:t xml:space="preserve">01   </w:t>
      </w: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ARCHITECTURE OVERVIEW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Celebration Passport is built as a layered, service-oriented architecture on ASP.NET Core, designed to separate concerns cleanly (authentication, core business logic, AI capabilities) while sharing a common data layer. The system is fronted by Cloudflare for edge delivery and protection, and is deployable to any major cloud provider — Azure, AWS, or DigitalOcean — without architectural changes.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The diagram below reflects the approved v1.0 architecture and is the reference all engineering work should align to.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FBF8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INTERNET</w:t>
            </w:r>
          </w:p>
        </w:tc>
      </w:tr>
    </w:tbl>
    <w:p>
      <w:pPr>
        <w:spacing w:after="40" w:before="40"/>
        <w:jc w:val="center"/>
      </w:pPr>
      <w:r>
        <w:rPr>
          <w:rFonts w:ascii="Consolas" w:cs="Consolas" w:eastAsia="Consolas" w:hAnsi="Consolas"/>
          <w:b/>
          <w:bCs/>
          <w:color w:val="B8873F"/>
          <w:sz w:val="24"/>
          <w:szCs w:val="24"/>
        </w:rPr>
        <w:t xml:space="preserve">│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tcBorders>
              <w:top w:val="single" w:color="B8873F" w:sz="6"/>
              <w:left w:val="single" w:color="B8873F" w:sz="6"/>
              <w:bottom w:val="single" w:color="B8873F" w:sz="6"/>
              <w:right w:val="single" w:color="B8873F" w:sz="6"/>
            </w:tcBorders>
            <w:shd w:fill="B8873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Cloudflare CDN  (Edge / Security Layer)</w:t>
            </w:r>
          </w:p>
        </w:tc>
      </w:tr>
    </w:tbl>
    <w:p>
      <w:pPr>
        <w:spacing w:after="40" w:before="40"/>
        <w:jc w:val="center"/>
      </w:pPr>
      <w:r>
        <w:rPr>
          <w:rFonts w:ascii="Consolas" w:cs="Consolas" w:eastAsia="Consolas" w:hAnsi="Consolas"/>
          <w:b/>
          <w:bCs/>
          <w:color w:val="B8873F"/>
          <w:sz w:val="24"/>
          <w:szCs w:val="24"/>
        </w:rPr>
        <w:t xml:space="preserve">│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tcBorders>
              <w:top w:val="single" w:color="B8873F" w:sz="6"/>
              <w:left w:val="single" w:color="B8873F" w:sz="6"/>
              <w:bottom w:val="single" w:color="B8873F" w:sz="6"/>
              <w:right w:val="single" w:color="B8873F" w:sz="6"/>
            </w:tcBorders>
            <w:shd w:fill="1B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ASP.NET Core Web API  (Application Layer)</w:t>
            </w:r>
          </w:p>
        </w:tc>
      </w:tr>
    </w:tbl>
    <w:p>
      <w:pPr>
        <w:spacing w:after="40" w:before="40"/>
        <w:jc w:val="center"/>
      </w:pPr>
      <w:r>
        <w:rPr>
          <w:rFonts w:ascii="Consolas" w:cs="Consolas" w:eastAsia="Consolas" w:hAnsi="Consolas"/>
          <w:b/>
          <w:bCs/>
          <w:color w:val="B8873F"/>
          <w:sz w:val="24"/>
          <w:szCs w:val="24"/>
        </w:rPr>
        <w:t xml:space="preserve">│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8873F" w:sz="6"/>
              <w:left w:val="single" w:color="B8873F" w:sz="6"/>
              <w:bottom w:val="single" w:color="B8873F" w:sz="6"/>
              <w:right w:val="single" w:color="B8873F" w:sz="6"/>
            </w:tcBorders>
            <w:shd w:fill="1B2A4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Authentication Service</w:t>
            </w:r>
          </w:p>
        </w:tc>
        <w:tc>
          <w:tcPr>
            <w:tcW w:type="dxa" w:w="3000"/>
            <w:tcBorders>
              <w:top w:val="single" w:color="B8873F" w:sz="6"/>
              <w:left w:val="single" w:color="B8873F" w:sz="6"/>
              <w:bottom w:val="single" w:color="B8873F" w:sz="6"/>
              <w:right w:val="single" w:color="B8873F" w:sz="6"/>
            </w:tcBorders>
            <w:shd w:fill="1B2A4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Celebration Service</w:t>
            </w:r>
          </w:p>
        </w:tc>
        <w:tc>
          <w:tcPr>
            <w:tcW w:type="dxa" w:w="3000"/>
            <w:tcBorders>
              <w:top w:val="single" w:color="B8873F" w:sz="6"/>
              <w:left w:val="single" w:color="B8873F" w:sz="6"/>
              <w:bottom w:val="single" w:color="B8873F" w:sz="6"/>
              <w:right w:val="single" w:color="B8873F" w:sz="6"/>
            </w:tcBorders>
            <w:shd w:fill="1B2A4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Services</w:t>
            </w:r>
          </w:p>
        </w:tc>
      </w:tr>
    </w:tbl>
    <w:p>
      <w:pPr>
        <w:spacing w:after="40" w:before="40"/>
        <w:jc w:val="center"/>
      </w:pPr>
      <w:r>
        <w:rPr>
          <w:rFonts w:ascii="Consolas" w:cs="Consolas" w:eastAsia="Consolas" w:hAnsi="Consolas"/>
          <w:b/>
          <w:bCs/>
          <w:color w:val="B8873F"/>
          <w:sz w:val="24"/>
          <w:szCs w:val="24"/>
        </w:rPr>
        <w:t xml:space="preserve">│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tcBorders>
              <w:top w:val="single" w:color="B8873F" w:sz="6"/>
              <w:left w:val="single" w:color="B8873F" w:sz="6"/>
              <w:bottom w:val="single" w:color="B8873F" w:sz="6"/>
              <w:right w:val="single" w:color="B8873F" w:sz="6"/>
            </w:tcBorders>
            <w:shd w:fill="1B2A4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PostgreSQL Database  (Primary Data Store)</w:t>
            </w:r>
          </w:p>
        </w:tc>
      </w:tr>
    </w:tbl>
    <w:p>
      <w:pPr>
        <w:spacing w:after="40" w:before="40"/>
        <w:jc w:val="center"/>
      </w:pPr>
      <w:r>
        <w:rPr>
          <w:rFonts w:ascii="Consolas" w:cs="Consolas" w:eastAsia="Consolas" w:hAnsi="Consolas"/>
          <w:b/>
          <w:bCs/>
          <w:color w:val="B8873F"/>
          <w:sz w:val="24"/>
          <w:szCs w:val="24"/>
        </w:rPr>
        <w:t xml:space="preserve">│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</w:tblGrid>
      <w:tr>
        <w:tc>
          <w:tcPr>
            <w:tcW w:type="dxa" w:w="3300"/>
            <w:tcBorders>
              <w:top w:val="single" w:color="B8873F" w:sz="6"/>
              <w:left w:val="single" w:color="B8873F" w:sz="6"/>
              <w:bottom w:val="single" w:color="B8873F" w:sz="6"/>
              <w:right w:val="single" w:color="B8873F" w:sz="6"/>
            </w:tcBorders>
            <w:shd w:fill="10192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Redis (Cache)</w:t>
            </w:r>
          </w:p>
        </w:tc>
        <w:tc>
          <w:tcPr>
            <w:tcW w:type="dxa" w:w="3300"/>
            <w:tcBorders>
              <w:top w:val="single" w:color="B8873F" w:sz="6"/>
              <w:left w:val="single" w:color="B8873F" w:sz="6"/>
              <w:bottom w:val="single" w:color="B8873F" w:sz="6"/>
              <w:right w:val="single" w:color="B8873F" w:sz="6"/>
            </w:tcBorders>
            <w:shd w:fill="10192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Blob Storage (Media)</w:t>
            </w:r>
          </w:p>
        </w:tc>
      </w:tr>
    </w:tbl>
    <w:p>
      <w:pPr>
        <w:spacing w:after="40" w:before="40"/>
        <w:jc w:val="center"/>
      </w:pPr>
      <w:r>
        <w:rPr>
          <w:rFonts w:ascii="Consolas" w:cs="Consolas" w:eastAsia="Consolas" w:hAnsi="Consolas"/>
          <w:b/>
          <w:bCs/>
          <w:color w:val="B8873F"/>
          <w:sz w:val="24"/>
          <w:szCs w:val="24"/>
        </w:rPr>
        <w:t xml:space="preserve">│</w:t>
      </w:r>
    </w:p>
    <w:tbl>
      <w:tblPr>
        <w:tblW w:type="dxa" w:w="4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</w:tblGrid>
      <w:tr>
        <w:tc>
          <w:tcPr>
            <w:tcW w:type="dxa" w:w="4200"/>
            <w:tcBorders>
              <w:top w:val="single" w:color="1B2A4A" w:sz="6"/>
              <w:left w:val="single" w:color="1B2A4A" w:sz="6"/>
              <w:bottom w:val="single" w:color="1B2A4A" w:sz="6"/>
              <w:right w:val="single" w:color="1B2A4A" w:sz="6"/>
            </w:tcBorders>
            <w:shd w:fill="FBF8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Azure / AWS / DigitalOcean  (Infrastructure Layer)</w:t>
            </w:r>
          </w:p>
        </w:tc>
      </w:tr>
    </w:tbl>
    <w:p>
      <w:pPr>
        <w:spacing w:before="260"/>
      </w:pPr>
    </w:p>
    <w:p>
      <w:pPr>
        <w:pStyle w:val="Heading1"/>
        <w:pBdr>
          <w:bottom w:val="single" w:color="B8873F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B8873F"/>
          <w:sz w:val="30"/>
          <w:szCs w:val="30"/>
        </w:rPr>
        <w:t xml:space="preserve">02   </w:t>
      </w: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COMPONENT RESPONSIBILITIES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00"/>
            <w:shd w:fill="1B2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Internet</w:t>
            </w:r>
          </w:p>
        </w:tc>
        <w:tc>
          <w:tcPr>
            <w:tcW w:type="dxa" w:w="69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The public entry point for all client traffic — web app, mobile app, and any future integrations.</w:t>
            </w:r>
          </w:p>
        </w:tc>
      </w:tr>
      <w:tr>
        <w:tc>
          <w:tcPr>
            <w:tcW w:type="dxa" w:w="24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69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Edge layer providing global content delivery, TLS termination, DDoS protection, and basic bot/traffic filtering before requests reach the application layer.</w:t>
            </w:r>
          </w:p>
        </w:tc>
      </w:tr>
      <w:tr>
        <w:tc>
          <w:tcPr>
            <w:tcW w:type="dxa" w:w="24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ASP.NET Core Web API</w:t>
            </w:r>
          </w:p>
        </w:tc>
        <w:tc>
          <w:tcPr>
            <w:tcW w:type="dxa" w:w="69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The application layer that exposes a single, unified REST API surface to clients and routes requests internally to the appropriate backend service.</w:t>
            </w:r>
          </w:p>
        </w:tc>
      </w:tr>
      <w:tr>
        <w:tc>
          <w:tcPr>
            <w:tcW w:type="dxa" w:w="24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Authentication Service</w:t>
            </w:r>
          </w:p>
        </w:tc>
        <w:tc>
          <w:tcPr>
            <w:tcW w:type="dxa" w:w="69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Owns identity: registration, login, OAuth, session/token issuance and refresh, couple account linking, and access control.</w:t>
            </w:r>
          </w:p>
        </w:tc>
      </w:tr>
      <w:tr>
        <w:tc>
          <w:tcPr>
            <w:tcW w:type="dxa" w:w="24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Celebration Service</w:t>
            </w:r>
          </w:p>
        </w:tc>
        <w:tc>
          <w:tcPr>
            <w:tcW w:type="dxa" w:w="69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The core business logic service — milestones, plans, live albums, memories (photos/video/notes/voice), passport books, and stamps.</w:t>
            </w:r>
          </w:p>
        </w:tc>
      </w:tr>
      <w:tr>
        <w:tc>
          <w:tcPr>
            <w:tcW w:type="dxa" w:w="24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69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Encapsulates all AI-dependent functionality: itinerary generation, AI story/recap generation, and future recommendation features — isolated so AI providers can change without impacting other services.</w:t>
            </w:r>
          </w:p>
        </w:tc>
      </w:tr>
      <w:tr>
        <w:tc>
          <w:tcPr>
            <w:tcW w:type="dxa" w:w="24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PostgreSQL Database</w:t>
            </w:r>
          </w:p>
        </w:tc>
        <w:tc>
          <w:tcPr>
            <w:tcW w:type="dxa" w:w="69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The system of record for structured data: users, couples, milestones, entries, plans, and orders.</w:t>
            </w:r>
          </w:p>
        </w:tc>
      </w:tr>
      <w:tr>
        <w:tc>
          <w:tcPr>
            <w:tcW w:type="dxa" w:w="24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Redis</w:t>
            </w:r>
          </w:p>
        </w:tc>
        <w:tc>
          <w:tcPr>
            <w:tcW w:type="dxa" w:w="69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In-memory cache for session data, rate limiting, and frequently accessed read paths (e.g., countdown data, recent memories) to keep response times low.</w:t>
            </w:r>
          </w:p>
        </w:tc>
      </w:tr>
      <w:tr>
        <w:tc>
          <w:tcPr>
            <w:tcW w:type="dxa" w:w="24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Blob Storage</w:t>
            </w:r>
          </w:p>
        </w:tc>
        <w:tc>
          <w:tcPr>
            <w:tcW w:type="dxa" w:w="69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Object storage for media assets — photos, videos, and voice recordings — kept separate from the relational database for cost and performance reasons.</w:t>
            </w:r>
          </w:p>
        </w:tc>
      </w:tr>
      <w:tr>
        <w:tc>
          <w:tcPr>
            <w:tcW w:type="dxa" w:w="24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69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The deployment target (Azure, AWS, or DigitalOcean); the architecture is intentionally cloud-agnostic at this layer.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8873F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B8873F"/>
          <w:sz w:val="30"/>
          <w:szCs w:val="30"/>
        </w:rPr>
        <w:t xml:space="preserve">03   </w:t>
      </w: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TECHNOLOGY STACK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00"/>
      </w:tblGrid>
      <w:tr>
        <w:trPr>
          <w:tblHeader/>
        </w:trPr>
        <w:tc>
          <w:tcPr>
            <w:tcW w:type="dxa" w:w="2700"/>
            <w:shd w:fill="1B2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00"/>
            <w:shd w:fill="1B2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7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Edge / CDN</w:t>
            </w:r>
          </w:p>
        </w:tc>
        <w:tc>
          <w:tcPr>
            <w:tcW w:type="dxa" w:w="66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27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66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ASP.NET Core Web API (.NET)</w:t>
            </w:r>
          </w:p>
        </w:tc>
      </w:tr>
      <w:tr>
        <w:tc>
          <w:tcPr>
            <w:tcW w:type="dxa" w:w="27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6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7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Cache</w:t>
            </w:r>
          </w:p>
        </w:tc>
        <w:tc>
          <w:tcPr>
            <w:tcW w:type="dxa" w:w="66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7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6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Blob Storage (Azure Blob / AWS S3 / DO Spaces, per deployment target)</w:t>
            </w:r>
          </w:p>
        </w:tc>
      </w:tr>
      <w:tr>
        <w:tc>
          <w:tcPr>
            <w:tcW w:type="dxa" w:w="27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Hosting</w:t>
            </w:r>
          </w:p>
        </w:tc>
        <w:tc>
          <w:tcPr>
            <w:tcW w:type="dxa" w:w="66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Azure, AWS, or DigitalOcean</w:t>
            </w:r>
          </w:p>
        </w:tc>
      </w:tr>
      <w:tr>
        <w:tc>
          <w:tcPr>
            <w:tcW w:type="dxa" w:w="27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6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Token-based auth (JWT) with refresh rotation; OAuth providers as supported sign-in options</w:t>
            </w:r>
          </w:p>
        </w:tc>
      </w:tr>
      <w:tr>
        <w:tc>
          <w:tcPr>
            <w:tcW w:type="dxa" w:w="27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6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Isolated within the AI Services component; provider-agnostic interface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8873F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B8873F"/>
          <w:sz w:val="30"/>
          <w:szCs w:val="30"/>
        </w:rPr>
        <w:t xml:space="preserve">04   </w:t>
      </w: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AUTHENTICATION SERVICE — DETAIL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Responsible for all identity and access concerns. Kept as an independently deployable service so authentication can scale, fail over, and be secured separately from business-logic traffic.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8873F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User registration and login (email/password, OAuth providers)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Issuing and refreshing short-lived JWT access tokens with rotating refresh tokens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Couple pairing: linking two individual accounts into a shared "Passport"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Enforcing access control between the two linked partners and any invited contributors (family/friends)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Account recovery, password reset, and session revocation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8873F"/>
          <w:sz w:val="24"/>
          <w:szCs w:val="24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User credentials (hashed, never stored in plaintext)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Couple linkage records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Active session / refresh token records (cached in Redis for fast validation)</w:t>
      </w:r>
    </w:p>
    <w:p>
      <w:pPr>
        <w:pStyle w:val="Heading1"/>
        <w:pBdr>
          <w:bottom w:val="single" w:color="B8873F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B8873F"/>
          <w:sz w:val="30"/>
          <w:szCs w:val="30"/>
        </w:rPr>
        <w:t xml:space="preserve">05   </w:t>
      </w: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CELEBRATION SERVICE — DETAIL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The core business-logic service and the largest of the three. It implements the product's four pillars — Plan, Celebrate, Preserve, Relive — as described in the Business Requirements Document.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8873F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CRUD for milestones, plans, budgets, and countdowns (Plan)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Live album updates, invitations, and wishes collection (Celebrate)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Storage and retrieval of memories — photos, videos, notes, voice messages, location, weather, expenses (Preserve)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Orchestrating "on this day" resurfacing logic and Passport Book compilation/ordering (Relive)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Calling into the AI Services component for story generation and itinerary suggestions, and persisting the results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8873F"/>
          <w:sz w:val="24"/>
          <w:szCs w:val="24"/>
        </w:rPr>
        <w:t xml:space="preserve">Data Owned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Milestones, plans, and budget records (PostgreSQL)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Memory entries and metadata (PostgreSQL), with media files referenced in Blob Storage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Passport Book orders and status</w:t>
      </w:r>
    </w:p>
    <w:p>
      <w:pPr>
        <w:pStyle w:val="Heading1"/>
        <w:pBdr>
          <w:bottom w:val="single" w:color="B8873F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B8873F"/>
          <w:sz w:val="30"/>
          <w:szCs w:val="30"/>
        </w:rPr>
        <w:t xml:space="preserve">06   </w:t>
      </w: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AI SERVICES — DETAIL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Isolates all AI-dependent functionality behind a single internal interface, so the underlying AI provider can be changed or upgraded without affecting the Celebration Service or clients.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8873F"/>
          <w:sz w:val="24"/>
          <w:szCs w:val="24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Generating AI-assisted itinerary suggestions from date, location, and stated preferences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Generating narrative story recaps from a user's stored memories for a given milestone or time period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Ranking / surfacing which memories are most relevant for "on this day" resurfacing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B8873F"/>
          <w:sz w:val="24"/>
          <w:szCs w:val="24"/>
        </w:rPr>
        <w:t xml:space="preserve">Design Note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This service should expose a stable internal contract (e.g., generateItinerary(), generateStoryRecap()) regardless of which underlying AI provider is used, so provider changes are a configuration concern, not a rewrite.</w:t>
      </w:r>
    </w:p>
    <w:p>
      <w:pPr>
        <w:pStyle w:val="Heading1"/>
        <w:pBdr>
          <w:bottom w:val="single" w:color="B8873F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B8873F"/>
          <w:sz w:val="30"/>
          <w:szCs w:val="30"/>
        </w:rPr>
        <w:t xml:space="preserve">07   </w:t>
      </w: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EXAMPLE DATA FLOW — ADDING A MEMORY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To illustrate how the layers interact, the sequence below walks through a user adding a photo memory to their passport: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1.  Client sends an authenticated request through Cloudflare CDN to the ASP.NET Core Web API.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2.  The API validates the access token against the Authentication Service (with Redis-cached session lookups for speed).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3.  The request is routed to the Celebration Service, which validates the payload and writes the memory's metadata to PostgreSQL.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4.  The photo file itself is uploaded directly to Blob Storage; the Celebration Service stores a reference to it.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5.  If the memory completes a milestone eligible for a story recap, the Celebration Service asynchronously calls the AI Services component to generate updated narrative content.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6.  The response is returned to the client, and the relevant cache entries in Redis (e.g., "recent memories") are invalidated or updated.</w:t>
      </w:r>
    </w:p>
    <w:p>
      <w:pPr>
        <w:pStyle w:val="Heading1"/>
        <w:pBdr>
          <w:bottom w:val="single" w:color="B8873F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B8873F"/>
          <w:sz w:val="30"/>
          <w:szCs w:val="30"/>
        </w:rPr>
        <w:t xml:space="preserve">08   </w:t>
      </w: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SECURITY CONSIDERATIONS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All traffic terminates TLS at Cloudflare; internal service-to-service traffic is restricted to the private network.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Cloudflare provides DDoS mitigation and basic bot filtering ahead of the application layer.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Access tokens are short-lived; refresh tokens are rotated and can be revoked centrally by the Authentication Service.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Media in Blob Storage is stored with access-controlled, time-limited URLs rather than public links, consistent with the product's Privacy First value.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Sensitive fields (credentials, tokens) are never logged; PostgreSQL data at rest is encrypted per cloud-provider defaults.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Sharing between a couple and any invited contributor is explicit and permissioned — never a default-on setting.</w:t>
      </w:r>
    </w:p>
    <w:p>
      <w:pPr>
        <w:pStyle w:val="Heading1"/>
        <w:pBdr>
          <w:bottom w:val="single" w:color="B8873F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B8873F"/>
          <w:sz w:val="30"/>
          <w:szCs w:val="30"/>
        </w:rPr>
        <w:t xml:space="preserve">09   </w:t>
      </w: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SCALABILITY &amp; DEPLOYMENT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Because Authentication, Celebration, and AI Services are separated at the service level, each can be scaled independently based on its own load profile — for example, AI Services may need different (and more expensive) compute scaling than Authentication.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Stateless API and service layers allow horizontal scaling behind a load balancer.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Redis absorbs read-heavy traffic (countdowns, recent memories) to reduce load on PostgreSQL.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Blob Storage scales independently of the database and is served through Cloudflare's CDN for faster global media delivery.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The architecture does not assume a specific cloud provider — Azure, AWS, and DigitalOcean are all viable deployment targets, allowing a cost-based decision at launch.</w:t>
      </w:r>
    </w:p>
    <w:p>
      <w:pPr>
        <w:pStyle w:val="Heading1"/>
        <w:pBdr>
          <w:bottom w:val="single" w:color="B8873F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B8873F"/>
          <w:sz w:val="30"/>
          <w:szCs w:val="30"/>
        </w:rPr>
        <w:t xml:space="preserve">10   </w:t>
      </w: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CLOUD PROVIDER CONSIDERATIONS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00"/>
        <w:gridCol w:w="2500"/>
      </w:tblGrid>
      <w:tr>
        <w:trPr>
          <w:tblHeader/>
        </w:trPr>
        <w:tc>
          <w:tcPr>
            <w:tcW w:type="dxa" w:w="1700"/>
            <w:shd w:fill="1B2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5100"/>
            <w:shd w:fill="1B2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Strengths for This Architecture</w:t>
            </w:r>
          </w:p>
        </w:tc>
        <w:tc>
          <w:tcPr>
            <w:tcW w:type="dxa" w:w="2500"/>
            <w:shd w:fill="1B2A4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17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Azure</w:t>
            </w:r>
          </w:p>
        </w:tc>
        <w:tc>
          <w:tcPr>
            <w:tcW w:type="dxa" w:w="51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Strong PostgreSQL (Flexible Server) and Blob Storage offerings; natural fit if the team is already in the Microsoft/.NET ecosystem.</w:t>
            </w:r>
          </w:p>
        </w:tc>
        <w:tc>
          <w:tcPr>
            <w:tcW w:type="dxa" w:w="25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Generally higher cost at small scale</w:t>
            </w:r>
          </w:p>
        </w:tc>
      </w:tr>
      <w:tr>
        <w:tc>
          <w:tcPr>
            <w:tcW w:type="dxa" w:w="17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AWS</w:t>
            </w:r>
          </w:p>
        </w:tc>
        <w:tc>
          <w:tcPr>
            <w:tcW w:type="dxa" w:w="51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Broadest ecosystem and managed-service maturity (RDS for PostgreSQL, S3, ElastiCache for Redis).</w:t>
            </w:r>
          </w:p>
        </w:tc>
        <w:tc>
          <w:tcPr>
            <w:tcW w:type="dxa" w:w="2500"/>
            <w:shd w:fill="F4EEE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More configuration overhead to get started</w:t>
            </w:r>
          </w:p>
        </w:tc>
      </w:tr>
      <w:tr>
        <w:tc>
          <w:tcPr>
            <w:tcW w:type="dxa" w:w="17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73F"/>
                <w:sz w:val="20"/>
                <w:szCs w:val="20"/>
              </w:rPr>
              <w:t xml:space="preserve">DigitalOcean</w:t>
            </w:r>
          </w:p>
        </w:tc>
        <w:tc>
          <w:tcPr>
            <w:tcW w:type="dxa" w:w="51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Simplest pricing and setup for an early-stage team; managed PostgreSQL, Redis, and Spaces (S3-compatible) available.</w:t>
            </w:r>
          </w:p>
        </w:tc>
        <w:tc>
          <w:tcPr>
            <w:tcW w:type="dxa" w:w="2500"/>
            <w:shd w:fill="FBF8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8"/>
                <w:sz w:val="20"/>
                <w:szCs w:val="20"/>
              </w:rPr>
              <w:t xml:space="preserve">Fewer advanced managed-service features at scale</w:t>
            </w:r>
          </w:p>
        </w:tc>
      </w:tr>
    </w:tbl>
    <w:p>
      <w:pPr>
        <w:spacing w:before="200"/>
      </w:pPr>
    </w:p>
    <w:p>
      <w:pPr>
        <w:spacing w:after="160" w:line="300"/>
        <w:jc w:val="both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Recommendation for v1.0: given an early-stage team prioritizing speed and cost control, DigitalOcean offers the fastest path to a working managed-services deployment, with a clear migration path to Azure or AWS if scale or enterprise requirements demand it later — the service-oriented architecture does not lock in a specific provider.</w:t>
      </w:r>
    </w:p>
    <w:p>
      <w:pPr>
        <w:pStyle w:val="Heading1"/>
        <w:pBdr>
          <w:bottom w:val="single" w:color="B8873F" w:sz="8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B8873F"/>
          <w:sz w:val="30"/>
          <w:szCs w:val="30"/>
        </w:rPr>
        <w:t xml:space="preserve">11   </w:t>
      </w:r>
      <w:r>
        <w:rPr>
          <w:rFonts w:ascii="Georgia" w:cs="Georgia" w:eastAsia="Georgia" w:hAnsi="Georgia"/>
          <w:b/>
          <w:bCs/>
          <w:color w:val="1B2A4A"/>
          <w:spacing w:val="10"/>
          <w:sz w:val="30"/>
          <w:szCs w:val="30"/>
        </w:rPr>
        <w:t xml:space="preserve">FUTURE TECHNICAL CONSIDERATIONS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As additional passport types (Family, Baby, Wedding, Travel, Pet) are introduced, the Celebration Service's data model should generalize "couple" into a more flexible "circle" or "group" concept rather than hard-coding two-person relationships.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A dedicated Notification Service may be split out once push/email volume grows (milestone reminders, "on this day" prompts, monthly prompts).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A background job/worker layer (queue-based) is recommended for AI generation and Passport Book compilation so these do not block API request threads.</w:t>
      </w:r>
    </w:p>
    <w:p>
      <w:pPr>
        <w:pStyle w:val="ListParagraph"/>
        <w:numPr>
          <w:ilvl w:val="0"/>
          <w:numId w:val="2"/>
        </w:numPr>
        <w:spacing w:after="90" w:line="280"/>
        <w:ind w:left="360"/>
      </w:pPr>
      <w:r>
        <w:rPr>
          <w:rFonts w:ascii="Calibri" w:cs="Calibri" w:eastAsia="Calibri" w:hAnsi="Calibri"/>
          <w:color w:val="2B2B28"/>
          <w:sz w:val="22"/>
          <w:szCs w:val="22"/>
        </w:rPr>
        <w:t xml:space="preserve">Monitoring and centralized logging (e.g., structured logs shipped from all services) should be established before public launch to support the uptime targets in the Business Requirements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459"/>
        <w:sz w:val="18"/>
        <w:szCs w:val="18"/>
      </w:rPr>
      <w:t xml:space="preserve">Page </w:t>
    </w:r>
    <w:r>
      <w:rPr>
        <w:rFonts w:ascii="Calibri" w:cs="Calibri" w:eastAsia="Calibri" w:hAnsi="Calibri"/>
        <w:color w:val="6B64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9BE" w:sz="4" w:space="4"/>
      </w:pBdr>
      <w:jc w:val="right"/>
    </w:pPr>
    <w:r>
      <w:rPr>
        <w:rFonts w:ascii="Calibri" w:cs="Calibri" w:eastAsia="Calibri" w:hAnsi="Calibri"/>
        <w:color w:val="6B6459"/>
        <w:spacing w:val="10"/>
        <w:sz w:val="16"/>
        <w:szCs w:val="16"/>
      </w:rPr>
      <w:t xml:space="preserve">CELEBRATION PASSPORT  ·  SYSTEM &amp; TECHNICAL DESIGN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2026-07-03T11:17:30.726Z</dcterms:created>
  <dcterms:modified xsi:type="dcterms:W3CDTF">2026-07-03T11:17:30.726Z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