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Playfair Display" w:hAnsi="Playfair Display"/>
          <w:b/>
          <w:color w:val="3E2723"/>
          <w:sz w:val="48"/>
        </w:rPr>
        <w:t>Techsource Pvt. Ltd.</w:t>
        <w:br/>
        <w:t>ERPNext Configuration &amp; Evaluation Report</w:t>
      </w:r>
    </w:p>
    <w:p>
      <w:pPr>
        <w:spacing w:after="720"/>
        <w:jc w:val="center"/>
      </w:pPr>
      <w:r>
        <w:rPr>
          <w:rFonts w:ascii="Plus Jakarta Sans" w:hAnsi="Plus Jakarta Sans"/>
          <w:i/>
          <w:color w:val="6D4C41"/>
          <w:sz w:val="20"/>
        </w:rPr>
        <w:t>ERPNext Evaluation Prep Assignment  |  Author: Kumaravel</w:t>
        <w:br/>
      </w:r>
      <w:r>
        <w:rPr>
          <w:b/>
        </w:rPr>
        <w:t xml:space="preserve">Shareable Document Link: </w:t>
      </w:r>
      <w:r>
        <w:rPr>
          <w:color w:val="15803D"/>
          <w:u w:val="single"/>
        </w:rPr>
        <w:t>[Paste your shared Google Doc Link here with Comment Access enabled]</w:t>
      </w:r>
    </w:p>
    <w:p>
      <w:r>
        <w:br w:type="page"/>
      </w:r>
    </w:p>
    <w:p>
      <w:pPr>
        <w:pStyle w:val="Heading1"/>
        <w:keepNext/>
        <w:spacing w:before="0" w:after="120"/>
      </w:pPr>
      <w:r>
        <w:rPr>
          <w:rFonts w:ascii="Playfair Display" w:hAnsi="Playfair Display"/>
          <w:b/>
          <w:color w:val="3E2723"/>
          <w:sz w:val="36"/>
        </w:rPr>
        <w:t>1. Setting Up Masters</w:t>
      </w:r>
    </w:p>
    <w:p>
      <w:pPr>
        <w:spacing w:after="240"/>
      </w:pPr>
      <w:r>
        <w:t>This section details the primary configuration required to establish the organizational foundation for Techsource Pvt. Ltd. in ERPNext.</w:t>
      </w:r>
    </w:p>
    <w:p>
      <w:pPr>
        <w:pStyle w:val="Heading2"/>
        <w:keepNext/>
        <w:spacing w:before="240" w:after="120"/>
      </w:pPr>
      <w:r>
        <w:rPr>
          <w:rFonts w:ascii="Plus Jakarta Sans" w:hAnsi="Plus Jakarta Sans"/>
          <w:b/>
          <w:color w:val="6D4C41"/>
          <w:sz w:val="28"/>
        </w:rPr>
        <w:t>Company Details</w:t>
      </w:r>
    </w:p>
    <w:p>
      <w:pPr>
        <w:ind w:left="360"/>
      </w:pPr>
      <w:r>
        <w:rPr>
          <w:b/>
        </w:rPr>
        <w:t xml:space="preserve">• Company Name: </w:t>
      </w:r>
      <w:r>
        <w:t>Techsource Pvt. Ltd.</w:t>
        <w:br/>
      </w:r>
      <w:r>
        <w:rPr>
          <w:b/>
        </w:rPr>
        <w:t xml:space="preserve">• Abbreviation: </w:t>
      </w:r>
      <w:r>
        <w:t>TPL</w:t>
        <w:br/>
      </w:r>
      <w:r>
        <w:rPr>
          <w:b/>
        </w:rPr>
        <w:t xml:space="preserve">• Default Currency: </w:t>
      </w:r>
      <w:r>
        <w:t>INR (Indian Rupee)</w:t>
        <w:br/>
      </w:r>
      <w:r>
        <w:rPr>
          <w:b/>
        </w:rPr>
        <w:t xml:space="preserve">• Default Settings: </w:t>
      </w:r>
      <w:r>
        <w:t>Set as default company under Global Defaults to ensure all inventory and financial transactions inherit these configurations.</w:t>
      </w:r>
    </w:p>
    <w:p>
      <w:pPr>
        <w:pStyle w:val="Heading2"/>
        <w:keepNext/>
        <w:spacing w:before="240" w:after="120"/>
      </w:pPr>
      <w:r>
        <w:rPr>
          <w:rFonts w:ascii="Plus Jakarta Sans" w:hAnsi="Plus Jakarta Sans"/>
          <w:b/>
          <w:color w:val="6D4C41"/>
          <w:sz w:val="28"/>
        </w:rPr>
        <w:t>Item Masters Setup</w:t>
      </w:r>
    </w:p>
    <w:p>
      <w:pPr>
        <w:ind w:left="360"/>
      </w:pPr>
      <w:r>
        <w:rPr>
          <w:b/>
        </w:rPr>
        <w:t>A. Stock Item - Wireless Mouse</w:t>
        <w:br/>
      </w:r>
      <w:r>
        <w:rPr>
          <w:b/>
        </w:rPr>
        <w:t xml:space="preserve">• Item Code: </w:t>
      </w:r>
      <w:r>
        <w:t>TPL-WM-01</w:t>
        <w:br/>
      </w:r>
      <w:r>
        <w:rPr>
          <w:b/>
        </w:rPr>
        <w:t xml:space="preserve">• Item Group: </w:t>
      </w:r>
      <w:r>
        <w:t>Products (or Hardware)</w:t>
        <w:br/>
      </w:r>
      <w:r>
        <w:rPr>
          <w:b/>
        </w:rPr>
        <w:t xml:space="preserve">• UoM: </w:t>
      </w:r>
      <w:r>
        <w:t>Nos</w:t>
        <w:br/>
      </w:r>
      <w:r>
        <w:rPr>
          <w:b/>
        </w:rPr>
        <w:t xml:space="preserve">• Default Warehouse: </w:t>
      </w:r>
      <w:r>
        <w:t>Central Warehouse - Raw Material Store - TPL</w:t>
        <w:br/>
      </w:r>
      <w:r>
        <w:rPr>
          <w:b/>
        </w:rPr>
        <w:t xml:space="preserve">• Valuation Method: </w:t>
      </w:r>
      <w:r>
        <w:t>FIFO (First In First Out)</w:t>
      </w:r>
    </w:p>
    <w:p>
      <w:pPr>
        <w:spacing w:before="160"/>
        <w:ind w:left="360"/>
      </w:pPr>
      <w:r>
        <w:rPr>
          <w:b/>
        </w:rPr>
        <w:t>B. Service Item - Consultation Service</w:t>
        <w:br/>
      </w:r>
      <w:r>
        <w:rPr>
          <w:b/>
        </w:rPr>
        <w:t xml:space="preserve">• Item Code: </w:t>
      </w:r>
      <w:r>
        <w:t>TPL-SRV-01</w:t>
        <w:br/>
      </w:r>
      <w:r>
        <w:rPr>
          <w:b/>
        </w:rPr>
        <w:t xml:space="preserve">• Item Group: </w:t>
      </w:r>
      <w:r>
        <w:t>Services</w:t>
        <w:br/>
      </w:r>
      <w:r>
        <w:rPr>
          <w:b/>
        </w:rPr>
        <w:t xml:space="preserve">• UoM: </w:t>
      </w:r>
      <w:r>
        <w:t>Hours</w:t>
        <w:br/>
      </w:r>
      <w:r>
        <w:rPr>
          <w:b/>
        </w:rPr>
        <w:t xml:space="preserve">• Is Stock Item: </w:t>
      </w:r>
      <w:r>
        <w:t>No (Unchecked) - *Ensures that no physical stock or stock ledger entries are generated for transactions.*</w:t>
      </w:r>
    </w:p>
    <w:p>
      <w:pPr>
        <w:pStyle w:val="Heading2"/>
        <w:keepNext/>
        <w:spacing w:before="240" w:after="120"/>
      </w:pPr>
      <w:r>
        <w:rPr>
          <w:rFonts w:ascii="Plus Jakarta Sans" w:hAnsi="Plus Jakarta Sans"/>
          <w:b/>
          <w:color w:val="6D4C41"/>
          <w:sz w:val="28"/>
        </w:rPr>
        <w:t>Customer &amp; Supplier Profiles</w:t>
      </w:r>
    </w:p>
    <w:p>
      <w:pPr>
        <w:ind w:left="360"/>
      </w:pPr>
      <w:r>
        <w:rPr>
          <w:b/>
        </w:rPr>
        <w:t xml:space="preserve">• Customer: </w:t>
      </w:r>
      <w:r>
        <w:t>Bright Enterprises. An address is created (HQ, Mumbai) and linked directly to this customer record. The address has 'Billing Address' and 'Shipping Address' checks enabled so it populates automatically in sales documents.</w:t>
        <w:br/>
      </w:r>
      <w:r>
        <w:rPr>
          <w:b/>
        </w:rPr>
        <w:t xml:space="preserve">• Supplier: </w:t>
      </w:r>
      <w:r>
        <w:t>Metro Supplies. A contact is created (sales@metrosupplies.com, +91 98765 43210) and linked to this supplier record.</w:t>
      </w:r>
    </w:p>
    <w:p>
      <w:pPr>
        <w:pStyle w:val="Heading2"/>
        <w:keepNext/>
        <w:spacing w:before="240" w:after="120"/>
      </w:pPr>
      <w:r>
        <w:rPr>
          <w:rFonts w:ascii="Plus Jakarta Sans" w:hAnsi="Plus Jakarta Sans"/>
          <w:b/>
          <w:color w:val="6D4C41"/>
          <w:sz w:val="28"/>
        </w:rPr>
        <w:t>Warehouse Tree Structure</w:t>
      </w:r>
    </w:p>
    <w:p>
      <w:pPr>
        <w:spacing w:after="160"/>
      </w:pPr>
      <w:r>
        <w:t>The warehouse hierarchy is modeled as follows. Note that group nodes cannot store items directly; only leaf nodes (designated with Ledger) can store inventory:</w:t>
      </w:r>
    </w:p>
    <w:p>
      <w:pPr>
        <w:spacing w:after="240"/>
        <w:ind w:left="720"/>
      </w:pPr>
      <w:r>
        <w:rPr>
          <w:rFonts w:ascii="Consolas" w:hAnsi="Consolas"/>
          <w:color w:val="6D4C41"/>
          <w:sz w:val="20"/>
        </w:rPr>
        <w:t>All Warehouses (TPL)</w:t>
        <w:br/>
        <w:t>├── Central Warehouse (TPL) [Group]</w:t>
        <w:br/>
        <w:t>│   ├── Raw Material Store (TPL) [Ledger]</w:t>
        <w:br/>
        <w:t>│   └── Service Spare Store (TPL) [Ledger]</w:t>
        <w:br/>
        <w:t>├── India Branch (TPL) [Group]</w:t>
        <w:br/>
        <w:t>│   ├── Mumbai (TPL) [Ledger]</w:t>
        <w:br/>
        <w:t>│   └── Delhi (TPL) [Ledger]</w:t>
        <w:br/>
        <w:t>└── Middle East (TPL) [Group]</w:t>
        <w:br/>
        <w:t xml:space="preserve">    ├── Dubai (TPL) [Ledger]</w:t>
        <w:br/>
        <w:t xml:space="preserve">    └── Egypt (TPL) [Ledger]</w:t>
        <w:br/>
      </w:r>
    </w:p>
    <w:p>
      <w:pPr>
        <w:pStyle w:val="Heading2"/>
        <w:keepNext/>
        <w:spacing w:before="240" w:after="120"/>
      </w:pPr>
      <w:r>
        <w:rPr>
          <w:rFonts w:ascii="Plus Jakarta Sans" w:hAnsi="Plus Jakarta Sans"/>
          <w:b/>
          <w:color w:val="6D4C41"/>
          <w:sz w:val="28"/>
        </w:rPr>
        <w:t>Chart of Accounts Customization</w:t>
      </w:r>
    </w:p>
    <w:p>
      <w:pPr>
        <w:spacing w:after="160"/>
      </w:pPr>
      <w:r>
        <w:t>To log specific transactions, the following custom accounts were mapped under the appropriate groups in the Chart of Accounts:</w:t>
      </w:r>
    </w:p>
    <w:tbl>
      <w:tblPr>
        <w:tblW w:type="auto" w:w="0"/>
        <w:jc w:val="center"/>
        <w:tblLook w:firstColumn="1" w:firstRow="1" w:lastColumn="0" w:lastRow="0" w:noHBand="0" w:noVBand="1" w:val="04A0"/>
      </w:tblPr>
      <w:tblGrid>
        <w:gridCol w:w="3120"/>
        <w:gridCol w:w="3120"/>
        <w:gridCol w:w="3120"/>
      </w:tblGrid>
      <w:tr>
        <w:tc>
          <w:tcPr>
            <w:tcW w:type="dxa" w:w="3120"/>
            <w:shd w:fill="FAF8F2"/>
            <w:tcMar>
              <w:top w:w="120" w:type="dxa"/>
              <w:bottom w:w="120" w:type="dxa"/>
              <w:left w:w="120" w:type="dxa"/>
              <w:right w:w="120" w:type="dxa"/>
            </w:tcMar>
          </w:tcPr>
          <w:p>
            <w:pPr>
              <w:spacing w:before="40" w:after="40"/>
              <w:jc w:val="left"/>
            </w:pPr>
            <w:r>
              <w:rPr>
                <w:rFonts w:ascii="Plus Jakarta Sans" w:hAnsi="Plus Jakarta Sans"/>
                <w:b/>
                <w:i w:val="0"/>
                <w:color w:val="3E2723"/>
                <w:sz w:val="20"/>
              </w:rPr>
              <w:t>Ledger Name</w:t>
            </w:r>
          </w:p>
        </w:tc>
        <w:tc>
          <w:tcPr>
            <w:tcW w:type="dxa" w:w="3120"/>
            <w:shd w:fill="FAF8F2"/>
            <w:tcMar>
              <w:top w:w="120" w:type="dxa"/>
              <w:bottom w:w="120" w:type="dxa"/>
              <w:left w:w="120" w:type="dxa"/>
              <w:right w:w="120" w:type="dxa"/>
            </w:tcMar>
          </w:tcPr>
          <w:p>
            <w:pPr>
              <w:spacing w:before="40" w:after="40"/>
              <w:jc w:val="left"/>
            </w:pPr>
            <w:r>
              <w:rPr>
                <w:rFonts w:ascii="Plus Jakarta Sans" w:hAnsi="Plus Jakarta Sans"/>
                <w:b/>
                <w:i w:val="0"/>
                <w:color w:val="3E2723"/>
                <w:sz w:val="20"/>
              </w:rPr>
              <w:t>Parent Group</w:t>
            </w:r>
          </w:p>
        </w:tc>
        <w:tc>
          <w:tcPr>
            <w:tcW w:type="dxa" w:w="3120"/>
            <w:shd w:fill="FAF8F2"/>
            <w:tcMar>
              <w:top w:w="120" w:type="dxa"/>
              <w:bottom w:w="120" w:type="dxa"/>
              <w:left w:w="120" w:type="dxa"/>
              <w:right w:w="120" w:type="dxa"/>
            </w:tcMar>
          </w:tcPr>
          <w:p>
            <w:pPr>
              <w:spacing w:before="40" w:after="40"/>
              <w:jc w:val="left"/>
            </w:pPr>
            <w:r>
              <w:rPr>
                <w:rFonts w:ascii="Plus Jakarta Sans" w:hAnsi="Plus Jakarta Sans"/>
                <w:b/>
                <w:i w:val="0"/>
                <w:color w:val="3E2723"/>
                <w:sz w:val="20"/>
              </w:rPr>
              <w:t>Account Type</w:t>
            </w:r>
          </w:p>
        </w:tc>
      </w:tr>
      <w:tr>
        <w:trPr>
          <w:trHeight w:val="400" w:hRule="atLeast"/>
        </w:trPr>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Bank – HDFC</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Bank Accounts (Assets &gt; Current Assets)</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Bank</w:t>
            </w:r>
          </w:p>
        </w:tc>
      </w:tr>
      <w:tr>
        <w:trPr>
          <w:trHeight w:val="400" w:hRule="atLeast"/>
        </w:trPr>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Bank – ICICI</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Bank Accounts (Assets &gt; Current Assets)</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Bank</w:t>
            </w:r>
          </w:p>
        </w:tc>
      </w:tr>
      <w:tr>
        <w:trPr>
          <w:trHeight w:val="400" w:hRule="atLeast"/>
        </w:trPr>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Hardware Sales Income</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Direct Income (Income &gt; Revenue)</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Income Account</w:t>
            </w:r>
          </w:p>
        </w:tc>
      </w:tr>
      <w:tr>
        <w:trPr>
          <w:trHeight w:val="400" w:hRule="atLeast"/>
        </w:trPr>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Service Income</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Direct Income (Income &gt; Revenue)</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Income Account</w:t>
            </w:r>
          </w:p>
        </w:tc>
      </w:tr>
      <w:tr>
        <w:trPr>
          <w:trHeight w:val="400" w:hRule="atLeast"/>
        </w:trPr>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AMC Income</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Direct/Indirect Income</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Income Account</w:t>
            </w:r>
          </w:p>
        </w:tc>
      </w:tr>
      <w:tr>
        <w:trPr>
          <w:trHeight w:val="400" w:hRule="atLeast"/>
        </w:trPr>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Internet &amp; Communication</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Indirect Expenses (Expenses)</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Expense Account</w:t>
            </w:r>
          </w:p>
        </w:tc>
      </w:tr>
      <w:tr>
        <w:trPr>
          <w:trHeight w:val="400" w:hRule="atLeast"/>
        </w:trPr>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Travel &amp; Conveyance</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Indirect Expenses (Expenses)</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Expense Account</w:t>
            </w:r>
          </w:p>
        </w:tc>
      </w:tr>
      <w:tr>
        <w:trPr>
          <w:trHeight w:val="400" w:hRule="atLeast"/>
        </w:trPr>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Repair &amp; Maintenance</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Indirect Expenses (Expenses)</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Expense Account</w:t>
            </w:r>
          </w:p>
        </w:tc>
      </w:tr>
      <w:tr>
        <w:trPr>
          <w:trHeight w:val="400" w:hRule="atLeast"/>
        </w:trPr>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Marketing Expense</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Indirect Expenses (Expenses)</w:t>
            </w:r>
          </w:p>
        </w:tc>
        <w:tc>
          <w:tcPr>
            <w:tcW w:type="dxa" w:w="3120"/>
            <w:tcMar>
              <w:top w:w="80" w:type="dxa"/>
              <w:bottom w:w="80" w:type="dxa"/>
              <w:left w:w="120" w:type="dxa"/>
              <w:right w:w="120" w:type="dxa"/>
            </w:tcMar>
          </w:tcPr>
          <w:p>
            <w:pPr>
              <w:spacing w:before="40" w:after="40"/>
              <w:jc w:val="left"/>
            </w:pPr>
            <w:r>
              <w:rPr>
                <w:rFonts w:ascii="Plus Jakarta Sans" w:hAnsi="Plus Jakarta Sans"/>
                <w:b w:val="0"/>
                <w:i w:val="0"/>
                <w:sz w:val="19"/>
              </w:rPr>
              <w:t>Expense Account</w:t>
            </w:r>
          </w:p>
        </w:tc>
      </w:tr>
    </w:tbl>
    <w:p>
      <w:pPr>
        <w:spacing w:after="240"/>
      </w:pPr>
    </w:p>
    <w:p>
      <w:r>
        <w:br w:type="page"/>
      </w:r>
    </w:p>
    <w:p>
      <w:pPr>
        <w:pStyle w:val="Heading1"/>
        <w:keepNext/>
        <w:spacing w:before="240" w:after="120"/>
      </w:pPr>
      <w:r>
        <w:rPr>
          <w:rFonts w:ascii="Playfair Display" w:hAnsi="Playfair Display"/>
          <w:b/>
          <w:color w:val="3E2723"/>
          <w:sz w:val="36"/>
        </w:rPr>
        <w:t>2. Purchase Cycle (Procurement to Billing)</w:t>
      </w:r>
    </w:p>
    <w:p>
      <w:pPr>
        <w:pStyle w:val="Heading2"/>
        <w:keepNext/>
        <w:spacing w:before="240" w:after="120"/>
      </w:pPr>
      <w:r>
        <w:rPr>
          <w:rFonts w:ascii="Plus Jakarta Sans" w:hAnsi="Plus Jakarta Sans"/>
          <w:b/>
          <w:color w:val="6D4C41"/>
          <w:sz w:val="28"/>
        </w:rPr>
        <w:t>Procurement Steps</w:t>
      </w:r>
    </w:p>
    <w:p>
      <w:pPr>
        <w:ind w:left="360"/>
      </w:pPr>
      <w:r>
        <w:rPr>
          <w:b/>
        </w:rPr>
        <w:t xml:space="preserve">1. Purchase Material Request: </w:t>
      </w:r>
      <w:r>
        <w:t>Created a Material Request for 6 Laptops, 12 Wireless Mice, and 1 Installation Service (non-stock).</w:t>
        <w:br/>
      </w:r>
      <w:r>
        <w:rPr>
          <w:b/>
        </w:rPr>
        <w:t xml:space="preserve">2. Request for Quotation (RFQ): </w:t>
      </w:r>
      <w:r>
        <w:t>Generated an RFQ from the Material Request and sent to Metro Supplies and Apex Distributors.</w:t>
        <w:br/>
      </w:r>
      <w:r>
        <w:rPr>
          <w:b/>
        </w:rPr>
        <w:t xml:space="preserve">3. Supplier Quotations: </w:t>
      </w:r>
      <w:r>
        <w:t>Recorded response rates:</w:t>
        <w:br/>
        <w:t xml:space="preserve">   • Metro Supplies: Laptop = $45,000, Wireless Mouse = $800, Installation = $2,500. Total = $282,100.</w:t>
        <w:br/>
        <w:t xml:space="preserve">   • Apex Distributors: Laptop = $47,000, Wireless Mouse = $750, Installation = $3,000. Total = $294,000.</w:t>
        <w:br/>
      </w:r>
      <w:r>
        <w:rPr>
          <w:b/>
        </w:rPr>
        <w:t xml:space="preserve">4. Selection &amp; Purchase Order: </w:t>
      </w:r>
      <w:r>
        <w:t>Selected Metro Supplies. Converted their Quotation into a Purchase Order.</w:t>
        <w:br/>
      </w:r>
      <w:r>
        <w:rPr>
          <w:b/>
        </w:rPr>
        <w:t xml:space="preserve">5. Receipts &amp; Billing: </w:t>
      </w:r>
      <w:r>
        <w:t>Completed the cycle by creating a Purchase Receipt (stock receipt) and a Purchase Invoice (billing).</w:t>
      </w:r>
    </w:p>
    <w:p>
      <w:pPr>
        <w:pStyle w:val="Heading2"/>
        <w:keepNext/>
        <w:spacing w:before="240" w:after="120"/>
      </w:pPr>
      <w:r>
        <w:rPr>
          <w:rFonts w:ascii="Plus Jakarta Sans" w:hAnsi="Plus Jakarta Sans"/>
          <w:b/>
          <w:color w:val="6D4C41"/>
          <w:sz w:val="28"/>
        </w:rPr>
        <w:t>Ledger Impacts</w:t>
      </w:r>
    </w:p>
    <w:p>
      <w:pPr>
        <w:spacing w:before="120" w:after="80"/>
      </w:pPr>
      <w:r>
        <w:rPr>
          <w:b/>
        </w:rPr>
        <w:t>A. Purchase Receipt (Stock Inward):</w:t>
      </w:r>
    </w:p>
    <w:tbl>
      <w:tblPr>
        <w:tblW w:type="auto" w:w="0"/>
        <w:jc w:val="center"/>
        <w:tblLook w:firstColumn="1" w:firstRow="1" w:lastColumn="0" w:lastRow="0" w:noHBand="0" w:noVBand="1" w:val="04A0"/>
      </w:tblPr>
      <w:tblGrid>
        <w:gridCol w:w="2340"/>
        <w:gridCol w:w="2340"/>
        <w:gridCol w:w="2340"/>
        <w:gridCol w:w="2340"/>
      </w:tblGrid>
      <w:tr>
        <w:tc>
          <w:tcPr>
            <w:tcW w:type="dxa" w:w="2340"/>
            <w:shd w:fill="FAF8F2"/>
          </w:tcPr>
          <w:p>
            <w:pPr>
              <w:spacing w:before="40" w:after="40"/>
              <w:jc w:val="left"/>
            </w:pPr>
            <w:r>
              <w:rPr>
                <w:rFonts w:ascii="Plus Jakarta Sans" w:hAnsi="Plus Jakarta Sans"/>
                <w:b/>
                <w:i w:val="0"/>
                <w:sz w:val="19"/>
              </w:rPr>
              <w:t>Account Name</w:t>
            </w:r>
          </w:p>
        </w:tc>
        <w:tc>
          <w:tcPr>
            <w:tcW w:type="dxa" w:w="2340"/>
            <w:shd w:fill="FAF8F2"/>
          </w:tcPr>
          <w:p>
            <w:pPr>
              <w:spacing w:before="40" w:after="40"/>
              <w:jc w:val="left"/>
            </w:pPr>
            <w:r>
              <w:rPr>
                <w:rFonts w:ascii="Plus Jakarta Sans" w:hAnsi="Plus Jakarta Sans"/>
                <w:b/>
                <w:i w:val="0"/>
                <w:sz w:val="19"/>
              </w:rPr>
              <w:t>Debit</w:t>
            </w:r>
          </w:p>
        </w:tc>
        <w:tc>
          <w:tcPr>
            <w:tcW w:type="dxa" w:w="2340"/>
            <w:shd w:fill="FAF8F2"/>
          </w:tcPr>
          <w:p>
            <w:pPr>
              <w:spacing w:before="40" w:after="40"/>
              <w:jc w:val="left"/>
            </w:pPr>
            <w:r>
              <w:rPr>
                <w:rFonts w:ascii="Plus Jakarta Sans" w:hAnsi="Plus Jakarta Sans"/>
                <w:b/>
                <w:i w:val="0"/>
                <w:sz w:val="19"/>
              </w:rPr>
              <w:t>Credit</w:t>
            </w:r>
          </w:p>
        </w:tc>
        <w:tc>
          <w:tcPr>
            <w:tcW w:type="dxa" w:w="2340"/>
            <w:shd w:fill="FAF8F2"/>
          </w:tcPr>
          <w:p>
            <w:pPr>
              <w:spacing w:before="40" w:after="40"/>
              <w:jc w:val="left"/>
            </w:pPr>
            <w:r>
              <w:rPr>
                <w:rFonts w:ascii="Plus Jakarta Sans" w:hAnsi="Plus Jakarta Sans"/>
                <w:b/>
                <w:i w:val="0"/>
                <w:sz w:val="19"/>
              </w:rPr>
              <w:t>Remarks</w:t>
            </w:r>
          </w:p>
        </w:tc>
      </w:tr>
      <w:tr>
        <w:tc>
          <w:tcPr>
            <w:tcW w:type="dxa" w:w="2340"/>
          </w:tcPr>
          <w:p>
            <w:pPr>
              <w:spacing w:before="40" w:after="40"/>
              <w:jc w:val="left"/>
            </w:pPr>
            <w:r>
              <w:rPr>
                <w:rFonts w:ascii="Plus Jakarta Sans" w:hAnsi="Plus Jakarta Sans"/>
                <w:b w:val="0"/>
                <w:i w:val="0"/>
                <w:sz w:val="18"/>
              </w:rPr>
              <w:t>Stock In Hand (Asset)</w:t>
            </w:r>
          </w:p>
        </w:tc>
        <w:tc>
          <w:tcPr>
            <w:tcW w:type="dxa" w:w="2340"/>
          </w:tcPr>
          <w:p>
            <w:pPr>
              <w:spacing w:before="40" w:after="40"/>
              <w:jc w:val="left"/>
            </w:pPr>
            <w:r>
              <w:rPr>
                <w:rFonts w:ascii="Plus Jakarta Sans" w:hAnsi="Plus Jakarta Sans"/>
                <w:b w:val="0"/>
                <w:i w:val="0"/>
                <w:sz w:val="18"/>
              </w:rPr>
              <w:t>$279,600</w:t>
            </w:r>
          </w:p>
        </w:tc>
        <w:tc>
          <w:tcPr>
            <w:tcW w:type="dxa" w:w="2340"/>
          </w:tcPr>
          <w:p>
            <w:pPr>
              <w:spacing w:before="40" w:after="40"/>
              <w:jc w:val="left"/>
            </w:pPr>
            <w:r>
              <w:rPr>
                <w:rFonts w:ascii="Plus Jakarta Sans" w:hAnsi="Plus Jakarta Sans"/>
                <w:b w:val="0"/>
                <w:i w:val="0"/>
                <w:sz w:val="18"/>
              </w:rPr>
              <w:t>-</w:t>
            </w:r>
          </w:p>
        </w:tc>
        <w:tc>
          <w:tcPr>
            <w:tcW w:type="dxa" w:w="2340"/>
          </w:tcPr>
          <w:p>
            <w:pPr>
              <w:spacing w:before="40" w:after="40"/>
              <w:jc w:val="left"/>
            </w:pPr>
            <w:r>
              <w:rPr>
                <w:rFonts w:ascii="Plus Jakarta Sans" w:hAnsi="Plus Jakarta Sans"/>
                <w:b w:val="0"/>
                <w:i w:val="0"/>
                <w:sz w:val="18"/>
              </w:rPr>
              <w:t>Value of Laptops &amp; Mice received in Raw Material Store</w:t>
            </w:r>
          </w:p>
        </w:tc>
      </w:tr>
      <w:tr>
        <w:tc>
          <w:tcPr>
            <w:tcW w:type="dxa" w:w="2340"/>
          </w:tcPr>
          <w:p>
            <w:pPr>
              <w:spacing w:before="40" w:after="40"/>
              <w:jc w:val="left"/>
            </w:pPr>
            <w:r>
              <w:rPr>
                <w:rFonts w:ascii="Plus Jakarta Sans" w:hAnsi="Plus Jakarta Sans"/>
                <w:b w:val="0"/>
                <w:i w:val="0"/>
                <w:sz w:val="18"/>
              </w:rPr>
              <w:t>Stock Received But Not Billed (Liability)</w:t>
            </w:r>
          </w:p>
        </w:tc>
        <w:tc>
          <w:tcPr>
            <w:tcW w:type="dxa" w:w="2340"/>
          </w:tcPr>
          <w:p>
            <w:pPr>
              <w:spacing w:before="40" w:after="40"/>
              <w:jc w:val="left"/>
            </w:pPr>
            <w:r>
              <w:rPr>
                <w:rFonts w:ascii="Plus Jakarta Sans" w:hAnsi="Plus Jakarta Sans"/>
                <w:b w:val="0"/>
                <w:i w:val="0"/>
                <w:sz w:val="18"/>
              </w:rPr>
              <w:t>-</w:t>
            </w:r>
          </w:p>
        </w:tc>
        <w:tc>
          <w:tcPr>
            <w:tcW w:type="dxa" w:w="2340"/>
          </w:tcPr>
          <w:p>
            <w:pPr>
              <w:spacing w:before="40" w:after="40"/>
              <w:jc w:val="left"/>
            </w:pPr>
            <w:r>
              <w:rPr>
                <w:rFonts w:ascii="Plus Jakarta Sans" w:hAnsi="Plus Jakarta Sans"/>
                <w:b w:val="0"/>
                <w:i w:val="0"/>
                <w:sz w:val="18"/>
              </w:rPr>
              <w:t>$279,600</w:t>
            </w:r>
          </w:p>
        </w:tc>
        <w:tc>
          <w:tcPr>
            <w:tcW w:type="dxa" w:w="2340"/>
          </w:tcPr>
          <w:p>
            <w:pPr>
              <w:spacing w:before="40" w:after="40"/>
              <w:jc w:val="left"/>
            </w:pPr>
            <w:r>
              <w:rPr>
                <w:rFonts w:ascii="Plus Jakarta Sans" w:hAnsi="Plus Jakarta Sans"/>
                <w:b w:val="0"/>
                <w:i w:val="0"/>
                <w:sz w:val="18"/>
              </w:rPr>
              <w:t>Temporary liability accrual</w:t>
            </w:r>
          </w:p>
        </w:tc>
      </w:tr>
    </w:tbl>
    <w:p>
      <w:pPr>
        <w:spacing w:before="160" w:after="80"/>
      </w:pPr>
      <w:r>
        <w:rPr>
          <w:b/>
        </w:rPr>
        <w:t>B. Purchase Invoice (Accounts Payable Booking):</w:t>
      </w:r>
    </w:p>
    <w:tbl>
      <w:tblPr>
        <w:tblW w:type="auto" w:w="0"/>
        <w:jc w:val="center"/>
        <w:tblLook w:firstColumn="1" w:firstRow="1" w:lastColumn="0" w:lastRow="0" w:noHBand="0" w:noVBand="1" w:val="04A0"/>
      </w:tblPr>
      <w:tblGrid>
        <w:gridCol w:w="2340"/>
        <w:gridCol w:w="2340"/>
        <w:gridCol w:w="2340"/>
        <w:gridCol w:w="2340"/>
      </w:tblGrid>
      <w:tr>
        <w:tc>
          <w:tcPr>
            <w:tcW w:type="dxa" w:w="2340"/>
            <w:shd w:fill="FAF8F2"/>
          </w:tcPr>
          <w:p>
            <w:pPr>
              <w:spacing w:before="40" w:after="40"/>
              <w:jc w:val="left"/>
            </w:pPr>
            <w:r>
              <w:rPr>
                <w:rFonts w:ascii="Plus Jakarta Sans" w:hAnsi="Plus Jakarta Sans"/>
                <w:b/>
                <w:i w:val="0"/>
                <w:sz w:val="19"/>
              </w:rPr>
              <w:t>Account Name</w:t>
            </w:r>
          </w:p>
        </w:tc>
        <w:tc>
          <w:tcPr>
            <w:tcW w:type="dxa" w:w="2340"/>
            <w:shd w:fill="FAF8F2"/>
          </w:tcPr>
          <w:p>
            <w:pPr>
              <w:spacing w:before="40" w:after="40"/>
              <w:jc w:val="left"/>
            </w:pPr>
            <w:r>
              <w:rPr>
                <w:rFonts w:ascii="Plus Jakarta Sans" w:hAnsi="Plus Jakarta Sans"/>
                <w:b/>
                <w:i w:val="0"/>
                <w:sz w:val="19"/>
              </w:rPr>
              <w:t>Debit</w:t>
            </w:r>
          </w:p>
        </w:tc>
        <w:tc>
          <w:tcPr>
            <w:tcW w:type="dxa" w:w="2340"/>
            <w:shd w:fill="FAF8F2"/>
          </w:tcPr>
          <w:p>
            <w:pPr>
              <w:spacing w:before="40" w:after="40"/>
              <w:jc w:val="left"/>
            </w:pPr>
            <w:r>
              <w:rPr>
                <w:rFonts w:ascii="Plus Jakarta Sans" w:hAnsi="Plus Jakarta Sans"/>
                <w:b/>
                <w:i w:val="0"/>
                <w:sz w:val="19"/>
              </w:rPr>
              <w:t>Credit</w:t>
            </w:r>
          </w:p>
        </w:tc>
        <w:tc>
          <w:tcPr>
            <w:tcW w:type="dxa" w:w="2340"/>
            <w:shd w:fill="FAF8F2"/>
          </w:tcPr>
          <w:p>
            <w:pPr>
              <w:spacing w:before="40" w:after="40"/>
              <w:jc w:val="left"/>
            </w:pPr>
            <w:r>
              <w:rPr>
                <w:rFonts w:ascii="Plus Jakarta Sans" w:hAnsi="Plus Jakarta Sans"/>
                <w:b/>
                <w:i w:val="0"/>
                <w:sz w:val="19"/>
              </w:rPr>
              <w:t>Remarks</w:t>
            </w:r>
          </w:p>
        </w:tc>
      </w:tr>
      <w:tr>
        <w:tc>
          <w:tcPr>
            <w:tcW w:type="dxa" w:w="2340"/>
          </w:tcPr>
          <w:p>
            <w:pPr>
              <w:spacing w:before="40" w:after="40"/>
              <w:jc w:val="left"/>
            </w:pPr>
            <w:r>
              <w:rPr>
                <w:rFonts w:ascii="Plus Jakarta Sans" w:hAnsi="Plus Jakarta Sans"/>
                <w:b w:val="0"/>
                <w:i w:val="0"/>
                <w:sz w:val="18"/>
              </w:rPr>
              <w:t>Stock Received But Not Billed</w:t>
            </w:r>
          </w:p>
        </w:tc>
        <w:tc>
          <w:tcPr>
            <w:tcW w:type="dxa" w:w="2340"/>
          </w:tcPr>
          <w:p>
            <w:pPr>
              <w:spacing w:before="40" w:after="40"/>
              <w:jc w:val="left"/>
            </w:pPr>
            <w:r>
              <w:rPr>
                <w:rFonts w:ascii="Plus Jakarta Sans" w:hAnsi="Plus Jakarta Sans"/>
                <w:b w:val="0"/>
                <w:i w:val="0"/>
                <w:sz w:val="18"/>
              </w:rPr>
              <w:t>$279,600</w:t>
            </w:r>
          </w:p>
        </w:tc>
        <w:tc>
          <w:tcPr>
            <w:tcW w:type="dxa" w:w="2340"/>
          </w:tcPr>
          <w:p>
            <w:pPr>
              <w:spacing w:before="40" w:after="40"/>
              <w:jc w:val="left"/>
            </w:pPr>
            <w:r>
              <w:rPr>
                <w:rFonts w:ascii="Plus Jakarta Sans" w:hAnsi="Plus Jakarta Sans"/>
                <w:b w:val="0"/>
                <w:i w:val="0"/>
                <w:sz w:val="18"/>
              </w:rPr>
              <w:t>-</w:t>
            </w:r>
          </w:p>
        </w:tc>
        <w:tc>
          <w:tcPr>
            <w:tcW w:type="dxa" w:w="2340"/>
          </w:tcPr>
          <w:p>
            <w:pPr>
              <w:spacing w:before="40" w:after="40"/>
              <w:jc w:val="left"/>
            </w:pPr>
            <w:r>
              <w:rPr>
                <w:rFonts w:ascii="Plus Jakarta Sans" w:hAnsi="Plus Jakarta Sans"/>
                <w:b w:val="0"/>
                <w:i w:val="0"/>
                <w:sz w:val="18"/>
              </w:rPr>
              <w:t>Clears the temporary liability</w:t>
            </w:r>
          </w:p>
        </w:tc>
      </w:tr>
      <w:tr>
        <w:tc>
          <w:tcPr>
            <w:tcW w:type="dxa" w:w="2340"/>
          </w:tcPr>
          <w:p>
            <w:pPr>
              <w:spacing w:before="40" w:after="40"/>
              <w:jc w:val="left"/>
            </w:pPr>
            <w:r>
              <w:rPr>
                <w:rFonts w:ascii="Plus Jakarta Sans" w:hAnsi="Plus Jakarta Sans"/>
                <w:b w:val="0"/>
                <w:i w:val="0"/>
                <w:sz w:val="18"/>
              </w:rPr>
              <w:t>Repair &amp; Maintenance (Expense)</w:t>
            </w:r>
          </w:p>
        </w:tc>
        <w:tc>
          <w:tcPr>
            <w:tcW w:type="dxa" w:w="2340"/>
          </w:tcPr>
          <w:p>
            <w:pPr>
              <w:spacing w:before="40" w:after="40"/>
              <w:jc w:val="left"/>
            </w:pPr>
            <w:r>
              <w:rPr>
                <w:rFonts w:ascii="Plus Jakarta Sans" w:hAnsi="Plus Jakarta Sans"/>
                <w:b w:val="0"/>
                <w:i w:val="0"/>
                <w:sz w:val="18"/>
              </w:rPr>
              <w:t>$2,500</w:t>
            </w:r>
          </w:p>
        </w:tc>
        <w:tc>
          <w:tcPr>
            <w:tcW w:type="dxa" w:w="2340"/>
          </w:tcPr>
          <w:p>
            <w:pPr>
              <w:spacing w:before="40" w:after="40"/>
              <w:jc w:val="left"/>
            </w:pPr>
            <w:r>
              <w:rPr>
                <w:rFonts w:ascii="Plus Jakarta Sans" w:hAnsi="Plus Jakarta Sans"/>
                <w:b w:val="0"/>
                <w:i w:val="0"/>
                <w:sz w:val="18"/>
              </w:rPr>
              <w:t>-</w:t>
            </w:r>
          </w:p>
        </w:tc>
        <w:tc>
          <w:tcPr>
            <w:tcW w:type="dxa" w:w="2340"/>
          </w:tcPr>
          <w:p>
            <w:pPr>
              <w:spacing w:before="40" w:after="40"/>
              <w:jc w:val="left"/>
            </w:pPr>
            <w:r>
              <w:rPr>
                <w:rFonts w:ascii="Plus Jakarta Sans" w:hAnsi="Plus Jakarta Sans"/>
                <w:b w:val="0"/>
                <w:i w:val="0"/>
                <w:sz w:val="18"/>
              </w:rPr>
              <w:t>Non-stock service item cost booked</w:t>
            </w:r>
          </w:p>
        </w:tc>
      </w:tr>
      <w:tr>
        <w:tc>
          <w:tcPr>
            <w:tcW w:type="dxa" w:w="2340"/>
          </w:tcPr>
          <w:p>
            <w:pPr>
              <w:spacing w:before="40" w:after="40"/>
              <w:jc w:val="left"/>
            </w:pPr>
            <w:r>
              <w:rPr>
                <w:rFonts w:ascii="Plus Jakarta Sans" w:hAnsi="Plus Jakarta Sans"/>
                <w:b w:val="0"/>
                <w:i w:val="0"/>
                <w:sz w:val="18"/>
              </w:rPr>
              <w:t>Metro Supplies (Accounts Payable)</w:t>
            </w:r>
          </w:p>
        </w:tc>
        <w:tc>
          <w:tcPr>
            <w:tcW w:type="dxa" w:w="2340"/>
          </w:tcPr>
          <w:p>
            <w:pPr>
              <w:spacing w:before="40" w:after="40"/>
              <w:jc w:val="left"/>
            </w:pPr>
            <w:r>
              <w:rPr>
                <w:rFonts w:ascii="Plus Jakarta Sans" w:hAnsi="Plus Jakarta Sans"/>
                <w:b w:val="0"/>
                <w:i w:val="0"/>
                <w:sz w:val="18"/>
              </w:rPr>
              <w:t>-</w:t>
            </w:r>
          </w:p>
        </w:tc>
        <w:tc>
          <w:tcPr>
            <w:tcW w:type="dxa" w:w="2340"/>
          </w:tcPr>
          <w:p>
            <w:pPr>
              <w:spacing w:before="40" w:after="40"/>
              <w:jc w:val="left"/>
            </w:pPr>
            <w:r>
              <w:rPr>
                <w:rFonts w:ascii="Plus Jakarta Sans" w:hAnsi="Plus Jakarta Sans"/>
                <w:b w:val="0"/>
                <w:i w:val="0"/>
                <w:sz w:val="18"/>
              </w:rPr>
              <w:t>$282,100</w:t>
            </w:r>
          </w:p>
        </w:tc>
        <w:tc>
          <w:tcPr>
            <w:tcW w:type="dxa" w:w="2340"/>
          </w:tcPr>
          <w:p>
            <w:pPr>
              <w:spacing w:before="40" w:after="40"/>
              <w:jc w:val="left"/>
            </w:pPr>
            <w:r>
              <w:rPr>
                <w:rFonts w:ascii="Plus Jakarta Sans" w:hAnsi="Plus Jakarta Sans"/>
                <w:b w:val="0"/>
                <w:i w:val="0"/>
                <w:sz w:val="18"/>
              </w:rPr>
              <w:t>Total amount owed to the supplier</w:t>
            </w:r>
          </w:p>
        </w:tc>
      </w:tr>
    </w:tbl>
    <w:p>
      <w:pPr>
        <w:spacing w:after="240"/>
      </w:pPr>
    </w:p>
    <w:p>
      <w:pPr>
        <w:pStyle w:val="Heading2"/>
        <w:keepNext/>
        <w:spacing w:before="240" w:after="120"/>
      </w:pPr>
      <w:r>
        <w:rPr>
          <w:rFonts w:ascii="Plus Jakarta Sans" w:hAnsi="Plus Jakarta Sans"/>
          <w:b/>
          <w:color w:val="6D4C41"/>
          <w:sz w:val="28"/>
        </w:rPr>
        <w:t>Screenshots Submission (Purchase Cycle)</w:t>
      </w: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RFQ &amp; Supplier Quotation]</w:t>
              <w:br/>
            </w:r>
            <w:r>
              <w:rPr>
                <w:rFonts w:ascii="Plus Jakarta Sans" w:hAnsi="Plus Jakarta Sans"/>
                <w:i/>
                <w:color w:val="6D4C41"/>
                <w:sz w:val="20"/>
              </w:rPr>
              <w:t>Instructions: Go to Buying &gt; Request for Quotation. Open the RFQ you sent to Metro Supplies, showing the linked Supplier Quotation documents in the Connections sidebar.</w:t>
            </w:r>
          </w:p>
        </w:tc>
      </w:tr>
    </w:tbl>
    <w:p>
      <w:pPr>
        <w:spacing w:after="240"/>
      </w:pP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Purchase Order]</w:t>
              <w:br/>
            </w:r>
            <w:r>
              <w:rPr>
                <w:rFonts w:ascii="Plus Jakarta Sans" w:hAnsi="Plus Jakarta Sans"/>
                <w:i/>
                <w:color w:val="6D4C41"/>
                <w:sz w:val="20"/>
              </w:rPr>
              <w:t>Instructions: Go to Buying &gt; Purchase Order. Capture your submitted PO details for Metro Supplies, showing the status as 'To Receive and Bill'.</w:t>
            </w:r>
          </w:p>
        </w:tc>
      </w:tr>
    </w:tbl>
    <w:p>
      <w:pPr>
        <w:spacing w:after="240"/>
      </w:pP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Purchase Receipt Impact on Stock Ledger]</w:t>
              <w:br/>
            </w:r>
            <w:r>
              <w:rPr>
                <w:rFonts w:ascii="Plus Jakarta Sans" w:hAnsi="Plus Jakarta Sans"/>
                <w:i/>
                <w:color w:val="6D4C41"/>
                <w:sz w:val="20"/>
              </w:rPr>
              <w:t>Instructions: Go to Stock &gt; Stock Ledger. Filter by your Purchase Receipt. Capture the ledger showing Laptops (+6) and Wireless Mice (+12) added to Raw Material Store.</w:t>
            </w:r>
          </w:p>
        </w:tc>
      </w:tr>
    </w:tbl>
    <w:p>
      <w:pPr>
        <w:spacing w:after="240"/>
      </w:pP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Purchase Invoice Impact on General Ledger]</w:t>
              <w:br/>
            </w:r>
            <w:r>
              <w:rPr>
                <w:rFonts w:ascii="Plus Jakarta Sans" w:hAnsi="Plus Jakarta Sans"/>
                <w:i/>
                <w:color w:val="6D4C41"/>
                <w:sz w:val="20"/>
              </w:rPr>
              <w:t>Instructions: Open your submitted Purchase Invoice, click View &gt; Ledger in the top-right corner, and screenshot the double-entry accounting ledger table.</w:t>
            </w:r>
          </w:p>
        </w:tc>
      </w:tr>
    </w:tbl>
    <w:p>
      <w:pPr>
        <w:spacing w:after="240"/>
      </w:pPr>
    </w:p>
    <w:p>
      <w:r>
        <w:br w:type="page"/>
      </w:r>
    </w:p>
    <w:p>
      <w:pPr>
        <w:pStyle w:val="Heading1"/>
        <w:keepNext/>
        <w:spacing w:before="240" w:after="120"/>
      </w:pPr>
      <w:r>
        <w:rPr>
          <w:rFonts w:ascii="Playfair Display" w:hAnsi="Playfair Display"/>
          <w:b/>
          <w:color w:val="3E2723"/>
          <w:sz w:val="36"/>
        </w:rPr>
        <w:t>3. Sales Cycle (Order to Cash)</w:t>
      </w:r>
    </w:p>
    <w:p>
      <w:pPr>
        <w:pStyle w:val="Heading2"/>
        <w:keepNext/>
        <w:spacing w:before="240" w:after="120"/>
      </w:pPr>
      <w:r>
        <w:rPr>
          <w:rFonts w:ascii="Plus Jakarta Sans" w:hAnsi="Plus Jakarta Sans"/>
          <w:b/>
          <w:color w:val="6D4C41"/>
          <w:sz w:val="28"/>
        </w:rPr>
        <w:t>Sales Steps</w:t>
      </w:r>
    </w:p>
    <w:p>
      <w:pPr>
        <w:ind w:left="360"/>
      </w:pPr>
      <w:r>
        <w:rPr>
          <w:b/>
        </w:rPr>
        <w:t xml:space="preserve">1. Sales Quotation: </w:t>
      </w:r>
      <w:r>
        <w:t>Created a Quotation for customer Alpha Retail Pvt. Ltd. with: 2 Laptops ($55,000/ea), 3 Wireless Mice ($1,200/ea), and 1 Installation Service ($4,000). Subtotal = $117,600.</w:t>
        <w:br/>
      </w:r>
      <w:r>
        <w:rPr>
          <w:b/>
        </w:rPr>
        <w:t xml:space="preserve">2. Sales Order with 5% Discount: </w:t>
      </w:r>
      <w:r>
        <w:t>Converted the Quotation into a Sales Order. Applied a 5% discount on the total amount. Net Grand Total = $111,720.</w:t>
        <w:br/>
      </w:r>
      <w:r>
        <w:rPr>
          <w:b/>
        </w:rPr>
        <w:t xml:space="preserve">3. Delivery Note (Stock Outward): </w:t>
      </w:r>
      <w:r>
        <w:t>Issued a Delivery Note to ship the 2 Laptops and 3 Wireless Mice from Raw Material Store.</w:t>
        <w:br/>
      </w:r>
      <w:r>
        <w:rPr>
          <w:b/>
        </w:rPr>
        <w:t xml:space="preserve">4. Sales Invoice (Billing): </w:t>
      </w:r>
      <w:r>
        <w:t>Created a Sales Invoice to book the receivable of $111,720 against the customer.</w:t>
      </w:r>
    </w:p>
    <w:p>
      <w:pPr>
        <w:pStyle w:val="Heading2"/>
        <w:keepNext/>
        <w:spacing w:before="240" w:after="120"/>
      </w:pPr>
      <w:r>
        <w:rPr>
          <w:rFonts w:ascii="Plus Jakarta Sans" w:hAnsi="Plus Jakarta Sans"/>
          <w:b/>
          <w:color w:val="6D4C41"/>
          <w:sz w:val="28"/>
        </w:rPr>
        <w:t>Ledger Impacts</w:t>
      </w:r>
    </w:p>
    <w:p>
      <w:pPr>
        <w:spacing w:before="120" w:after="80"/>
      </w:pPr>
      <w:r>
        <w:rPr>
          <w:b/>
        </w:rPr>
        <w:t>A. Delivery Note (Inventory Valuation Release):</w:t>
      </w:r>
    </w:p>
    <w:tbl>
      <w:tblPr>
        <w:tblW w:type="auto" w:w="0"/>
        <w:jc w:val="center"/>
        <w:tblLook w:firstColumn="1" w:firstRow="1" w:lastColumn="0" w:lastRow="0" w:noHBand="0" w:noVBand="1" w:val="04A0"/>
      </w:tblPr>
      <w:tblGrid>
        <w:gridCol w:w="2340"/>
        <w:gridCol w:w="2340"/>
        <w:gridCol w:w="2340"/>
        <w:gridCol w:w="2340"/>
      </w:tblGrid>
      <w:tr>
        <w:tc>
          <w:tcPr>
            <w:tcW w:type="dxa" w:w="2340"/>
            <w:shd w:fill="FAF8F2"/>
          </w:tcPr>
          <w:p>
            <w:pPr>
              <w:spacing w:before="40" w:after="40"/>
              <w:jc w:val="left"/>
            </w:pPr>
            <w:r>
              <w:rPr>
                <w:rFonts w:ascii="Plus Jakarta Sans" w:hAnsi="Plus Jakarta Sans"/>
                <w:b/>
                <w:i w:val="0"/>
                <w:sz w:val="19"/>
              </w:rPr>
              <w:t>Account Name</w:t>
            </w:r>
          </w:p>
        </w:tc>
        <w:tc>
          <w:tcPr>
            <w:tcW w:type="dxa" w:w="2340"/>
            <w:shd w:fill="FAF8F2"/>
          </w:tcPr>
          <w:p>
            <w:pPr>
              <w:spacing w:before="40" w:after="40"/>
              <w:jc w:val="left"/>
            </w:pPr>
            <w:r>
              <w:rPr>
                <w:rFonts w:ascii="Plus Jakarta Sans" w:hAnsi="Plus Jakarta Sans"/>
                <w:b/>
                <w:i w:val="0"/>
                <w:sz w:val="19"/>
              </w:rPr>
              <w:t>Debit</w:t>
            </w:r>
          </w:p>
        </w:tc>
        <w:tc>
          <w:tcPr>
            <w:tcW w:type="dxa" w:w="2340"/>
            <w:shd w:fill="FAF8F2"/>
          </w:tcPr>
          <w:p>
            <w:pPr>
              <w:spacing w:before="40" w:after="40"/>
              <w:jc w:val="left"/>
            </w:pPr>
            <w:r>
              <w:rPr>
                <w:rFonts w:ascii="Plus Jakarta Sans" w:hAnsi="Plus Jakarta Sans"/>
                <w:b/>
                <w:i w:val="0"/>
                <w:sz w:val="19"/>
              </w:rPr>
              <w:t>Credit</w:t>
            </w:r>
          </w:p>
        </w:tc>
        <w:tc>
          <w:tcPr>
            <w:tcW w:type="dxa" w:w="2340"/>
            <w:shd w:fill="FAF8F2"/>
          </w:tcPr>
          <w:p>
            <w:pPr>
              <w:spacing w:before="40" w:after="40"/>
              <w:jc w:val="left"/>
            </w:pPr>
            <w:r>
              <w:rPr>
                <w:rFonts w:ascii="Plus Jakarta Sans" w:hAnsi="Plus Jakarta Sans"/>
                <w:b/>
                <w:i w:val="0"/>
                <w:sz w:val="19"/>
              </w:rPr>
              <w:t>Remarks</w:t>
            </w:r>
          </w:p>
        </w:tc>
      </w:tr>
      <w:tr>
        <w:tc>
          <w:tcPr>
            <w:tcW w:type="dxa" w:w="2340"/>
          </w:tcPr>
          <w:p>
            <w:pPr>
              <w:spacing w:before="40" w:after="40"/>
              <w:jc w:val="left"/>
            </w:pPr>
            <w:r>
              <w:rPr>
                <w:rFonts w:ascii="Plus Jakarta Sans" w:hAnsi="Plus Jakarta Sans"/>
                <w:b w:val="0"/>
                <w:i w:val="0"/>
                <w:sz w:val="18"/>
              </w:rPr>
              <w:t>Cost of Goods Sold (Expense)</w:t>
            </w:r>
          </w:p>
        </w:tc>
        <w:tc>
          <w:tcPr>
            <w:tcW w:type="dxa" w:w="2340"/>
          </w:tcPr>
          <w:p>
            <w:pPr>
              <w:spacing w:before="40" w:after="40"/>
              <w:jc w:val="left"/>
            </w:pPr>
            <w:r>
              <w:rPr>
                <w:rFonts w:ascii="Plus Jakarta Sans" w:hAnsi="Plus Jakarta Sans"/>
                <w:b w:val="0"/>
                <w:i w:val="0"/>
                <w:sz w:val="18"/>
              </w:rPr>
              <w:t>$92,400</w:t>
            </w:r>
          </w:p>
        </w:tc>
        <w:tc>
          <w:tcPr>
            <w:tcW w:type="dxa" w:w="2340"/>
          </w:tcPr>
          <w:p>
            <w:pPr>
              <w:spacing w:before="40" w:after="40"/>
              <w:jc w:val="left"/>
            </w:pPr>
            <w:r>
              <w:rPr>
                <w:rFonts w:ascii="Plus Jakarta Sans" w:hAnsi="Plus Jakarta Sans"/>
                <w:b w:val="0"/>
                <w:i w:val="0"/>
                <w:sz w:val="18"/>
              </w:rPr>
              <w:t>-</w:t>
            </w:r>
          </w:p>
        </w:tc>
        <w:tc>
          <w:tcPr>
            <w:tcW w:type="dxa" w:w="2340"/>
          </w:tcPr>
          <w:p>
            <w:pPr>
              <w:spacing w:before="40" w:after="40"/>
              <w:jc w:val="left"/>
            </w:pPr>
            <w:r>
              <w:rPr>
                <w:rFonts w:ascii="Plus Jakarta Sans" w:hAnsi="Plus Jakarta Sans"/>
                <w:b w:val="0"/>
                <w:i w:val="0"/>
                <w:sz w:val="18"/>
              </w:rPr>
              <w:t>Cost value: 2 Laptops ($45k ea) + 3 Mice ($800 ea)</w:t>
            </w:r>
          </w:p>
        </w:tc>
      </w:tr>
      <w:tr>
        <w:tc>
          <w:tcPr>
            <w:tcW w:type="dxa" w:w="2340"/>
          </w:tcPr>
          <w:p>
            <w:pPr>
              <w:spacing w:before="40" w:after="40"/>
              <w:jc w:val="left"/>
            </w:pPr>
            <w:r>
              <w:rPr>
                <w:rFonts w:ascii="Plus Jakarta Sans" w:hAnsi="Plus Jakarta Sans"/>
                <w:b w:val="0"/>
                <w:i w:val="0"/>
                <w:sz w:val="18"/>
              </w:rPr>
              <w:t>Stock In Hand (Asset)</w:t>
            </w:r>
          </w:p>
        </w:tc>
        <w:tc>
          <w:tcPr>
            <w:tcW w:type="dxa" w:w="2340"/>
          </w:tcPr>
          <w:p>
            <w:pPr>
              <w:spacing w:before="40" w:after="40"/>
              <w:jc w:val="left"/>
            </w:pPr>
            <w:r>
              <w:rPr>
                <w:rFonts w:ascii="Plus Jakarta Sans" w:hAnsi="Plus Jakarta Sans"/>
                <w:b w:val="0"/>
                <w:i w:val="0"/>
                <w:sz w:val="18"/>
              </w:rPr>
              <w:t>-</w:t>
            </w:r>
          </w:p>
        </w:tc>
        <w:tc>
          <w:tcPr>
            <w:tcW w:type="dxa" w:w="2340"/>
          </w:tcPr>
          <w:p>
            <w:pPr>
              <w:spacing w:before="40" w:after="40"/>
              <w:jc w:val="left"/>
            </w:pPr>
            <w:r>
              <w:rPr>
                <w:rFonts w:ascii="Plus Jakarta Sans" w:hAnsi="Plus Jakarta Sans"/>
                <w:b w:val="0"/>
                <w:i w:val="0"/>
                <w:sz w:val="18"/>
              </w:rPr>
              <w:t>$92,400</w:t>
            </w:r>
          </w:p>
        </w:tc>
        <w:tc>
          <w:tcPr>
            <w:tcW w:type="dxa" w:w="2340"/>
          </w:tcPr>
          <w:p>
            <w:pPr>
              <w:spacing w:before="40" w:after="40"/>
              <w:jc w:val="left"/>
            </w:pPr>
            <w:r>
              <w:rPr>
                <w:rFonts w:ascii="Plus Jakarta Sans" w:hAnsi="Plus Jakarta Sans"/>
                <w:b w:val="0"/>
                <w:i w:val="0"/>
                <w:sz w:val="18"/>
              </w:rPr>
              <w:t>Physical inventory balance reduced</w:t>
            </w:r>
          </w:p>
        </w:tc>
      </w:tr>
    </w:tbl>
    <w:p>
      <w:pPr>
        <w:spacing w:before="160" w:after="80"/>
      </w:pPr>
      <w:r>
        <w:rPr>
          <w:b/>
        </w:rPr>
        <w:t>B. Sales Invoice (Revenue Booking):</w:t>
      </w:r>
    </w:p>
    <w:tbl>
      <w:tblPr>
        <w:tblW w:type="auto" w:w="0"/>
        <w:jc w:val="center"/>
        <w:tblLook w:firstColumn="1" w:firstRow="1" w:lastColumn="0" w:lastRow="0" w:noHBand="0" w:noVBand="1" w:val="04A0"/>
      </w:tblPr>
      <w:tblGrid>
        <w:gridCol w:w="2340"/>
        <w:gridCol w:w="2340"/>
        <w:gridCol w:w="2340"/>
        <w:gridCol w:w="2340"/>
      </w:tblGrid>
      <w:tr>
        <w:tc>
          <w:tcPr>
            <w:tcW w:type="dxa" w:w="2340"/>
            <w:shd w:fill="FAF8F2"/>
          </w:tcPr>
          <w:p>
            <w:pPr>
              <w:spacing w:before="40" w:after="40"/>
              <w:jc w:val="left"/>
            </w:pPr>
            <w:r>
              <w:rPr>
                <w:rFonts w:ascii="Plus Jakarta Sans" w:hAnsi="Plus Jakarta Sans"/>
                <w:b/>
                <w:i w:val="0"/>
                <w:sz w:val="19"/>
              </w:rPr>
              <w:t>Account Name</w:t>
            </w:r>
          </w:p>
        </w:tc>
        <w:tc>
          <w:tcPr>
            <w:tcW w:type="dxa" w:w="2340"/>
            <w:shd w:fill="FAF8F2"/>
          </w:tcPr>
          <w:p>
            <w:pPr>
              <w:spacing w:before="40" w:after="40"/>
              <w:jc w:val="left"/>
            </w:pPr>
            <w:r>
              <w:rPr>
                <w:rFonts w:ascii="Plus Jakarta Sans" w:hAnsi="Plus Jakarta Sans"/>
                <w:b/>
                <w:i w:val="0"/>
                <w:sz w:val="19"/>
              </w:rPr>
              <w:t>Debit</w:t>
            </w:r>
          </w:p>
        </w:tc>
        <w:tc>
          <w:tcPr>
            <w:tcW w:type="dxa" w:w="2340"/>
            <w:shd w:fill="FAF8F2"/>
          </w:tcPr>
          <w:p>
            <w:pPr>
              <w:spacing w:before="40" w:after="40"/>
              <w:jc w:val="left"/>
            </w:pPr>
            <w:r>
              <w:rPr>
                <w:rFonts w:ascii="Plus Jakarta Sans" w:hAnsi="Plus Jakarta Sans"/>
                <w:b/>
                <w:i w:val="0"/>
                <w:sz w:val="19"/>
              </w:rPr>
              <w:t>Credit</w:t>
            </w:r>
          </w:p>
        </w:tc>
        <w:tc>
          <w:tcPr>
            <w:tcW w:type="dxa" w:w="2340"/>
            <w:shd w:fill="FAF8F2"/>
          </w:tcPr>
          <w:p>
            <w:pPr>
              <w:spacing w:before="40" w:after="40"/>
              <w:jc w:val="left"/>
            </w:pPr>
            <w:r>
              <w:rPr>
                <w:rFonts w:ascii="Plus Jakarta Sans" w:hAnsi="Plus Jakarta Sans"/>
                <w:b/>
                <w:i w:val="0"/>
                <w:sz w:val="19"/>
              </w:rPr>
              <w:t>Remarks</w:t>
            </w:r>
          </w:p>
        </w:tc>
      </w:tr>
      <w:tr>
        <w:tc>
          <w:tcPr>
            <w:tcW w:type="dxa" w:w="2340"/>
          </w:tcPr>
          <w:p>
            <w:pPr>
              <w:spacing w:before="40" w:after="40"/>
              <w:jc w:val="left"/>
            </w:pPr>
            <w:r>
              <w:rPr>
                <w:rFonts w:ascii="Plus Jakarta Sans" w:hAnsi="Plus Jakarta Sans"/>
                <w:b w:val="0"/>
                <w:i w:val="0"/>
                <w:sz w:val="18"/>
              </w:rPr>
              <w:t>Alpha Retail Pvt. Ltd. (Accounts Receivable)</w:t>
            </w:r>
          </w:p>
        </w:tc>
        <w:tc>
          <w:tcPr>
            <w:tcW w:type="dxa" w:w="2340"/>
          </w:tcPr>
          <w:p>
            <w:pPr>
              <w:spacing w:before="40" w:after="40"/>
              <w:jc w:val="left"/>
            </w:pPr>
            <w:r>
              <w:rPr>
                <w:rFonts w:ascii="Plus Jakarta Sans" w:hAnsi="Plus Jakarta Sans"/>
                <w:b w:val="0"/>
                <w:i w:val="0"/>
                <w:sz w:val="18"/>
              </w:rPr>
              <w:t>$111,720</w:t>
            </w:r>
          </w:p>
        </w:tc>
        <w:tc>
          <w:tcPr>
            <w:tcW w:type="dxa" w:w="2340"/>
          </w:tcPr>
          <w:p>
            <w:pPr>
              <w:spacing w:before="40" w:after="40"/>
              <w:jc w:val="left"/>
            </w:pPr>
            <w:r>
              <w:rPr>
                <w:rFonts w:ascii="Plus Jakarta Sans" w:hAnsi="Plus Jakarta Sans"/>
                <w:b w:val="0"/>
                <w:i w:val="0"/>
                <w:sz w:val="18"/>
              </w:rPr>
              <w:t>-</w:t>
            </w:r>
          </w:p>
        </w:tc>
        <w:tc>
          <w:tcPr>
            <w:tcW w:type="dxa" w:w="2340"/>
          </w:tcPr>
          <w:p>
            <w:pPr>
              <w:spacing w:before="40" w:after="40"/>
              <w:jc w:val="left"/>
            </w:pPr>
            <w:r>
              <w:rPr>
                <w:rFonts w:ascii="Plus Jakarta Sans" w:hAnsi="Plus Jakarta Sans"/>
                <w:b w:val="0"/>
                <w:i w:val="0"/>
                <w:sz w:val="18"/>
              </w:rPr>
              <w:t>Total amount customer owes us</w:t>
            </w:r>
          </w:p>
        </w:tc>
      </w:tr>
      <w:tr>
        <w:tc>
          <w:tcPr>
            <w:tcW w:type="dxa" w:w="2340"/>
          </w:tcPr>
          <w:p>
            <w:pPr>
              <w:spacing w:before="40" w:after="40"/>
              <w:jc w:val="left"/>
            </w:pPr>
            <w:r>
              <w:rPr>
                <w:rFonts w:ascii="Plus Jakarta Sans" w:hAnsi="Plus Jakarta Sans"/>
                <w:b w:val="0"/>
                <w:i w:val="0"/>
                <w:sz w:val="18"/>
              </w:rPr>
              <w:t>Hardware Sales Income</w:t>
            </w:r>
          </w:p>
        </w:tc>
        <w:tc>
          <w:tcPr>
            <w:tcW w:type="dxa" w:w="2340"/>
          </w:tcPr>
          <w:p>
            <w:pPr>
              <w:spacing w:before="40" w:after="40"/>
              <w:jc w:val="left"/>
            </w:pPr>
            <w:r>
              <w:rPr>
                <w:rFonts w:ascii="Plus Jakarta Sans" w:hAnsi="Plus Jakarta Sans"/>
                <w:b w:val="0"/>
                <w:i w:val="0"/>
                <w:sz w:val="18"/>
              </w:rPr>
              <w:t>-</w:t>
            </w:r>
          </w:p>
        </w:tc>
        <w:tc>
          <w:tcPr>
            <w:tcW w:type="dxa" w:w="2340"/>
          </w:tcPr>
          <w:p>
            <w:pPr>
              <w:spacing w:before="40" w:after="40"/>
              <w:jc w:val="left"/>
            </w:pPr>
            <w:r>
              <w:rPr>
                <w:rFonts w:ascii="Plus Jakarta Sans" w:hAnsi="Plus Jakarta Sans"/>
                <w:b w:val="0"/>
                <w:i w:val="0"/>
                <w:sz w:val="18"/>
              </w:rPr>
              <w:t>$107,920</w:t>
            </w:r>
          </w:p>
        </w:tc>
        <w:tc>
          <w:tcPr>
            <w:tcW w:type="dxa" w:w="2340"/>
          </w:tcPr>
          <w:p>
            <w:pPr>
              <w:spacing w:before="40" w:after="40"/>
              <w:jc w:val="left"/>
            </w:pPr>
            <w:r>
              <w:rPr>
                <w:rFonts w:ascii="Plus Jakarta Sans" w:hAnsi="Plus Jakarta Sans"/>
                <w:b w:val="0"/>
                <w:i w:val="0"/>
                <w:sz w:val="18"/>
              </w:rPr>
              <w:t>Discounted hardware sales revenue</w:t>
            </w:r>
          </w:p>
        </w:tc>
      </w:tr>
      <w:tr>
        <w:tc>
          <w:tcPr>
            <w:tcW w:type="dxa" w:w="2340"/>
          </w:tcPr>
          <w:p>
            <w:pPr>
              <w:spacing w:before="40" w:after="40"/>
              <w:jc w:val="left"/>
            </w:pPr>
            <w:r>
              <w:rPr>
                <w:rFonts w:ascii="Plus Jakarta Sans" w:hAnsi="Plus Jakarta Sans"/>
                <w:b w:val="0"/>
                <w:i w:val="0"/>
                <w:sz w:val="18"/>
              </w:rPr>
              <w:t>Service Income</w:t>
            </w:r>
          </w:p>
        </w:tc>
        <w:tc>
          <w:tcPr>
            <w:tcW w:type="dxa" w:w="2340"/>
          </w:tcPr>
          <w:p>
            <w:pPr>
              <w:spacing w:before="40" w:after="40"/>
              <w:jc w:val="left"/>
            </w:pPr>
            <w:r>
              <w:rPr>
                <w:rFonts w:ascii="Plus Jakarta Sans" w:hAnsi="Plus Jakarta Sans"/>
                <w:b w:val="0"/>
                <w:i w:val="0"/>
                <w:sz w:val="18"/>
              </w:rPr>
              <w:t>-</w:t>
            </w:r>
          </w:p>
        </w:tc>
        <w:tc>
          <w:tcPr>
            <w:tcW w:type="dxa" w:w="2340"/>
          </w:tcPr>
          <w:p>
            <w:pPr>
              <w:spacing w:before="40" w:after="40"/>
              <w:jc w:val="left"/>
            </w:pPr>
            <w:r>
              <w:rPr>
                <w:rFonts w:ascii="Plus Jakarta Sans" w:hAnsi="Plus Jakarta Sans"/>
                <w:b w:val="0"/>
                <w:i w:val="0"/>
                <w:sz w:val="18"/>
              </w:rPr>
              <w:t>$3,800</w:t>
            </w:r>
          </w:p>
        </w:tc>
        <w:tc>
          <w:tcPr>
            <w:tcW w:type="dxa" w:w="2340"/>
          </w:tcPr>
          <w:p>
            <w:pPr>
              <w:spacing w:before="40" w:after="40"/>
              <w:jc w:val="left"/>
            </w:pPr>
            <w:r>
              <w:rPr>
                <w:rFonts w:ascii="Plus Jakarta Sans" w:hAnsi="Plus Jakarta Sans"/>
                <w:b w:val="0"/>
                <w:i w:val="0"/>
                <w:sz w:val="18"/>
              </w:rPr>
              <w:t>Discounted installation service revenue</w:t>
            </w:r>
          </w:p>
        </w:tc>
      </w:tr>
    </w:tbl>
    <w:p>
      <w:pPr>
        <w:spacing w:after="240"/>
      </w:pPr>
    </w:p>
    <w:p>
      <w:pPr>
        <w:pStyle w:val="Heading2"/>
        <w:keepNext/>
        <w:spacing w:before="240" w:after="120"/>
      </w:pPr>
      <w:r>
        <w:rPr>
          <w:rFonts w:ascii="Plus Jakarta Sans" w:hAnsi="Plus Jakarta Sans"/>
          <w:b/>
          <w:color w:val="6D4C41"/>
          <w:sz w:val="28"/>
        </w:rPr>
        <w:t>Screenshots Submission (Sales Cycle)</w:t>
      </w: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Quotation]</w:t>
              <w:br/>
            </w:r>
            <w:r>
              <w:rPr>
                <w:rFonts w:ascii="Plus Jakarta Sans" w:hAnsi="Plus Jakarta Sans"/>
                <w:i/>
                <w:color w:val="6D4C41"/>
                <w:sz w:val="20"/>
              </w:rPr>
              <w:t>Instructions: Go to Selling &gt; Quotation. Open the quotation drafted for Alpha Retail Pvt. Ltd. showing items and total amount before discount ($117,600).</w:t>
            </w:r>
          </w:p>
        </w:tc>
      </w:tr>
    </w:tbl>
    <w:p>
      <w:pPr>
        <w:spacing w:after="240"/>
      </w:pP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Sales Order]</w:t>
              <w:br/>
            </w:r>
            <w:r>
              <w:rPr>
                <w:rFonts w:ascii="Plus Jakarta Sans" w:hAnsi="Plus Jakarta Sans"/>
                <w:i/>
                <w:color w:val="6D4C41"/>
                <w:sz w:val="20"/>
              </w:rPr>
              <w:t>Instructions: Go to Selling &gt; Sales Order. Open the submitted sales order showing the applied 5% discount and Net Grand Total ($111,720).</w:t>
            </w:r>
          </w:p>
        </w:tc>
      </w:tr>
    </w:tbl>
    <w:p>
      <w:pPr>
        <w:spacing w:after="240"/>
      </w:pP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Delivery Note Impact on Stock Ledger]</w:t>
              <w:br/>
            </w:r>
            <w:r>
              <w:rPr>
                <w:rFonts w:ascii="Plus Jakarta Sans" w:hAnsi="Plus Jakarta Sans"/>
                <w:i/>
                <w:color w:val="6D4C41"/>
                <w:sz w:val="20"/>
              </w:rPr>
              <w:t>Instructions: Go to Stock &gt; Stock Ledger. Filter by your Delivery Note. Verify negative entries (outwards) for 2 Laptops and 3 Mice from Raw Material Store.</w:t>
            </w:r>
          </w:p>
        </w:tc>
      </w:tr>
    </w:tbl>
    <w:p>
      <w:pPr>
        <w:spacing w:after="240"/>
      </w:pP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Accounts Receivable Report (Unpaid Invoice)]</w:t>
              <w:br/>
            </w:r>
            <w:r>
              <w:rPr>
                <w:rFonts w:ascii="Plus Jakarta Sans" w:hAnsi="Plus Jakarta Sans"/>
                <w:i/>
                <w:color w:val="6D4C41"/>
                <w:sz w:val="20"/>
              </w:rPr>
              <w:t>Instructions: Go to Accounts &gt; Accounts Receivable. Filter by Customer: Alpha Retail Pvt. Ltd. Take a screenshot showing the outstanding balance of $111,720.</w:t>
            </w:r>
          </w:p>
        </w:tc>
      </w:tr>
    </w:tbl>
    <w:p>
      <w:pPr>
        <w:spacing w:after="240"/>
      </w:pP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Sales Invoice Impact on General Ledger]</w:t>
              <w:br/>
            </w:r>
            <w:r>
              <w:rPr>
                <w:rFonts w:ascii="Plus Jakarta Sans" w:hAnsi="Plus Jakarta Sans"/>
                <w:i/>
                <w:color w:val="6D4C41"/>
                <w:sz w:val="20"/>
              </w:rPr>
              <w:t>Instructions: Open the submitted Sales Invoice, click View &gt; Ledger, and screenshot the double-entry accounting ledger table.</w:t>
            </w:r>
          </w:p>
        </w:tc>
      </w:tr>
    </w:tbl>
    <w:p>
      <w:pPr>
        <w:spacing w:after="240"/>
      </w:pPr>
    </w:p>
    <w:p>
      <w:r>
        <w:br w:type="page"/>
      </w:r>
    </w:p>
    <w:p>
      <w:pPr>
        <w:pStyle w:val="Heading1"/>
        <w:keepNext/>
        <w:spacing w:before="240" w:after="120"/>
      </w:pPr>
      <w:r>
        <w:rPr>
          <w:rFonts w:ascii="Playfair Display" w:hAnsi="Playfair Display"/>
          <w:b/>
          <w:color w:val="3E2723"/>
          <w:sz w:val="36"/>
        </w:rPr>
        <w:t>4. Serialized and Batched Inventory Management</w:t>
      </w:r>
    </w:p>
    <w:p>
      <w:pPr>
        <w:pStyle w:val="Heading2"/>
        <w:keepNext/>
        <w:spacing w:before="240" w:after="120"/>
      </w:pPr>
      <w:r>
        <w:rPr>
          <w:rFonts w:ascii="Plus Jakarta Sans" w:hAnsi="Plus Jakarta Sans"/>
          <w:b/>
          <w:color w:val="6D4C41"/>
          <w:sz w:val="28"/>
        </w:rPr>
        <w:t>Item Setup &amp; Inward Receipt</w:t>
      </w:r>
    </w:p>
    <w:p>
      <w:pPr>
        <w:ind w:left="360"/>
      </w:pPr>
      <w:r>
        <w:rPr>
          <w:b/>
        </w:rPr>
        <w:t xml:space="preserve">1. Item Configuration: </w:t>
      </w:r>
      <w:r>
        <w:t>Created a new item 'Smart Speaker Pro' (TPL-SSP-01) with 'Has Serial Number' and 'Has Batch Number' checked under Inventory settings. Serial Series: SSP-XXXX, Batch Series: B-.</w:t>
        <w:br/>
      </w:r>
      <w:r>
        <w:rPr>
          <w:b/>
        </w:rPr>
        <w:t xml:space="preserve">2. Purchase Receipt: </w:t>
      </w:r>
      <w:r>
        <w:t>Created a Purchase Receipt for 2 units. Under the Serial and Batch Bundle table in the item row, created a new bundle, selected Batch B01, and entered serial numbers 1122 and 3344. Submitted the receipt.</w:t>
      </w:r>
    </w:p>
    <w:p>
      <w:pPr>
        <w:pStyle w:val="Heading2"/>
        <w:keepNext/>
        <w:spacing w:before="240" w:after="120"/>
      </w:pPr>
      <w:r>
        <w:rPr>
          <w:rFonts w:ascii="Plus Jakarta Sans" w:hAnsi="Plus Jakarta Sans"/>
          <w:b/>
          <w:color w:val="6D4C41"/>
          <w:sz w:val="28"/>
        </w:rPr>
        <w:t>Technical Explanation: Serial and Batch Bundle</w:t>
      </w:r>
    </w:p>
    <w:p>
      <w:pPr>
        <w:spacing w:after="240"/>
      </w:pPr>
      <w:r>
        <w:t>In modern ERPNext (v14 and v15+), inventory tracking for serialized and batched items utilizes the Serial and Batch Bundle (SBB) document. In older versions, serial numbers were stored directly in transaction rows as long, comma-separated text strings. This structure caused database slow-downs and made valuation tracking difficult to calculate.</w:t>
        <w:br/>
        <w:br/>
        <w:t>The Serial and Batch Bundle normalization resolves this by acting as a dedicated bridge document between the physical transaction (e.g. Purchase Receipt) and the detailed serial status table in the database. This design enables:</w:t>
        <w:br/>
        <w:t xml:space="preserve">  1. Highly scalable transactions when handling bulk serialized orders.</w:t>
        <w:br/>
        <w:t xml:space="preserve">  2. Accurate FIFO/Moving Average calculations per batch since valuation is locked to the specific bundle.</w:t>
        <w:br/>
        <w:t xml:space="preserve">  3. Cleaner ledger entries with direct database references.</w:t>
      </w:r>
    </w:p>
    <w:p>
      <w:pPr>
        <w:pStyle w:val="Heading2"/>
        <w:keepNext/>
        <w:spacing w:before="240" w:after="120"/>
      </w:pPr>
      <w:r>
        <w:rPr>
          <w:rFonts w:ascii="Plus Jakarta Sans" w:hAnsi="Plus Jakarta Sans"/>
          <w:b/>
          <w:color w:val="6D4C41"/>
          <w:sz w:val="28"/>
        </w:rPr>
        <w:t>Outward Transaction &amp; Bundle Impact</w:t>
      </w:r>
    </w:p>
    <w:p>
      <w:pPr>
        <w:spacing w:after="240"/>
      </w:pPr>
      <w:r>
        <w:t>Created a Delivery Note for Quantity = 1 of 'Smart Speaker Pro'. In the Serial and Batch Bundle section, selected Serial Number 1122 from Batch B01. Submitted the Delivery Note.</w:t>
        <w:br/>
        <w:br/>
        <w:t>Impact:</w:t>
        <w:br/>
        <w:t xml:space="preserve">  • Serial Number 1122 status is changed to 'Delivered/Inactive', preventing it from being selected again.</w:t>
        <w:br/>
        <w:t xml:space="preserve">  • Serial Number 3344 remains 'Active' in stock under Batch B01.</w:t>
        <w:br/>
        <w:t xml:space="preserve">  • Batch B01 stock count is reduced by 1 unit in the Raw Material Store.</w:t>
      </w:r>
    </w:p>
    <w:p>
      <w:r>
        <w:br w:type="page"/>
      </w:r>
    </w:p>
    <w:p>
      <w:pPr>
        <w:pStyle w:val="Heading1"/>
        <w:keepNext/>
        <w:spacing w:before="240" w:after="120"/>
      </w:pPr>
      <w:r>
        <w:rPr>
          <w:rFonts w:ascii="Playfair Display" w:hAnsi="Playfair Display"/>
          <w:b/>
          <w:color w:val="3E2723"/>
          <w:sz w:val="36"/>
        </w:rPr>
        <w:t>5. Sales Order Stock Reservation Process</w:t>
      </w:r>
    </w:p>
    <w:p>
      <w:pPr>
        <w:pStyle w:val="Heading2"/>
        <w:keepNext/>
        <w:spacing w:before="240" w:after="120"/>
      </w:pPr>
      <w:r>
        <w:rPr>
          <w:rFonts w:ascii="Plus Jakarta Sans" w:hAnsi="Plus Jakarta Sans"/>
          <w:b/>
          <w:color w:val="6D4C41"/>
          <w:sz w:val="28"/>
        </w:rPr>
        <w:t>Workflow Walkthrough</w:t>
      </w:r>
    </w:p>
    <w:p>
      <w:pPr>
        <w:ind w:left="360"/>
      </w:pPr>
      <w:r>
        <w:rPr>
          <w:b/>
        </w:rPr>
        <w:t xml:space="preserve">1. Enable Settings: </w:t>
      </w:r>
      <w:r>
        <w:t>Ensure 'Allow Stock Reservation' is enabled under Stock Settings.</w:t>
        <w:br/>
      </w:r>
      <w:r>
        <w:rPr>
          <w:b/>
        </w:rPr>
        <w:t xml:space="preserve">2. Context Details: </w:t>
      </w:r>
      <w:r>
        <w:t>Item: Bluetooth Speaker, Available Stock: 200, Sales Order Qty: 150 (Customer: Alpha Retail Pvt. Ltd.).</w:t>
        <w:br/>
      </w:r>
      <w:r>
        <w:rPr>
          <w:b/>
        </w:rPr>
        <w:t xml:space="preserve">3. Create Reservation: </w:t>
      </w:r>
      <w:r>
        <w:t>Open the confirmed Sales Order for 150 speakers. Click Create &gt; Stock Reservation. The system generates a Stock Reservation Entry (SRE). Select the source warehouse (Central Warehouse) and submit the SRE.</w:t>
      </w:r>
    </w:p>
    <w:p>
      <w:pPr>
        <w:pStyle w:val="Heading2"/>
        <w:keepNext/>
        <w:spacing w:before="240" w:after="120"/>
      </w:pPr>
      <w:r>
        <w:rPr>
          <w:rFonts w:ascii="Plus Jakarta Sans" w:hAnsi="Plus Jakarta Sans"/>
          <w:b/>
          <w:color w:val="6D4C41"/>
          <w:sz w:val="28"/>
        </w:rPr>
        <w:t>Core Mechanics &amp; Parameters</w:t>
      </w:r>
    </w:p>
    <w:p>
      <w:pPr>
        <w:spacing w:after="240"/>
      </w:pPr>
      <w:r>
        <w:t>Upon submitting the Stock Reservation Entry, ERPNext alters item stock metrics as follows:</w:t>
        <w:br/>
        <w:br/>
        <w:t xml:space="preserve">  • Actual Qty (Physical Stock): Remains 200 units (no physical movement has occurred yet).</w:t>
        <w:br/>
        <w:t xml:space="preserve">  • Reserved Qty against Sales Order: Increases by 150 units.</w:t>
        <w:br/>
        <w:t xml:space="preserve">  • Projected Qty (Available for Sale): Decreases to 50 units (200 Actual - 150 Reserved).</w:t>
        <w:br/>
        <w:br/>
        <w:t>This allocation prevents other transactions from consuming these 150 reserved units. If a warehouse operator attempts to create a Delivery Note for a different customer, the system blocks the release of the reserved stock, guaranteeing fulfillment for the reserved Sales Order. When a Delivery Note is eventually generated from the reserved Sales Order, the reservation is consumed, releasing the lock and reducing the Actual stock.</w:t>
      </w:r>
    </w:p>
    <w:p>
      <w:r>
        <w:br w:type="page"/>
      </w:r>
    </w:p>
    <w:p>
      <w:pPr>
        <w:pStyle w:val="Heading1"/>
        <w:keepNext/>
        <w:spacing w:before="240" w:after="120"/>
      </w:pPr>
      <w:r>
        <w:rPr>
          <w:rFonts w:ascii="Playfair Display" w:hAnsi="Playfair Display"/>
          <w:b/>
          <w:color w:val="3E2723"/>
          <w:sz w:val="36"/>
        </w:rPr>
        <w:t>6. Manufacturing &amp; Production Process</w:t>
      </w:r>
    </w:p>
    <w:p>
      <w:pPr>
        <w:pStyle w:val="Heading2"/>
        <w:keepNext/>
        <w:spacing w:before="240" w:after="120"/>
      </w:pPr>
      <w:r>
        <w:rPr>
          <w:rFonts w:ascii="Plus Jakarta Sans" w:hAnsi="Plus Jakarta Sans"/>
          <w:b/>
          <w:color w:val="6D4C41"/>
          <w:sz w:val="28"/>
        </w:rPr>
        <w:t>Manufacturing Setup &amp; Steps</w:t>
      </w:r>
    </w:p>
    <w:p>
      <w:pPr>
        <w:ind w:left="360"/>
      </w:pPr>
      <w:r>
        <w:rPr>
          <w:b/>
        </w:rPr>
        <w:t xml:space="preserve">1. Bill of Materials (BOM): </w:t>
      </w:r>
      <w:r>
        <w:t>Created a BOM for 1 unit of Bluetooth Speaker (Finished Good) with raw materials: 1 x Plastic Casing, 1 x Electronic Components, 1 x Battery, 1 x Packaging Material.</w:t>
        <w:br/>
      </w:r>
      <w:r>
        <w:rPr>
          <w:b/>
        </w:rPr>
        <w:t xml:space="preserve">2. Work Order: </w:t>
      </w:r>
      <w:r>
        <w:t>Created a Work Order for 10 units of Bluetooth Speaker. WIP Warehouse: Mumbai, Target: Finished Goods.</w:t>
        <w:br/>
      </w:r>
      <w:r>
        <w:rPr>
          <w:b/>
        </w:rPr>
        <w:t xml:space="preserve">3. Material Transfer: </w:t>
      </w:r>
      <w:r>
        <w:t>From the Work Order, clicked Start &gt; Transfer Material. Created and submitted a Stock Entry (Material Transfer for Manufacture) to move 10 units of each raw material from Raw Material Store to Mumbai (WIP) warehouse.</w:t>
        <w:br/>
      </w:r>
      <w:r>
        <w:rPr>
          <w:b/>
        </w:rPr>
        <w:t xml:space="preserve">4. Manufacture Entry: </w:t>
      </w:r>
      <w:r>
        <w:t>Clicked Finish &gt; Manufacture from the Work Order. Submitted the Stock Entry (Manufacture) to consume raw materials from WIP and record 10 Bluetooth Speakers in the Finished Goods warehouse.</w:t>
      </w:r>
    </w:p>
    <w:p>
      <w:pPr>
        <w:pStyle w:val="Heading2"/>
        <w:keepNext/>
        <w:spacing w:before="240" w:after="120"/>
      </w:pPr>
      <w:r>
        <w:rPr>
          <w:rFonts w:ascii="Plus Jakarta Sans" w:hAnsi="Plus Jakarta Sans"/>
          <w:b/>
          <w:color w:val="6D4C41"/>
          <w:sz w:val="28"/>
        </w:rPr>
        <w:t>Inventory Flow Verification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FAF8F2"/>
          </w:tcPr>
          <w:p>
            <w:pPr>
              <w:spacing w:before="40" w:after="40"/>
              <w:jc w:val="left"/>
            </w:pPr>
            <w:r>
              <w:rPr>
                <w:rFonts w:ascii="Plus Jakarta Sans" w:hAnsi="Plus Jakarta Sans"/>
                <w:b/>
                <w:i w:val="0"/>
                <w:sz w:val="19"/>
              </w:rPr>
              <w:t>Warehouse Location</w:t>
            </w:r>
          </w:p>
        </w:tc>
        <w:tc>
          <w:tcPr>
            <w:tcW w:type="dxa" w:w="2340"/>
            <w:shd w:fill="FAF8F2"/>
          </w:tcPr>
          <w:p>
            <w:pPr>
              <w:spacing w:before="40" w:after="40"/>
              <w:jc w:val="left"/>
            </w:pPr>
            <w:r>
              <w:rPr>
                <w:rFonts w:ascii="Plus Jakarta Sans" w:hAnsi="Plus Jakarta Sans"/>
                <w:b/>
                <w:i w:val="0"/>
                <w:sz w:val="19"/>
              </w:rPr>
              <w:t>Item Type</w:t>
            </w:r>
          </w:p>
        </w:tc>
        <w:tc>
          <w:tcPr>
            <w:tcW w:type="dxa" w:w="2340"/>
            <w:shd w:fill="FAF8F2"/>
          </w:tcPr>
          <w:p>
            <w:pPr>
              <w:spacing w:before="40" w:after="40"/>
              <w:jc w:val="left"/>
            </w:pPr>
            <w:r>
              <w:rPr>
                <w:rFonts w:ascii="Plus Jakarta Sans" w:hAnsi="Plus Jakarta Sans"/>
                <w:b/>
                <w:i w:val="0"/>
                <w:sz w:val="19"/>
              </w:rPr>
              <w:t>Pre-Mfg Qty</w:t>
            </w:r>
          </w:p>
        </w:tc>
        <w:tc>
          <w:tcPr>
            <w:tcW w:type="dxa" w:w="2340"/>
            <w:shd w:fill="FAF8F2"/>
          </w:tcPr>
          <w:p>
            <w:pPr>
              <w:spacing w:before="40" w:after="40"/>
              <w:jc w:val="left"/>
            </w:pPr>
            <w:r>
              <w:rPr>
                <w:rFonts w:ascii="Plus Jakarta Sans" w:hAnsi="Plus Jakarta Sans"/>
                <w:b/>
                <w:i w:val="0"/>
                <w:sz w:val="19"/>
              </w:rPr>
              <w:t>Post-Mfg Qty</w:t>
            </w:r>
          </w:p>
        </w:tc>
      </w:tr>
      <w:tr>
        <w:tc>
          <w:tcPr>
            <w:tcW w:type="dxa" w:w="2340"/>
          </w:tcPr>
          <w:p>
            <w:pPr>
              <w:spacing w:before="40" w:after="40"/>
              <w:jc w:val="left"/>
            </w:pPr>
            <w:r>
              <w:rPr>
                <w:rFonts w:ascii="Plus Jakarta Sans" w:hAnsi="Plus Jakarta Sans"/>
                <w:b w:val="0"/>
                <w:i w:val="0"/>
                <w:sz w:val="18"/>
              </w:rPr>
              <w:t>Raw Material Store (Ledger)</w:t>
            </w:r>
          </w:p>
        </w:tc>
        <w:tc>
          <w:tcPr>
            <w:tcW w:type="dxa" w:w="2340"/>
          </w:tcPr>
          <w:p>
            <w:pPr>
              <w:spacing w:before="40" w:after="40"/>
              <w:jc w:val="left"/>
            </w:pPr>
            <w:r>
              <w:rPr>
                <w:rFonts w:ascii="Plus Jakarta Sans" w:hAnsi="Plus Jakarta Sans"/>
                <w:b w:val="0"/>
                <w:i w:val="0"/>
                <w:sz w:val="18"/>
              </w:rPr>
              <w:t>Raw Materials (Casing, Battery, etc.)</w:t>
            </w:r>
          </w:p>
        </w:tc>
        <w:tc>
          <w:tcPr>
            <w:tcW w:type="dxa" w:w="2340"/>
          </w:tcPr>
          <w:p>
            <w:pPr>
              <w:spacing w:before="40" w:after="40"/>
              <w:jc w:val="left"/>
            </w:pPr>
            <w:r>
              <w:rPr>
                <w:rFonts w:ascii="Plus Jakarta Sans" w:hAnsi="Plus Jakarta Sans"/>
                <w:b w:val="0"/>
                <w:i w:val="0"/>
                <w:sz w:val="18"/>
              </w:rPr>
              <w:t>50</w:t>
            </w:r>
          </w:p>
        </w:tc>
        <w:tc>
          <w:tcPr>
            <w:tcW w:type="dxa" w:w="2340"/>
          </w:tcPr>
          <w:p>
            <w:pPr>
              <w:spacing w:before="40" w:after="40"/>
              <w:jc w:val="left"/>
            </w:pPr>
            <w:r>
              <w:rPr>
                <w:rFonts w:ascii="Plus Jakarta Sans" w:hAnsi="Plus Jakarta Sans"/>
                <w:b w:val="0"/>
                <w:i w:val="0"/>
                <w:sz w:val="18"/>
              </w:rPr>
              <w:t>40 (10 transferred to WIP)</w:t>
            </w:r>
          </w:p>
        </w:tc>
      </w:tr>
      <w:tr>
        <w:tc>
          <w:tcPr>
            <w:tcW w:type="dxa" w:w="2340"/>
          </w:tcPr>
          <w:p>
            <w:pPr>
              <w:spacing w:before="40" w:after="40"/>
              <w:jc w:val="left"/>
            </w:pPr>
            <w:r>
              <w:rPr>
                <w:rFonts w:ascii="Plus Jakarta Sans" w:hAnsi="Plus Jakarta Sans"/>
                <w:b w:val="0"/>
                <w:i w:val="0"/>
                <w:sz w:val="18"/>
              </w:rPr>
              <w:t>Mumbai WIP (Ledger)</w:t>
            </w:r>
          </w:p>
        </w:tc>
        <w:tc>
          <w:tcPr>
            <w:tcW w:type="dxa" w:w="2340"/>
          </w:tcPr>
          <w:p>
            <w:pPr>
              <w:spacing w:before="40" w:after="40"/>
              <w:jc w:val="left"/>
            </w:pPr>
            <w:r>
              <w:rPr>
                <w:rFonts w:ascii="Plus Jakarta Sans" w:hAnsi="Plus Jakarta Sans"/>
                <w:b w:val="0"/>
                <w:i w:val="0"/>
                <w:sz w:val="18"/>
              </w:rPr>
              <w:t>Raw Materials (Casing, Battery, etc.)</w:t>
            </w:r>
          </w:p>
        </w:tc>
        <w:tc>
          <w:tcPr>
            <w:tcW w:type="dxa" w:w="2340"/>
          </w:tcPr>
          <w:p>
            <w:pPr>
              <w:spacing w:before="40" w:after="40"/>
              <w:jc w:val="left"/>
            </w:pPr>
            <w:r>
              <w:rPr>
                <w:rFonts w:ascii="Plus Jakarta Sans" w:hAnsi="Plus Jakarta Sans"/>
                <w:b w:val="0"/>
                <w:i w:val="0"/>
                <w:sz w:val="18"/>
              </w:rPr>
              <w:t>0</w:t>
            </w:r>
          </w:p>
        </w:tc>
        <w:tc>
          <w:tcPr>
            <w:tcW w:type="dxa" w:w="2340"/>
          </w:tcPr>
          <w:p>
            <w:pPr>
              <w:spacing w:before="40" w:after="40"/>
              <w:jc w:val="left"/>
            </w:pPr>
            <w:r>
              <w:rPr>
                <w:rFonts w:ascii="Plus Jakarta Sans" w:hAnsi="Plus Jakarta Sans"/>
                <w:b w:val="0"/>
                <w:i w:val="0"/>
                <w:sz w:val="18"/>
              </w:rPr>
              <w:t>0 (10 received, then fully consumed)</w:t>
            </w:r>
          </w:p>
        </w:tc>
      </w:tr>
      <w:tr>
        <w:tc>
          <w:tcPr>
            <w:tcW w:type="dxa" w:w="2340"/>
          </w:tcPr>
          <w:p>
            <w:pPr>
              <w:spacing w:before="40" w:after="40"/>
              <w:jc w:val="left"/>
            </w:pPr>
            <w:r>
              <w:rPr>
                <w:rFonts w:ascii="Plus Jakarta Sans" w:hAnsi="Plus Jakarta Sans"/>
                <w:b w:val="0"/>
                <w:i w:val="0"/>
                <w:sz w:val="18"/>
              </w:rPr>
              <w:t>Finished Goods (Ledger)</w:t>
            </w:r>
          </w:p>
        </w:tc>
        <w:tc>
          <w:tcPr>
            <w:tcW w:type="dxa" w:w="2340"/>
          </w:tcPr>
          <w:p>
            <w:pPr>
              <w:spacing w:before="40" w:after="40"/>
              <w:jc w:val="left"/>
            </w:pPr>
            <w:r>
              <w:rPr>
                <w:rFonts w:ascii="Plus Jakarta Sans" w:hAnsi="Plus Jakarta Sans"/>
                <w:b w:val="0"/>
                <w:i w:val="0"/>
                <w:sz w:val="18"/>
              </w:rPr>
              <w:t>Bluetooth Speaker (Finished Good)</w:t>
            </w:r>
          </w:p>
        </w:tc>
        <w:tc>
          <w:tcPr>
            <w:tcW w:type="dxa" w:w="2340"/>
          </w:tcPr>
          <w:p>
            <w:pPr>
              <w:spacing w:before="40" w:after="40"/>
              <w:jc w:val="left"/>
            </w:pPr>
            <w:r>
              <w:rPr>
                <w:rFonts w:ascii="Plus Jakarta Sans" w:hAnsi="Plus Jakarta Sans"/>
                <w:b w:val="0"/>
                <w:i w:val="0"/>
                <w:sz w:val="18"/>
              </w:rPr>
              <w:t>0</w:t>
            </w:r>
          </w:p>
        </w:tc>
        <w:tc>
          <w:tcPr>
            <w:tcW w:type="dxa" w:w="2340"/>
          </w:tcPr>
          <w:p>
            <w:pPr>
              <w:spacing w:before="40" w:after="40"/>
              <w:jc w:val="left"/>
            </w:pPr>
            <w:r>
              <w:rPr>
                <w:rFonts w:ascii="Plus Jakarta Sans" w:hAnsi="Plus Jakarta Sans"/>
                <w:b w:val="0"/>
                <w:i w:val="0"/>
                <w:sz w:val="18"/>
              </w:rPr>
              <w:t>+10 (Production completed)</w:t>
            </w:r>
          </w:p>
        </w:tc>
      </w:tr>
    </w:tbl>
    <w:p>
      <w:pPr>
        <w:spacing w:after="240"/>
      </w:pPr>
    </w:p>
    <w:p>
      <w:pPr>
        <w:pStyle w:val="Heading2"/>
        <w:keepNext/>
        <w:spacing w:before="240" w:after="120"/>
      </w:pPr>
      <w:r>
        <w:rPr>
          <w:rFonts w:ascii="Plus Jakarta Sans" w:hAnsi="Plus Jakarta Sans"/>
          <w:b/>
          <w:color w:val="6D4C41"/>
          <w:sz w:val="28"/>
        </w:rPr>
        <w:t>Screenshots Submission (Manufacturing)</w:t>
      </w: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Item Masters]</w:t>
              <w:br/>
            </w:r>
            <w:r>
              <w:rPr>
                <w:rFonts w:ascii="Plus Jakarta Sans" w:hAnsi="Plus Jakarta Sans"/>
                <w:i/>
                <w:color w:val="6D4C41"/>
                <w:sz w:val="20"/>
              </w:rPr>
              <w:t>Instructions: Go to Stock &gt; Item. Take a screenshot of the item list showing the Bluetooth Speaker and its four configured raw materials.</w:t>
            </w:r>
          </w:p>
        </w:tc>
      </w:tr>
    </w:tbl>
    <w:p>
      <w:pPr>
        <w:spacing w:after="240"/>
      </w:pP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Bill of Materials (BOM)]</w:t>
              <w:br/>
            </w:r>
            <w:r>
              <w:rPr>
                <w:rFonts w:ascii="Plus Jakarta Sans" w:hAnsi="Plus Jakarta Sans"/>
                <w:i/>
                <w:color w:val="6D4C41"/>
                <w:sz w:val="20"/>
              </w:rPr>
              <w:t>Instructions: Go to Manufacturing &gt; Bill of Materials. Open BOM-TPL-BS-001 showing the raw materials table and consumption ratios.</w:t>
            </w:r>
          </w:p>
        </w:tc>
      </w:tr>
    </w:tbl>
    <w:p>
      <w:pPr>
        <w:spacing w:after="240"/>
      </w:pP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Work Order]</w:t>
              <w:br/>
            </w:r>
            <w:r>
              <w:rPr>
                <w:rFonts w:ascii="Plus Jakarta Sans" w:hAnsi="Plus Jakarta Sans"/>
                <w:i/>
                <w:color w:val="6D4C41"/>
                <w:sz w:val="20"/>
              </w:rPr>
              <w:t>Instructions: Go to Manufacturing &gt; Work Order. Screenshot the Work Order for 10 Bluetooth Speakers showing the status as 'Completed'.</w:t>
            </w:r>
          </w:p>
        </w:tc>
      </w:tr>
    </w:tbl>
    <w:p>
      <w:pPr>
        <w:spacing w:after="240"/>
      </w:pP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Manufacture Entry (Stock Entry)]</w:t>
              <w:br/>
            </w:r>
            <w:r>
              <w:rPr>
                <w:rFonts w:ascii="Plus Jakarta Sans" w:hAnsi="Plus Jakarta Sans"/>
                <w:i/>
                <w:color w:val="6D4C41"/>
                <w:sz w:val="20"/>
              </w:rPr>
              <w:t>Instructions: Go to Stock &gt; Stock Entry. Open the Stock Entry of type 'Manufacture' showing raw materials consumed from WIP and speakers received in Finished Goods.</w:t>
            </w:r>
          </w:p>
        </w:tc>
      </w:tr>
    </w:tbl>
    <w:p>
      <w:pPr>
        <w:spacing w:after="240"/>
      </w:pPr>
    </w:p>
    <w:tbl>
      <w:tblPr>
        <w:tblW w:type="auto" w:w="0"/>
        <w:jc w:val="center"/>
        <w:tblLook w:firstColumn="1" w:firstRow="1" w:lastColumn="0" w:lastRow="0" w:noHBand="0" w:noVBand="1" w:val="04A0"/>
      </w:tblPr>
      <w:tblGrid>
        <w:gridCol w:w="9360"/>
      </w:tblGrid>
      <w:tr>
        <w:tc>
          <w:tcPr>
            <w:tcW w:type="dxa" w:w="9360"/>
            <w:shd w:fill="F2F5F8"/>
            <w:tcMar>
              <w:top w:w="180" w:type="dxa"/>
              <w:bottom w:w="180" w:type="dxa"/>
              <w:left w:w="240" w:type="dxa"/>
              <w:right w:w="240" w:type="dxa"/>
            </w:tcMar>
            <w:tcBorders>
              <w:top w:val="none"/>
              <w:left w:val="single" w:sz="24" w:space="0" w:color="15803D"/>
              <w:bottom w:val="none"/>
              <w:right w:val="none"/>
            </w:tcBorders>
          </w:tcPr>
          <w:p>
            <w:pPr>
              <w:spacing w:before="80" w:after="80"/>
            </w:pPr>
            <w:r>
              <w:rPr>
                <w:rFonts w:ascii="Plus Jakarta Sans" w:hAnsi="Plus Jakarta Sans"/>
                <w:b/>
                <w:color w:val="15803D"/>
                <w:sz w:val="22"/>
              </w:rPr>
              <w:t>📷 [INSERT SCREENSHOT: Stock Ledger (Manufacturing)]</w:t>
              <w:br/>
            </w:r>
            <w:r>
              <w:rPr>
                <w:rFonts w:ascii="Plus Jakarta Sans" w:hAnsi="Plus Jakarta Sans"/>
                <w:i/>
                <w:color w:val="6D4C41"/>
                <w:sz w:val="20"/>
              </w:rPr>
              <w:t>Instructions: Go to Stock &gt; Stock Ledger. Filter by your Manufacture Stock Entry, showing negative adjustments for raw materials in WIP and positive adjustment (+10) in Finished Goods.</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3E27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