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All exercises are based on the Circuit breaker lesson, complete this lesson first before moving to the exercises.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persistence to the application (Add spring-boot-starter-data-jpa, mysql-connector-java and flyway-core dependencies, create DB migration that adds a simple DB table ‘book’ with  id and title columns, add corresponding model and repository, modify your BookstoreApplication to read list of recommended books from the database, add web method that you can use to insert data in the database) Use step IV. Backing Services in 12 Factor apps lesson for reference.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Move definition of your configuration properties from environment variables to Config Server. Use Cloud Config lesson for reference how to setup Cloud Config. Both client and service applications should use Cloud Config to obtain their configuration properties.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Install Eureka server. Use Service Discovery lesson for reference how to do this. Modify client application so that it obtains server url from Eureka.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