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Policy Document</w:t>
      </w:r>
    </w:p>
    <w:p>
      <w:r>
        <w:t>Enterprise Finance &amp; Reimbursement Guidelines - 2026</w:t>
      </w:r>
    </w:p>
    <w:p>
      <w:pPr>
        <w:pStyle w:val="Heading1"/>
      </w:pPr>
      <w:r>
        <w:t>1. Travel Reimbursement</w:t>
      </w:r>
    </w:p>
    <w:p>
      <w:r>
        <w:t>Employees are eligible for travel reimbursement for business-related travel. The following guidelines apply:</w:t>
      </w:r>
    </w:p>
    <w:p>
      <w:pPr>
        <w:pStyle w:val="ListBullet"/>
      </w:pPr>
      <w:r>
        <w:t>Economy class airfare for domestic travel</w:t>
      </w:r>
    </w:p>
    <w:p>
      <w:pPr>
        <w:pStyle w:val="ListBullet"/>
      </w:pPr>
      <w:r>
        <w:t>Business class airfare for international travel over 6 hours</w:t>
      </w:r>
    </w:p>
    <w:p>
      <w:pPr>
        <w:pStyle w:val="ListBullet"/>
      </w:pPr>
      <w:r>
        <w:t>Train travel: AC 2-tier or above</w:t>
      </w:r>
    </w:p>
    <w:p>
      <w:pPr>
        <w:pStyle w:val="ListBullet"/>
      </w:pPr>
      <w:r>
        <w:t>Cab fare: Actuals with proper receipts</w:t>
      </w:r>
    </w:p>
    <w:p>
      <w:pPr>
        <w:pStyle w:val="ListBullet"/>
      </w:pPr>
      <w:r>
        <w:t>Personal vehicle: ₹12 per km</w:t>
      </w:r>
    </w:p>
    <w:p>
      <w:pPr>
        <w:pStyle w:val="Heading1"/>
      </w:pPr>
      <w:r>
        <w:t>2. Meal Allowance</w:t>
      </w:r>
    </w:p>
    <w:p>
      <w:r>
        <w:t>Employees traveling on business are entitled to a daily meal allowance. The current meal allowance is ₹800 per day. This covers breakfast, lunch, and dinner expenses during business travel. No additional documentation is required for meals within the allowance limit.</w:t>
      </w:r>
    </w:p>
    <w:p>
      <w:pPr>
        <w:pStyle w:val="Heading1"/>
      </w:pPr>
      <w:r>
        <w:t>3. Hotel Reimbursement</w:t>
      </w:r>
    </w:p>
    <w:p>
      <w:r>
        <w:t>Hotel accommodation during business travel is reimbursed as per the following limits:</w:t>
      </w:r>
    </w:p>
    <w:p>
      <w:pPr>
        <w:pStyle w:val="ListBullet"/>
      </w:pPr>
      <w:r>
        <w:t>Tier 1 cities (Mumbai, Delhi, Bangalore): Up to ₹5,000 per night</w:t>
      </w:r>
    </w:p>
    <w:p>
      <w:pPr>
        <w:pStyle w:val="ListBullet"/>
      </w:pPr>
      <w:r>
        <w:t>Tier 2 cities: Up to ₹3,000 per night</w:t>
      </w:r>
    </w:p>
    <w:p>
      <w:pPr>
        <w:pStyle w:val="ListBullet"/>
      </w:pPr>
      <w:r>
        <w:t>Tier 3 cities: Up to ₹1,500 per night</w:t>
      </w:r>
    </w:p>
    <w:p>
      <w:pPr>
        <w:pStyle w:val="Heading1"/>
      </w:pPr>
      <w:r>
        <w:t>4. Internet Reimbursement</w:t>
      </w:r>
    </w:p>
    <w:p>
      <w:r>
        <w:t>Employees working from home are eligible for internet reimbursement of up to ₹1,500 per month. This requires submission of the internet bill for the respective month. The reimbursement is processed along with the monthly salary.</w:t>
      </w:r>
    </w:p>
    <w:p>
      <w:pPr>
        <w:pStyle w:val="Heading1"/>
      </w:pPr>
      <w:r>
        <w:t>5. Expense Claim Process</w:t>
      </w:r>
    </w:p>
    <w:p>
      <w:r>
        <w:t>All expense claims must be submitted through the company's expense management system within 30 days of the expense being incurred. Claims require:</w:t>
      </w:r>
    </w:p>
    <w:p>
      <w:pPr>
        <w:pStyle w:val="ListBullet"/>
      </w:pPr>
      <w:r>
        <w:t>Itemized bills/receipts for all expenses</w:t>
      </w:r>
    </w:p>
    <w:p>
      <w:pPr>
        <w:pStyle w:val="ListBullet"/>
      </w:pPr>
      <w:r>
        <w:t>Manager approval for pre-travel expenses</w:t>
      </w:r>
    </w:p>
    <w:p>
      <w:pPr>
        <w:pStyle w:val="ListBullet"/>
      </w:pPr>
      <w:r>
        <w:t>Business purpose description</w:t>
      </w:r>
    </w:p>
    <w:p>
      <w:pPr>
        <w:pStyle w:val="ListBullet"/>
      </w:pPr>
      <w:r>
        <w:t>Original receipts for expenses above ₹1,000</w:t>
      </w:r>
    </w:p>
    <w:p>
      <w:pPr>
        <w:pStyle w:val="Heading1"/>
      </w:pPr>
      <w:r>
        <w:t>6. Payment Timeline</w:t>
      </w:r>
    </w:p>
    <w:p>
      <w:r>
        <w:t>Approved expense claims are processed within the following timelines:</w:t>
      </w:r>
    </w:p>
    <w:p>
      <w:pPr>
        <w:pStyle w:val="ListBullet"/>
      </w:pPr>
      <w:r>
        <w:t>Standard claims: Processed within 15 business days</w:t>
      </w:r>
    </w:p>
    <w:p>
      <w:pPr>
        <w:pStyle w:val="ListBullet"/>
      </w:pPr>
      <w:r>
        <w:t>Urgent claims (marked as urgent): Processed within 5 business days</w:t>
      </w:r>
    </w:p>
    <w:p>
      <w:pPr>
        <w:pStyle w:val="ListBullet"/>
      </w:pPr>
      <w:r>
        <w:t>Advance requests: Processed within 3 business days before travel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