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CFE" w:rsidRDefault="001C6CFE" w:rsidP="00057E77">
      <w:pPr>
        <w:pStyle w:val="equ2"/>
        <w:tabs>
          <w:tab w:val="clear" w:pos="1309"/>
          <w:tab w:val="clear" w:pos="2160"/>
          <w:tab w:val="clear" w:pos="2618"/>
          <w:tab w:val="clear" w:pos="3179"/>
          <w:tab w:val="clear" w:pos="3366"/>
          <w:tab w:val="clear" w:pos="4301"/>
          <w:tab w:val="clear" w:pos="4488"/>
          <w:tab w:val="clear" w:pos="5797"/>
          <w:tab w:val="clear" w:pos="5984"/>
          <w:tab w:val="left" w:pos="374"/>
        </w:tabs>
        <w:rPr>
          <w:rFonts w:eastAsia="MS Mincho"/>
        </w:rPr>
      </w:pPr>
    </w:p>
    <w:p w:rsidR="008C6486" w:rsidRDefault="008C6486" w:rsidP="008C6486">
      <w:pPr>
        <w:pStyle w:val="MCQList1a"/>
        <w:spacing w:before="0" w:after="0"/>
        <w:ind w:left="0" w:firstLine="0"/>
        <w:contextualSpacing/>
        <w:rPr>
          <w:rFonts w:asciiTheme="minorHAnsi" w:hAnsiTheme="minorHAnsi"/>
          <w:szCs w:val="22"/>
        </w:rPr>
      </w:pPr>
      <w:r>
        <w:rPr>
          <w:rFonts w:asciiTheme="minorHAnsi" w:hAnsiTheme="minorHAnsi"/>
          <w:szCs w:val="22"/>
        </w:rPr>
        <w:t>Dr. Sudhakar Raju</w:t>
      </w:r>
    </w:p>
    <w:p w:rsidR="008C6486" w:rsidRDefault="00F21EC0" w:rsidP="008C6486">
      <w:pPr>
        <w:pStyle w:val="MCQList1a"/>
        <w:spacing w:before="0" w:after="0"/>
        <w:ind w:left="0" w:firstLine="0"/>
        <w:contextualSpacing/>
        <w:rPr>
          <w:rFonts w:asciiTheme="minorHAnsi" w:hAnsiTheme="minorHAnsi"/>
          <w:szCs w:val="22"/>
        </w:rPr>
      </w:pPr>
      <w:r>
        <w:rPr>
          <w:rFonts w:asciiTheme="minorHAnsi" w:hAnsiTheme="minorHAnsi"/>
          <w:szCs w:val="22"/>
        </w:rPr>
        <w:t>BIA 6309: STATISTICS &amp; MACHINE LEARNING</w:t>
      </w:r>
    </w:p>
    <w:p w:rsidR="008C6486" w:rsidRDefault="008C6486" w:rsidP="008C6486">
      <w:pPr>
        <w:pStyle w:val="MCQList1a"/>
        <w:spacing w:before="0" w:after="0"/>
        <w:ind w:left="0" w:firstLine="0"/>
        <w:contextualSpacing/>
        <w:rPr>
          <w:rFonts w:asciiTheme="minorHAnsi" w:hAnsiTheme="minorHAnsi"/>
          <w:b/>
          <w:szCs w:val="22"/>
          <w:u w:val="single"/>
        </w:rPr>
      </w:pPr>
      <w:r>
        <w:rPr>
          <w:rFonts w:asciiTheme="minorHAnsi" w:hAnsiTheme="minorHAnsi"/>
          <w:szCs w:val="22"/>
        </w:rPr>
        <w:t>SPRING 2018</w:t>
      </w:r>
    </w:p>
    <w:p w:rsidR="00934D0A" w:rsidRDefault="00A75FC1" w:rsidP="00682FF0">
      <w:pPr>
        <w:pStyle w:val="MCQList1a"/>
        <w:spacing w:after="120"/>
        <w:ind w:left="706" w:hanging="706"/>
        <w:jc w:val="center"/>
        <w:rPr>
          <w:rFonts w:asciiTheme="minorHAnsi" w:hAnsiTheme="minorHAnsi"/>
          <w:b/>
          <w:szCs w:val="22"/>
          <w:u w:val="single"/>
        </w:rPr>
      </w:pPr>
      <w:r>
        <w:rPr>
          <w:rFonts w:asciiTheme="minorHAnsi" w:hAnsiTheme="minorHAnsi"/>
          <w:b/>
          <w:szCs w:val="22"/>
          <w:u w:val="single"/>
        </w:rPr>
        <w:t>ANSWERS</w:t>
      </w:r>
      <w:r w:rsidR="00682FF0" w:rsidRPr="00682FF0">
        <w:rPr>
          <w:rFonts w:asciiTheme="minorHAnsi" w:hAnsiTheme="minorHAnsi"/>
          <w:b/>
          <w:szCs w:val="22"/>
          <w:u w:val="single"/>
        </w:rPr>
        <w:t xml:space="preserve"> </w:t>
      </w:r>
      <w:r w:rsidR="002D619D">
        <w:rPr>
          <w:rFonts w:asciiTheme="minorHAnsi" w:hAnsiTheme="minorHAnsi"/>
          <w:b/>
          <w:szCs w:val="22"/>
          <w:u w:val="single"/>
        </w:rPr>
        <w:t xml:space="preserve">TO </w:t>
      </w:r>
      <w:r w:rsidR="00F21EC0">
        <w:rPr>
          <w:rFonts w:asciiTheme="minorHAnsi" w:hAnsiTheme="minorHAnsi"/>
          <w:b/>
          <w:szCs w:val="22"/>
          <w:u w:val="single"/>
        </w:rPr>
        <w:t>ASSIGNMENT 7</w:t>
      </w:r>
    </w:p>
    <w:p w:rsidR="00A41309" w:rsidRDefault="00A41309" w:rsidP="00A41309">
      <w:pPr>
        <w:pStyle w:val="MCQList1a"/>
        <w:spacing w:before="0" w:after="0"/>
        <w:ind w:left="0" w:firstLine="0"/>
        <w:contextualSpacing/>
        <w:jc w:val="both"/>
        <w:rPr>
          <w:rFonts w:asciiTheme="minorHAnsi" w:hAnsiTheme="minorHAnsi"/>
          <w:szCs w:val="22"/>
        </w:rPr>
      </w:pPr>
      <w:r>
        <w:rPr>
          <w:rFonts w:asciiTheme="minorHAnsi" w:hAnsiTheme="minorHAnsi"/>
          <w:szCs w:val="22"/>
        </w:rPr>
        <w:t xml:space="preserve">I. </w:t>
      </w:r>
      <w:proofErr w:type="gramStart"/>
      <w:r>
        <w:rPr>
          <w:rFonts w:asciiTheme="minorHAnsi" w:hAnsiTheme="minorHAnsi"/>
          <w:szCs w:val="22"/>
        </w:rPr>
        <w:t>The</w:t>
      </w:r>
      <w:proofErr w:type="gramEnd"/>
      <w:r>
        <w:rPr>
          <w:rFonts w:asciiTheme="minorHAnsi" w:hAnsiTheme="minorHAnsi"/>
          <w:szCs w:val="22"/>
        </w:rPr>
        <w:t xml:space="preserve"> Normal (Z) distribution is used for population distributions. It can also be used for sampling distributions provided the sample size is over 30. The normal distribution can be used for smaller samples IF the underlying distribution from which the samples are drawn are known to be normal. But usually we do not know this – thus, one is best off using the normal distribution for populations and large sample sizes. </w:t>
      </w:r>
    </w:p>
    <w:p w:rsidR="00A41309" w:rsidRDefault="00A41309" w:rsidP="00A41309">
      <w:pPr>
        <w:pStyle w:val="MCQList1a"/>
        <w:spacing w:before="0" w:after="0"/>
        <w:ind w:left="0" w:firstLine="0"/>
        <w:contextualSpacing/>
        <w:jc w:val="both"/>
        <w:rPr>
          <w:rFonts w:asciiTheme="minorHAnsi" w:hAnsiTheme="minorHAnsi"/>
          <w:szCs w:val="22"/>
        </w:rPr>
      </w:pPr>
    </w:p>
    <w:p w:rsidR="00A41309" w:rsidRDefault="00A41309" w:rsidP="00A41309">
      <w:pPr>
        <w:pStyle w:val="MCQList1a"/>
        <w:spacing w:before="0" w:after="0"/>
        <w:ind w:left="0" w:firstLine="0"/>
        <w:contextualSpacing/>
        <w:jc w:val="both"/>
        <w:rPr>
          <w:rFonts w:asciiTheme="minorHAnsi" w:hAnsiTheme="minorHAnsi"/>
          <w:szCs w:val="22"/>
        </w:rPr>
      </w:pPr>
      <w:r>
        <w:rPr>
          <w:rFonts w:asciiTheme="minorHAnsi" w:hAnsiTheme="minorHAnsi"/>
          <w:szCs w:val="22"/>
        </w:rPr>
        <w:t xml:space="preserve">The t distribution, like the normal distribution, is bell shaped but the distribution is both flatter and fatter than the normal distribution. The t distribution applies to samples. Since sample sizes differ, there is a specific t distribution for each sample size. That is why there is a specific t distribution that is dependent of the “degrees of freedom”. For large samples, the normal and t are indistinguishable. But when sample sizes are small, the t distribution is a better choice. Since the t distribution can be used both for and large and small samples, computer programs use the t distribution rather than the normal distribution. </w:t>
      </w:r>
    </w:p>
    <w:p w:rsidR="00A41309" w:rsidRDefault="00A41309" w:rsidP="00A41309">
      <w:pPr>
        <w:pStyle w:val="MCQList1a"/>
        <w:spacing w:before="0" w:after="0"/>
        <w:ind w:left="0" w:firstLine="0"/>
        <w:contextualSpacing/>
        <w:jc w:val="both"/>
        <w:rPr>
          <w:rFonts w:asciiTheme="minorHAnsi" w:hAnsiTheme="minorHAnsi"/>
          <w:szCs w:val="22"/>
        </w:rPr>
      </w:pPr>
    </w:p>
    <w:p w:rsidR="00A41309" w:rsidRPr="00A00F97" w:rsidRDefault="00A41309" w:rsidP="00A41309">
      <w:pPr>
        <w:pStyle w:val="MCQList1a"/>
        <w:spacing w:before="0" w:after="0"/>
        <w:ind w:left="0" w:firstLine="0"/>
        <w:contextualSpacing/>
        <w:jc w:val="both"/>
        <w:rPr>
          <w:rFonts w:asciiTheme="minorHAnsi" w:hAnsiTheme="minorHAnsi"/>
          <w:szCs w:val="22"/>
        </w:rPr>
      </w:pPr>
      <w:r>
        <w:rPr>
          <w:rFonts w:asciiTheme="minorHAnsi" w:hAnsiTheme="minorHAnsi"/>
          <w:szCs w:val="22"/>
        </w:rPr>
        <w:t>The Chi-Square distribution is a skewed distribution, the degree of skew depending on the degrees of freedom. For small degrees of freedom (</w:t>
      </w:r>
      <w:proofErr w:type="spellStart"/>
      <w:proofErr w:type="gramStart"/>
      <w:r>
        <w:rPr>
          <w:rFonts w:asciiTheme="minorHAnsi" w:hAnsiTheme="minorHAnsi"/>
          <w:szCs w:val="22"/>
        </w:rPr>
        <w:t>df</w:t>
      </w:r>
      <w:proofErr w:type="spellEnd"/>
      <w:proofErr w:type="gramEnd"/>
      <w:r>
        <w:rPr>
          <w:rFonts w:asciiTheme="minorHAnsi" w:hAnsiTheme="minorHAnsi"/>
          <w:szCs w:val="22"/>
        </w:rPr>
        <w:t xml:space="preserve"> = 5) the distribution is highly skewed to the right. As the degrees of freedom increase, the χ</w:t>
      </w:r>
      <w:r>
        <w:rPr>
          <w:rFonts w:asciiTheme="minorHAnsi" w:hAnsiTheme="minorHAnsi"/>
          <w:szCs w:val="22"/>
          <w:vertAlign w:val="superscript"/>
        </w:rPr>
        <w:t>2</w:t>
      </w:r>
      <w:r>
        <w:rPr>
          <w:rFonts w:asciiTheme="minorHAnsi" w:hAnsiTheme="minorHAnsi"/>
          <w:szCs w:val="22"/>
        </w:rPr>
        <w:t xml:space="preserve"> distribution becomes more and more normal. For </w:t>
      </w:r>
      <w:proofErr w:type="spellStart"/>
      <w:proofErr w:type="gramStart"/>
      <w:r>
        <w:rPr>
          <w:rFonts w:asciiTheme="minorHAnsi" w:hAnsiTheme="minorHAnsi"/>
          <w:szCs w:val="22"/>
        </w:rPr>
        <w:t>df</w:t>
      </w:r>
      <w:proofErr w:type="spellEnd"/>
      <w:proofErr w:type="gramEnd"/>
      <w:r>
        <w:rPr>
          <w:rFonts w:asciiTheme="minorHAnsi" w:hAnsiTheme="minorHAnsi"/>
          <w:szCs w:val="22"/>
        </w:rPr>
        <w:t xml:space="preserve"> = 100, the χ</w:t>
      </w:r>
      <w:r>
        <w:rPr>
          <w:rFonts w:asciiTheme="minorHAnsi" w:hAnsiTheme="minorHAnsi"/>
          <w:szCs w:val="22"/>
          <w:vertAlign w:val="superscript"/>
        </w:rPr>
        <w:t>2</w:t>
      </w:r>
      <w:r>
        <w:rPr>
          <w:rFonts w:asciiTheme="minorHAnsi" w:hAnsiTheme="minorHAnsi"/>
          <w:szCs w:val="22"/>
        </w:rPr>
        <w:t xml:space="preserve"> distribution is indistinguishable from the normal distribution. </w:t>
      </w:r>
    </w:p>
    <w:p w:rsidR="00A41309" w:rsidRDefault="00A41309" w:rsidP="00A41309">
      <w:pPr>
        <w:pStyle w:val="MCQList1a"/>
        <w:spacing w:after="120"/>
        <w:ind w:left="706" w:hanging="706"/>
        <w:rPr>
          <w:rFonts w:asciiTheme="minorHAnsi" w:hAnsiTheme="minorHAnsi"/>
          <w:szCs w:val="22"/>
        </w:rPr>
      </w:pPr>
    </w:p>
    <w:p w:rsidR="00A41309" w:rsidRDefault="00A41309" w:rsidP="00A41309">
      <w:pPr>
        <w:pStyle w:val="MCQList1a"/>
        <w:spacing w:after="120"/>
        <w:ind w:left="706" w:hanging="706"/>
        <w:rPr>
          <w:rFonts w:asciiTheme="minorHAnsi" w:hAnsiTheme="minorHAnsi"/>
          <w:szCs w:val="22"/>
        </w:rPr>
      </w:pPr>
      <w:r>
        <w:rPr>
          <w:noProof/>
        </w:rPr>
        <w:drawing>
          <wp:inline distT="0" distB="0" distL="0" distR="0" wp14:anchorId="2EA28B27" wp14:editId="2CC1344E">
            <wp:extent cx="3333115" cy="2141855"/>
            <wp:effectExtent l="0" t="0" r="635" b="0"/>
            <wp:docPr id="2" name="Picture 2" descr="Image result for images of chi squar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s of chi square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115" cy="2141855"/>
                    </a:xfrm>
                    <a:prstGeom prst="rect">
                      <a:avLst/>
                    </a:prstGeom>
                    <a:noFill/>
                    <a:ln>
                      <a:noFill/>
                    </a:ln>
                  </pic:spPr>
                </pic:pic>
              </a:graphicData>
            </a:graphic>
          </wp:inline>
        </w:drawing>
      </w:r>
    </w:p>
    <w:p w:rsidR="00A41309" w:rsidRDefault="00A41309" w:rsidP="00A41309">
      <w:pPr>
        <w:pStyle w:val="MCQList1a"/>
        <w:spacing w:after="120"/>
        <w:ind w:left="706" w:hanging="706"/>
        <w:rPr>
          <w:rFonts w:asciiTheme="minorHAnsi" w:hAnsiTheme="minorHAnsi"/>
          <w:szCs w:val="22"/>
        </w:rPr>
      </w:pPr>
    </w:p>
    <w:p w:rsidR="00A41309" w:rsidRDefault="00A41309" w:rsidP="00A41309">
      <w:pPr>
        <w:pStyle w:val="MCQList1a"/>
        <w:spacing w:before="0" w:after="0"/>
        <w:ind w:left="0" w:firstLine="0"/>
        <w:contextualSpacing/>
        <w:jc w:val="both"/>
        <w:rPr>
          <w:rFonts w:asciiTheme="minorHAnsi" w:hAnsiTheme="minorHAnsi" w:cs="Arial"/>
          <w:color w:val="222222"/>
          <w:shd w:val="clear" w:color="auto" w:fill="FFFFFF"/>
        </w:rPr>
      </w:pPr>
      <w:r>
        <w:rPr>
          <w:rFonts w:asciiTheme="minorHAnsi" w:hAnsiTheme="minorHAnsi"/>
          <w:szCs w:val="22"/>
        </w:rPr>
        <w:t xml:space="preserve">When do we use the </w:t>
      </w:r>
      <w:r w:rsidRPr="00A00F97">
        <w:rPr>
          <w:rFonts w:asciiTheme="minorHAnsi" w:hAnsiTheme="minorHAnsi"/>
          <w:szCs w:val="22"/>
        </w:rPr>
        <w:t>χ</w:t>
      </w:r>
      <w:r w:rsidRPr="00A00F97">
        <w:rPr>
          <w:rFonts w:asciiTheme="minorHAnsi" w:hAnsiTheme="minorHAnsi"/>
          <w:szCs w:val="22"/>
          <w:vertAlign w:val="superscript"/>
        </w:rPr>
        <w:t>2</w:t>
      </w:r>
      <w:r w:rsidRPr="00A00F97">
        <w:rPr>
          <w:rFonts w:asciiTheme="minorHAnsi" w:hAnsiTheme="minorHAnsi"/>
          <w:szCs w:val="22"/>
        </w:rPr>
        <w:t xml:space="preserve"> distribution</w:t>
      </w:r>
      <w:r>
        <w:rPr>
          <w:rFonts w:asciiTheme="minorHAnsi" w:hAnsiTheme="minorHAnsi"/>
          <w:szCs w:val="22"/>
        </w:rPr>
        <w:t xml:space="preserve">? The chi-square distribution </w:t>
      </w:r>
      <w:r w:rsidRPr="00A00F97">
        <w:rPr>
          <w:rFonts w:asciiTheme="minorHAnsi" w:hAnsiTheme="minorHAnsi"/>
          <w:szCs w:val="22"/>
        </w:rPr>
        <w:t xml:space="preserve">is </w:t>
      </w:r>
      <w:r>
        <w:rPr>
          <w:rFonts w:asciiTheme="minorHAnsi" w:hAnsiTheme="minorHAnsi"/>
          <w:szCs w:val="22"/>
        </w:rPr>
        <w:t xml:space="preserve">used to </w:t>
      </w:r>
      <w:r w:rsidRPr="00A00F97">
        <w:rPr>
          <w:rFonts w:asciiTheme="minorHAnsi" w:hAnsiTheme="minorHAnsi" w:cs="Arial"/>
          <w:color w:val="222222"/>
          <w:shd w:val="clear" w:color="auto" w:fill="FFFFFF"/>
        </w:rPr>
        <w:t xml:space="preserve">test </w:t>
      </w:r>
      <w:r>
        <w:rPr>
          <w:rFonts w:asciiTheme="minorHAnsi" w:hAnsiTheme="minorHAnsi" w:cs="Arial"/>
          <w:color w:val="222222"/>
          <w:shd w:val="clear" w:color="auto" w:fill="FFFFFF"/>
        </w:rPr>
        <w:t xml:space="preserve">if an </w:t>
      </w:r>
      <w:r w:rsidRPr="00A00F97">
        <w:rPr>
          <w:rFonts w:asciiTheme="minorHAnsi" w:hAnsiTheme="minorHAnsi" w:cs="Arial"/>
          <w:color w:val="222222"/>
          <w:shd w:val="clear" w:color="auto" w:fill="FFFFFF"/>
        </w:rPr>
        <w:t xml:space="preserve">observed </w:t>
      </w:r>
      <w:r>
        <w:rPr>
          <w:rFonts w:asciiTheme="minorHAnsi" w:hAnsiTheme="minorHAnsi" w:cs="Arial"/>
          <w:color w:val="222222"/>
          <w:shd w:val="clear" w:color="auto" w:fill="FFFFFF"/>
        </w:rPr>
        <w:t xml:space="preserve">(experimental) value is statistically different from a theoretical (expected) value. For instance, we can use the chi-square to test if the observed distribution is statistically different from the theoretical </w:t>
      </w:r>
      <w:proofErr w:type="spellStart"/>
      <w:r>
        <w:rPr>
          <w:rFonts w:asciiTheme="minorHAnsi" w:hAnsiTheme="minorHAnsi" w:cs="Arial"/>
          <w:color w:val="222222"/>
          <w:shd w:val="clear" w:color="auto" w:fill="FFFFFF"/>
        </w:rPr>
        <w:t>Benford</w:t>
      </w:r>
      <w:proofErr w:type="spellEnd"/>
      <w:r>
        <w:rPr>
          <w:rFonts w:asciiTheme="minorHAnsi" w:hAnsiTheme="minorHAnsi" w:cs="Arial"/>
          <w:color w:val="222222"/>
          <w:shd w:val="clear" w:color="auto" w:fill="FFFFFF"/>
        </w:rPr>
        <w:t xml:space="preserve"> distribution.  The chi-square distribution </w:t>
      </w:r>
      <w:r w:rsidRPr="00A00F97">
        <w:rPr>
          <w:rFonts w:asciiTheme="minorHAnsi" w:hAnsiTheme="minorHAnsi" w:cs="Arial"/>
          <w:color w:val="222222"/>
          <w:shd w:val="clear" w:color="auto" w:fill="FFFFFF"/>
        </w:rPr>
        <w:t>is called a "goodness of fit" statistic</w:t>
      </w:r>
      <w:r>
        <w:rPr>
          <w:rFonts w:asciiTheme="minorHAnsi" w:hAnsiTheme="minorHAnsi" w:cs="Arial"/>
          <w:color w:val="222222"/>
          <w:shd w:val="clear" w:color="auto" w:fill="FFFFFF"/>
        </w:rPr>
        <w:t xml:space="preserve"> since </w:t>
      </w:r>
      <w:r w:rsidRPr="00A00F97">
        <w:rPr>
          <w:rFonts w:asciiTheme="minorHAnsi" w:hAnsiTheme="minorHAnsi" w:cs="Arial"/>
          <w:color w:val="222222"/>
          <w:shd w:val="clear" w:color="auto" w:fill="FFFFFF"/>
        </w:rPr>
        <w:t xml:space="preserve">it measures how well the observed distribution fits the </w:t>
      </w:r>
      <w:r>
        <w:rPr>
          <w:rFonts w:asciiTheme="minorHAnsi" w:hAnsiTheme="minorHAnsi" w:cs="Arial"/>
          <w:color w:val="222222"/>
          <w:shd w:val="clear" w:color="auto" w:fill="FFFFFF"/>
        </w:rPr>
        <w:t xml:space="preserve">expected </w:t>
      </w:r>
      <w:r w:rsidRPr="00A00F97">
        <w:rPr>
          <w:rFonts w:asciiTheme="minorHAnsi" w:hAnsiTheme="minorHAnsi" w:cs="Arial"/>
          <w:color w:val="222222"/>
          <w:shd w:val="clear" w:color="auto" w:fill="FFFFFF"/>
        </w:rPr>
        <w:t>distribution</w:t>
      </w:r>
      <w:r>
        <w:rPr>
          <w:rFonts w:asciiTheme="minorHAnsi" w:hAnsiTheme="minorHAnsi" w:cs="Arial"/>
          <w:color w:val="222222"/>
          <w:shd w:val="clear" w:color="auto" w:fill="FFFFFF"/>
        </w:rPr>
        <w:t>. You may want to see the Khan Academy’s explanation of the chi-square distribution:</w:t>
      </w:r>
    </w:p>
    <w:p w:rsidR="00A41309" w:rsidRDefault="00A41309" w:rsidP="00A41309">
      <w:pPr>
        <w:pStyle w:val="MCQList1a"/>
        <w:spacing w:before="0" w:after="0"/>
        <w:ind w:left="0" w:firstLine="0"/>
        <w:contextualSpacing/>
        <w:jc w:val="both"/>
        <w:rPr>
          <w:rFonts w:asciiTheme="minorHAnsi" w:hAnsiTheme="minorHAnsi" w:cs="Arial"/>
          <w:color w:val="222222"/>
          <w:shd w:val="clear" w:color="auto" w:fill="FFFFFF"/>
        </w:rPr>
      </w:pPr>
    </w:p>
    <w:p w:rsidR="00A41309" w:rsidRDefault="00A41309" w:rsidP="00A41309">
      <w:pPr>
        <w:pStyle w:val="MCQList1a"/>
        <w:spacing w:before="0" w:after="0"/>
        <w:ind w:left="0" w:firstLine="0"/>
        <w:contextualSpacing/>
        <w:jc w:val="both"/>
        <w:rPr>
          <w:rFonts w:asciiTheme="minorHAnsi" w:hAnsiTheme="minorHAnsi" w:cs="Arial"/>
          <w:color w:val="222222"/>
          <w:shd w:val="clear" w:color="auto" w:fill="FFFFFF"/>
        </w:rPr>
      </w:pPr>
      <w:hyperlink r:id="rId9" w:history="1">
        <w:r w:rsidRPr="00252622">
          <w:rPr>
            <w:rStyle w:val="Hyperlink"/>
            <w:rFonts w:asciiTheme="minorHAnsi" w:hAnsiTheme="minorHAnsi" w:cs="Arial"/>
            <w:shd w:val="clear" w:color="auto" w:fill="FFFFFF"/>
          </w:rPr>
          <w:t>https://www.khanacademy.org/math/statistics-probability/inference-categorical-data-chi-square-tests/chi-square-goodness-of-fit-tests/v/chi-square-distribution-introduction</w:t>
        </w:r>
      </w:hyperlink>
    </w:p>
    <w:p w:rsidR="00A41309" w:rsidRDefault="00A41309" w:rsidP="00682FF0">
      <w:pPr>
        <w:jc w:val="both"/>
        <w:rPr>
          <w:rFonts w:ascii="Calibri" w:hAnsi="Calibri"/>
          <w:sz w:val="22"/>
          <w:szCs w:val="22"/>
        </w:rPr>
      </w:pPr>
    </w:p>
    <w:p w:rsidR="00A41309" w:rsidRDefault="00A41309" w:rsidP="00682FF0">
      <w:pPr>
        <w:jc w:val="both"/>
        <w:rPr>
          <w:rFonts w:ascii="Calibri" w:hAnsi="Calibri"/>
          <w:sz w:val="22"/>
          <w:szCs w:val="22"/>
        </w:rPr>
      </w:pPr>
    </w:p>
    <w:p w:rsidR="000B495E" w:rsidRPr="00E76794" w:rsidRDefault="00A41309" w:rsidP="0072574A">
      <w:pPr>
        <w:jc w:val="both"/>
        <w:rPr>
          <w:rFonts w:ascii="Calibri" w:hAnsi="Calibri"/>
          <w:sz w:val="22"/>
          <w:szCs w:val="22"/>
        </w:rPr>
      </w:pPr>
      <w:r>
        <w:rPr>
          <w:rFonts w:ascii="Calibri" w:hAnsi="Calibri"/>
          <w:sz w:val="22"/>
          <w:szCs w:val="22"/>
        </w:rPr>
        <w:t>I</w:t>
      </w:r>
      <w:r w:rsidR="00EE3426">
        <w:rPr>
          <w:rFonts w:ascii="Calibri" w:hAnsi="Calibri"/>
          <w:sz w:val="22"/>
          <w:szCs w:val="22"/>
        </w:rPr>
        <w:t>I</w:t>
      </w:r>
      <w:r w:rsidR="00E76794">
        <w:rPr>
          <w:rFonts w:ascii="Calibri" w:hAnsi="Calibri"/>
          <w:sz w:val="22"/>
          <w:szCs w:val="22"/>
        </w:rPr>
        <w:t xml:space="preserve">. </w:t>
      </w:r>
      <w:r w:rsidR="0072574A">
        <w:rPr>
          <w:rFonts w:ascii="Calibri" w:hAnsi="Calibri"/>
          <w:sz w:val="22"/>
          <w:szCs w:val="22"/>
        </w:rPr>
        <w:t xml:space="preserve">The </w:t>
      </w:r>
      <w:r w:rsidR="000B495E" w:rsidRPr="00E76794">
        <w:rPr>
          <w:rFonts w:ascii="Calibri" w:hAnsi="Calibri"/>
          <w:sz w:val="22"/>
          <w:szCs w:val="22"/>
        </w:rPr>
        <w:t xml:space="preserve">frequency bar chart contrasting the actual data with the theoretical predictions from </w:t>
      </w:r>
      <w:proofErr w:type="spellStart"/>
      <w:r w:rsidR="000B495E" w:rsidRPr="00E76794">
        <w:rPr>
          <w:rFonts w:ascii="Calibri" w:hAnsi="Calibri"/>
          <w:sz w:val="22"/>
          <w:szCs w:val="22"/>
        </w:rPr>
        <w:t>Benford’s</w:t>
      </w:r>
      <w:proofErr w:type="spellEnd"/>
      <w:r w:rsidR="000B495E" w:rsidRPr="00E76794">
        <w:rPr>
          <w:rFonts w:ascii="Calibri" w:hAnsi="Calibri"/>
          <w:sz w:val="22"/>
          <w:szCs w:val="22"/>
        </w:rPr>
        <w:t xml:space="preserve"> Law</w:t>
      </w:r>
      <w:r w:rsidR="0072574A">
        <w:rPr>
          <w:rFonts w:ascii="Calibri" w:hAnsi="Calibri"/>
          <w:sz w:val="22"/>
          <w:szCs w:val="22"/>
        </w:rPr>
        <w:t xml:space="preserve"> is shown below</w:t>
      </w:r>
      <w:r w:rsidR="000B495E" w:rsidRPr="00E76794">
        <w:rPr>
          <w:rFonts w:ascii="Calibri" w:hAnsi="Calibri"/>
          <w:sz w:val="22"/>
          <w:szCs w:val="22"/>
        </w:rPr>
        <w:t>.</w:t>
      </w:r>
    </w:p>
    <w:p w:rsidR="000B495E" w:rsidRDefault="000B495E" w:rsidP="000B495E">
      <w:pPr>
        <w:rPr>
          <w:rFonts w:ascii="Calibri" w:hAnsi="Calibri"/>
          <w:sz w:val="22"/>
          <w:szCs w:val="22"/>
        </w:rPr>
      </w:pPr>
    </w:p>
    <w:p w:rsidR="00E76794" w:rsidRDefault="00E76794" w:rsidP="000B495E">
      <w:pPr>
        <w:rPr>
          <w:rFonts w:ascii="Calibri" w:hAnsi="Calibri"/>
          <w:sz w:val="22"/>
          <w:szCs w:val="22"/>
        </w:rPr>
      </w:pPr>
    </w:p>
    <w:p w:rsidR="00E76794" w:rsidRDefault="00E76794" w:rsidP="00E76794">
      <w:pPr>
        <w:jc w:val="center"/>
        <w:rPr>
          <w:rFonts w:ascii="Calibri" w:hAnsi="Calibri"/>
          <w:sz w:val="22"/>
          <w:szCs w:val="22"/>
        </w:rPr>
      </w:pPr>
      <w:r>
        <w:rPr>
          <w:noProof/>
          <w:snapToGrid w:val="0"/>
        </w:rPr>
        <w:drawing>
          <wp:inline distT="0" distB="0" distL="0" distR="0" wp14:anchorId="3E6754D0" wp14:editId="788F73FB">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76794" w:rsidRDefault="00E76794" w:rsidP="000B495E">
      <w:pPr>
        <w:rPr>
          <w:rFonts w:ascii="Calibri" w:hAnsi="Calibri"/>
          <w:sz w:val="22"/>
          <w:szCs w:val="22"/>
        </w:rPr>
      </w:pPr>
    </w:p>
    <w:p w:rsidR="00E76794" w:rsidRDefault="00E76794" w:rsidP="0072574A">
      <w:pPr>
        <w:jc w:val="both"/>
        <w:rPr>
          <w:rFonts w:ascii="Calibri" w:hAnsi="Calibri"/>
          <w:sz w:val="22"/>
          <w:szCs w:val="22"/>
        </w:rPr>
      </w:pPr>
    </w:p>
    <w:p w:rsidR="000B495E" w:rsidRPr="00E76794" w:rsidRDefault="000B495E" w:rsidP="0072574A">
      <w:pPr>
        <w:jc w:val="both"/>
        <w:rPr>
          <w:rFonts w:ascii="Calibri" w:hAnsi="Calibri"/>
          <w:sz w:val="22"/>
          <w:szCs w:val="22"/>
        </w:rPr>
      </w:pPr>
      <w:r w:rsidRPr="00E76794">
        <w:rPr>
          <w:rFonts w:ascii="Calibri" w:hAnsi="Calibri"/>
          <w:sz w:val="22"/>
          <w:szCs w:val="22"/>
        </w:rPr>
        <w:t xml:space="preserve">b.) Visually, the data conforms to a distribution that is almost opposite to </w:t>
      </w:r>
      <w:proofErr w:type="spellStart"/>
      <w:r w:rsidRPr="00E76794">
        <w:rPr>
          <w:rFonts w:ascii="Calibri" w:hAnsi="Calibri"/>
          <w:sz w:val="22"/>
          <w:szCs w:val="22"/>
        </w:rPr>
        <w:t>Benford’s</w:t>
      </w:r>
      <w:proofErr w:type="spellEnd"/>
      <w:r w:rsidRPr="00E76794">
        <w:rPr>
          <w:rFonts w:ascii="Calibri" w:hAnsi="Calibri"/>
          <w:sz w:val="22"/>
          <w:szCs w:val="22"/>
        </w:rPr>
        <w:t xml:space="preserve"> prediction. The numbers 8 and 9 appear as first digits much more frequently as compared to smaller numbers like 3 and 4.  </w:t>
      </w:r>
    </w:p>
    <w:p w:rsidR="00D21E1B" w:rsidRDefault="00D21E1B" w:rsidP="000B495E">
      <w:pPr>
        <w:jc w:val="both"/>
        <w:rPr>
          <w:rFonts w:ascii="Calibri" w:hAnsi="Calibri"/>
          <w:sz w:val="22"/>
          <w:szCs w:val="22"/>
        </w:rPr>
      </w:pPr>
    </w:p>
    <w:p w:rsidR="00D21E1B" w:rsidRDefault="00D21E1B" w:rsidP="00D21E1B">
      <w:pPr>
        <w:tabs>
          <w:tab w:val="clear" w:pos="374"/>
        </w:tabs>
        <w:autoSpaceDE w:val="0"/>
        <w:autoSpaceDN w:val="0"/>
        <w:adjustRightInd w:val="0"/>
        <w:spacing w:line="240" w:lineRule="auto"/>
        <w:jc w:val="both"/>
        <w:rPr>
          <w:rFonts w:ascii="Calibri" w:hAnsi="Calibri"/>
          <w:sz w:val="22"/>
          <w:szCs w:val="22"/>
        </w:rPr>
      </w:pPr>
      <w:r>
        <w:rPr>
          <w:rFonts w:asciiTheme="minorHAnsi" w:eastAsiaTheme="minorHAnsi" w:hAnsiTheme="minorHAnsi" w:cs="Life-Roman"/>
          <w:snapToGrid w:val="0"/>
          <w:sz w:val="22"/>
          <w:szCs w:val="22"/>
        </w:rPr>
        <w:t>G</w:t>
      </w:r>
      <w:r w:rsidRPr="00D21E1B">
        <w:rPr>
          <w:rFonts w:asciiTheme="minorHAnsi" w:eastAsiaTheme="minorHAnsi" w:hAnsiTheme="minorHAnsi" w:cs="Life-Roman"/>
          <w:snapToGrid w:val="0"/>
          <w:sz w:val="22"/>
          <w:szCs w:val="22"/>
        </w:rPr>
        <w:t xml:space="preserve">enerally speaking, </w:t>
      </w:r>
      <w:r>
        <w:rPr>
          <w:rFonts w:asciiTheme="minorHAnsi" w:eastAsiaTheme="minorHAnsi" w:hAnsiTheme="minorHAnsi" w:cs="Life-Roman"/>
          <w:snapToGrid w:val="0"/>
          <w:sz w:val="22"/>
          <w:szCs w:val="22"/>
        </w:rPr>
        <w:t xml:space="preserve">chi-square </w:t>
      </w:r>
      <w:r w:rsidRPr="00D21E1B">
        <w:rPr>
          <w:rFonts w:asciiTheme="minorHAnsi" w:eastAsiaTheme="minorHAnsi" w:hAnsiTheme="minorHAnsi" w:cs="Life-Roman"/>
          <w:snapToGrid w:val="0"/>
          <w:sz w:val="22"/>
          <w:szCs w:val="22"/>
        </w:rPr>
        <w:t>values of less</w:t>
      </w:r>
      <w:r>
        <w:rPr>
          <w:rFonts w:asciiTheme="minorHAnsi" w:eastAsiaTheme="minorHAnsi" w:hAnsiTheme="minorHAnsi" w:cs="Life-Roman"/>
          <w:snapToGrid w:val="0"/>
          <w:sz w:val="22"/>
          <w:szCs w:val="22"/>
        </w:rPr>
        <w:t xml:space="preserve"> </w:t>
      </w:r>
      <w:r w:rsidRPr="00D21E1B">
        <w:rPr>
          <w:rFonts w:asciiTheme="minorHAnsi" w:eastAsiaTheme="minorHAnsi" w:hAnsiTheme="minorHAnsi" w:cs="Life-Roman"/>
          <w:snapToGrid w:val="0"/>
          <w:sz w:val="22"/>
          <w:szCs w:val="22"/>
        </w:rPr>
        <w:t>than 5</w:t>
      </w:r>
      <w:r>
        <w:rPr>
          <w:rFonts w:asciiTheme="minorHAnsi" w:eastAsiaTheme="minorHAnsi" w:hAnsiTheme="minorHAnsi" w:cs="Life-Roman"/>
          <w:snapToGrid w:val="0"/>
          <w:sz w:val="22"/>
          <w:szCs w:val="22"/>
        </w:rPr>
        <w:t>%</w:t>
      </w:r>
      <w:r w:rsidRPr="00D21E1B">
        <w:rPr>
          <w:rFonts w:asciiTheme="minorHAnsi" w:eastAsiaTheme="minorHAnsi" w:hAnsiTheme="minorHAnsi" w:cs="Life-Roman"/>
          <w:snapToGrid w:val="0"/>
          <w:sz w:val="22"/>
          <w:szCs w:val="22"/>
        </w:rPr>
        <w:t xml:space="preserve"> suggest that there is little likelihood that the</w:t>
      </w:r>
      <w:r>
        <w:rPr>
          <w:rFonts w:asciiTheme="minorHAnsi" w:eastAsiaTheme="minorHAnsi" w:hAnsiTheme="minorHAnsi" w:cs="Life-Roman"/>
          <w:snapToGrid w:val="0"/>
          <w:sz w:val="22"/>
          <w:szCs w:val="22"/>
        </w:rPr>
        <w:t xml:space="preserve"> </w:t>
      </w:r>
      <w:r w:rsidRPr="00D21E1B">
        <w:rPr>
          <w:rFonts w:asciiTheme="minorHAnsi" w:eastAsiaTheme="minorHAnsi" w:hAnsiTheme="minorHAnsi" w:cs="Life-Roman"/>
          <w:snapToGrid w:val="0"/>
          <w:sz w:val="22"/>
          <w:szCs w:val="22"/>
        </w:rPr>
        <w:t xml:space="preserve">data </w:t>
      </w:r>
      <w:r>
        <w:rPr>
          <w:rFonts w:asciiTheme="minorHAnsi" w:eastAsiaTheme="minorHAnsi" w:hAnsiTheme="minorHAnsi" w:cs="Life-Roman"/>
          <w:snapToGrid w:val="0"/>
          <w:sz w:val="22"/>
          <w:szCs w:val="22"/>
        </w:rPr>
        <w:t xml:space="preserve">conform to </w:t>
      </w:r>
      <w:r w:rsidRPr="00D21E1B">
        <w:rPr>
          <w:rFonts w:asciiTheme="minorHAnsi" w:eastAsiaTheme="minorHAnsi" w:hAnsiTheme="minorHAnsi" w:cs="Life-Roman"/>
          <w:snapToGrid w:val="0"/>
          <w:sz w:val="22"/>
          <w:szCs w:val="22"/>
        </w:rPr>
        <w:t>the hypothesized (</w:t>
      </w:r>
      <w:proofErr w:type="spellStart"/>
      <w:r w:rsidRPr="00D21E1B">
        <w:rPr>
          <w:rFonts w:asciiTheme="minorHAnsi" w:eastAsiaTheme="minorHAnsi" w:hAnsiTheme="minorHAnsi" w:cs="Life-Roman"/>
          <w:snapToGrid w:val="0"/>
          <w:sz w:val="22"/>
          <w:szCs w:val="22"/>
        </w:rPr>
        <w:t>Benford</w:t>
      </w:r>
      <w:proofErr w:type="spellEnd"/>
      <w:r w:rsidRPr="00D21E1B">
        <w:rPr>
          <w:rFonts w:asciiTheme="minorHAnsi" w:eastAsiaTheme="minorHAnsi" w:hAnsiTheme="minorHAnsi" w:cs="Life-Roman"/>
          <w:snapToGrid w:val="0"/>
          <w:sz w:val="22"/>
          <w:szCs w:val="22"/>
        </w:rPr>
        <w:t>) distribution while</w:t>
      </w:r>
      <w:r>
        <w:rPr>
          <w:rFonts w:asciiTheme="minorHAnsi" w:eastAsiaTheme="minorHAnsi" w:hAnsiTheme="minorHAnsi" w:cs="Life-Roman"/>
          <w:snapToGrid w:val="0"/>
          <w:sz w:val="22"/>
          <w:szCs w:val="22"/>
        </w:rPr>
        <w:t xml:space="preserve"> </w:t>
      </w:r>
      <w:r w:rsidRPr="00D21E1B">
        <w:rPr>
          <w:rFonts w:asciiTheme="minorHAnsi" w:eastAsiaTheme="minorHAnsi" w:hAnsiTheme="minorHAnsi" w:cs="Life-Roman"/>
          <w:snapToGrid w:val="0"/>
          <w:sz w:val="22"/>
          <w:szCs w:val="22"/>
        </w:rPr>
        <w:t>values of 10</w:t>
      </w:r>
      <w:r>
        <w:rPr>
          <w:rFonts w:asciiTheme="minorHAnsi" w:eastAsiaTheme="minorHAnsi" w:hAnsiTheme="minorHAnsi" w:cs="Life-Roman"/>
          <w:snapToGrid w:val="0"/>
          <w:sz w:val="22"/>
          <w:szCs w:val="22"/>
        </w:rPr>
        <w:t>%</w:t>
      </w:r>
      <w:r w:rsidRPr="00D21E1B">
        <w:rPr>
          <w:rFonts w:asciiTheme="minorHAnsi" w:eastAsiaTheme="minorHAnsi" w:hAnsiTheme="minorHAnsi" w:cs="Life-Roman"/>
          <w:snapToGrid w:val="0"/>
          <w:sz w:val="22"/>
          <w:szCs w:val="22"/>
        </w:rPr>
        <w:t xml:space="preserve"> or less suggest that there is at </w:t>
      </w:r>
      <w:r>
        <w:rPr>
          <w:rFonts w:asciiTheme="minorHAnsi" w:eastAsiaTheme="minorHAnsi" w:hAnsiTheme="minorHAnsi" w:cs="Life-Roman"/>
          <w:snapToGrid w:val="0"/>
          <w:sz w:val="22"/>
          <w:szCs w:val="22"/>
        </w:rPr>
        <w:t>least</w:t>
      </w:r>
      <w:r w:rsidRPr="00D21E1B">
        <w:rPr>
          <w:rFonts w:asciiTheme="minorHAnsi" w:eastAsiaTheme="minorHAnsi" w:hAnsiTheme="minorHAnsi" w:cs="Life-Roman"/>
          <w:snapToGrid w:val="0"/>
          <w:sz w:val="22"/>
          <w:szCs w:val="22"/>
        </w:rPr>
        <w:t xml:space="preserve"> a</w:t>
      </w:r>
      <w:r>
        <w:rPr>
          <w:rFonts w:asciiTheme="minorHAnsi" w:eastAsiaTheme="minorHAnsi" w:hAnsiTheme="minorHAnsi" w:cs="Life-Roman"/>
          <w:snapToGrid w:val="0"/>
          <w:sz w:val="22"/>
          <w:szCs w:val="22"/>
        </w:rPr>
        <w:t xml:space="preserve"> </w:t>
      </w:r>
      <w:r w:rsidRPr="00D21E1B">
        <w:rPr>
          <w:rFonts w:asciiTheme="minorHAnsi" w:eastAsiaTheme="minorHAnsi" w:hAnsiTheme="minorHAnsi" w:cs="Life-Roman"/>
          <w:snapToGrid w:val="0"/>
          <w:sz w:val="22"/>
          <w:szCs w:val="22"/>
        </w:rPr>
        <w:t>90</w:t>
      </w:r>
      <w:r>
        <w:rPr>
          <w:rFonts w:asciiTheme="minorHAnsi" w:eastAsiaTheme="minorHAnsi" w:hAnsiTheme="minorHAnsi" w:cs="Life-Roman"/>
          <w:snapToGrid w:val="0"/>
          <w:sz w:val="22"/>
          <w:szCs w:val="22"/>
        </w:rPr>
        <w:t>%</w:t>
      </w:r>
      <w:r w:rsidRPr="00D21E1B">
        <w:rPr>
          <w:rFonts w:asciiTheme="minorHAnsi" w:eastAsiaTheme="minorHAnsi" w:hAnsiTheme="minorHAnsi" w:cs="Life-Roman"/>
          <w:snapToGrid w:val="0"/>
          <w:sz w:val="22"/>
          <w:szCs w:val="22"/>
        </w:rPr>
        <w:t xml:space="preserve"> probability that the data are </w:t>
      </w:r>
      <w:r>
        <w:rPr>
          <w:rFonts w:asciiTheme="minorHAnsi" w:eastAsiaTheme="minorHAnsi" w:hAnsiTheme="minorHAnsi" w:cs="Life-Roman"/>
          <w:snapToGrid w:val="0"/>
          <w:sz w:val="22"/>
          <w:szCs w:val="22"/>
        </w:rPr>
        <w:t xml:space="preserve">not generated by a genuine process. </w:t>
      </w:r>
      <w:r w:rsidRPr="00D21E1B">
        <w:rPr>
          <w:rFonts w:asciiTheme="minorHAnsi" w:eastAsiaTheme="minorHAnsi" w:hAnsiTheme="minorHAnsi" w:cs="Life-Roman"/>
          <w:snapToGrid w:val="0"/>
          <w:sz w:val="22"/>
          <w:szCs w:val="22"/>
        </w:rPr>
        <w:t xml:space="preserve">The </w:t>
      </w:r>
      <w:r>
        <w:rPr>
          <w:rFonts w:asciiTheme="minorHAnsi" w:eastAsiaTheme="minorHAnsi" w:hAnsiTheme="minorHAnsi" w:cs="Life-Roman"/>
          <w:snapToGrid w:val="0"/>
          <w:sz w:val="22"/>
          <w:szCs w:val="22"/>
        </w:rPr>
        <w:t xml:space="preserve">zero value here </w:t>
      </w:r>
      <w:r w:rsidRPr="00D21E1B">
        <w:rPr>
          <w:rFonts w:asciiTheme="minorHAnsi" w:eastAsiaTheme="minorHAnsi" w:hAnsiTheme="minorHAnsi" w:cs="Life-Roman"/>
          <w:snapToGrid w:val="0"/>
          <w:sz w:val="22"/>
          <w:szCs w:val="22"/>
        </w:rPr>
        <w:t>for the chi-square test</w:t>
      </w:r>
      <w:r>
        <w:rPr>
          <w:rFonts w:asciiTheme="minorHAnsi" w:eastAsiaTheme="minorHAnsi" w:hAnsiTheme="minorHAnsi" w:cs="Life-Roman"/>
          <w:snapToGrid w:val="0"/>
          <w:sz w:val="22"/>
          <w:szCs w:val="22"/>
        </w:rPr>
        <w:t xml:space="preserve"> indicates that there is a near 100% probability t</w:t>
      </w:r>
      <w:r w:rsidRPr="00D21E1B">
        <w:rPr>
          <w:rFonts w:asciiTheme="minorHAnsi" w:eastAsiaTheme="minorHAnsi" w:hAnsiTheme="minorHAnsi" w:cs="Life-Roman"/>
          <w:snapToGrid w:val="0"/>
          <w:sz w:val="22"/>
          <w:szCs w:val="22"/>
        </w:rPr>
        <w:t xml:space="preserve">hat the data in this sample </w:t>
      </w:r>
      <w:r>
        <w:rPr>
          <w:rFonts w:asciiTheme="minorHAnsi" w:eastAsiaTheme="minorHAnsi" w:hAnsiTheme="minorHAnsi" w:cs="Life-Roman"/>
          <w:snapToGrid w:val="0"/>
          <w:sz w:val="22"/>
          <w:szCs w:val="22"/>
        </w:rPr>
        <w:t xml:space="preserve">was </w:t>
      </w:r>
      <w:r>
        <w:rPr>
          <w:rFonts w:ascii="Calibri" w:hAnsi="Calibri"/>
          <w:sz w:val="22"/>
          <w:szCs w:val="22"/>
        </w:rPr>
        <w:t xml:space="preserve">invented and </w:t>
      </w:r>
      <w:r w:rsidRPr="00E76794">
        <w:rPr>
          <w:rFonts w:ascii="Calibri" w:hAnsi="Calibri"/>
          <w:sz w:val="22"/>
          <w:szCs w:val="22"/>
        </w:rPr>
        <w:t>not generated by a genuine process.</w:t>
      </w:r>
    </w:p>
    <w:p w:rsidR="00D21E1B" w:rsidRDefault="00D21E1B" w:rsidP="00D21E1B">
      <w:pPr>
        <w:jc w:val="both"/>
        <w:rPr>
          <w:rFonts w:ascii="Calibri" w:hAnsi="Calibri"/>
          <w:sz w:val="22"/>
          <w:szCs w:val="22"/>
        </w:rPr>
      </w:pPr>
    </w:p>
    <w:p w:rsidR="00E76794" w:rsidRPr="00E76794" w:rsidRDefault="000B495E" w:rsidP="000B495E">
      <w:pPr>
        <w:jc w:val="both"/>
        <w:rPr>
          <w:rFonts w:ascii="Calibri" w:hAnsi="Calibri"/>
          <w:sz w:val="22"/>
          <w:szCs w:val="22"/>
        </w:rPr>
      </w:pPr>
      <w:r w:rsidRPr="00E76794">
        <w:rPr>
          <w:rFonts w:ascii="Calibri" w:hAnsi="Calibri"/>
          <w:sz w:val="22"/>
          <w:szCs w:val="22"/>
        </w:rPr>
        <w:t xml:space="preserve">c.) </w:t>
      </w:r>
      <w:r w:rsidR="00E76794">
        <w:rPr>
          <w:rFonts w:ascii="Calibri" w:hAnsi="Calibri"/>
          <w:sz w:val="22"/>
          <w:szCs w:val="22"/>
        </w:rPr>
        <w:t>There are two other indicators that imply fraud:</w:t>
      </w:r>
    </w:p>
    <w:p w:rsidR="0072574A" w:rsidRDefault="0072574A" w:rsidP="00682FF0">
      <w:pPr>
        <w:jc w:val="both"/>
        <w:rPr>
          <w:rFonts w:ascii="Calibri" w:hAnsi="Calibri"/>
          <w:sz w:val="22"/>
          <w:szCs w:val="22"/>
        </w:rPr>
      </w:pPr>
    </w:p>
    <w:p w:rsidR="000B495E" w:rsidRDefault="0072574A" w:rsidP="0072574A">
      <w:pPr>
        <w:jc w:val="both"/>
        <w:rPr>
          <w:rFonts w:ascii="Calibri" w:hAnsi="Calibri"/>
          <w:sz w:val="22"/>
          <w:szCs w:val="22"/>
        </w:rPr>
      </w:pPr>
      <w:proofErr w:type="spellStart"/>
      <w:r>
        <w:rPr>
          <w:rFonts w:ascii="Calibri" w:hAnsi="Calibri"/>
          <w:sz w:val="22"/>
          <w:szCs w:val="22"/>
        </w:rPr>
        <w:t>i</w:t>
      </w:r>
      <w:proofErr w:type="spellEnd"/>
      <w:r>
        <w:rPr>
          <w:rFonts w:ascii="Calibri" w:hAnsi="Calibri"/>
          <w:sz w:val="22"/>
          <w:szCs w:val="22"/>
        </w:rPr>
        <w:t xml:space="preserve">.) Several </w:t>
      </w:r>
      <w:r w:rsidR="00E76794">
        <w:rPr>
          <w:rFonts w:ascii="Calibri" w:hAnsi="Calibri"/>
          <w:sz w:val="22"/>
          <w:szCs w:val="22"/>
        </w:rPr>
        <w:t>dollar amounts are just below $100,000. There are 9 instance out of 23 where the dollar amounts are $90,000 or greater. The reason could be that amounts greater than $100,000 would receive greater financial scrutiny that numbers below $100,000.</w:t>
      </w:r>
    </w:p>
    <w:p w:rsidR="00E76794" w:rsidRDefault="00E76794" w:rsidP="0072574A">
      <w:pPr>
        <w:jc w:val="both"/>
        <w:rPr>
          <w:rFonts w:ascii="Calibri" w:hAnsi="Calibri"/>
          <w:sz w:val="22"/>
          <w:szCs w:val="22"/>
        </w:rPr>
      </w:pPr>
    </w:p>
    <w:p w:rsidR="00E76794" w:rsidRDefault="00E76794" w:rsidP="0072574A">
      <w:pPr>
        <w:jc w:val="both"/>
        <w:rPr>
          <w:rFonts w:ascii="Calibri" w:hAnsi="Calibri"/>
          <w:sz w:val="22"/>
          <w:szCs w:val="22"/>
        </w:rPr>
      </w:pPr>
      <w:r>
        <w:rPr>
          <w:rFonts w:ascii="Calibri" w:hAnsi="Calibri"/>
          <w:sz w:val="22"/>
          <w:szCs w:val="22"/>
        </w:rPr>
        <w:t>ii.) There are no round numbers in the checks – almost all the values involve cents and subconsciously there seems to have been a preference for 8’s and 9’s.</w:t>
      </w:r>
    </w:p>
    <w:p w:rsidR="00EE3426" w:rsidRDefault="00EE3426" w:rsidP="00682FF0">
      <w:pPr>
        <w:jc w:val="both"/>
        <w:rPr>
          <w:rFonts w:ascii="Calibri" w:hAnsi="Calibri"/>
          <w:sz w:val="22"/>
          <w:szCs w:val="22"/>
        </w:rPr>
      </w:pPr>
    </w:p>
    <w:p w:rsidR="00A41309" w:rsidRDefault="00A41309" w:rsidP="00A37C19">
      <w:pPr>
        <w:jc w:val="both"/>
        <w:rPr>
          <w:rFonts w:ascii="Calibri" w:hAnsi="Calibri"/>
          <w:sz w:val="22"/>
          <w:szCs w:val="22"/>
        </w:rPr>
      </w:pPr>
    </w:p>
    <w:p w:rsidR="00A41309" w:rsidRDefault="00A41309" w:rsidP="00A37C19">
      <w:pPr>
        <w:jc w:val="both"/>
        <w:rPr>
          <w:rFonts w:ascii="Calibri" w:hAnsi="Calibri"/>
          <w:sz w:val="22"/>
          <w:szCs w:val="22"/>
        </w:rPr>
      </w:pPr>
    </w:p>
    <w:p w:rsidR="00A37C19" w:rsidRDefault="00A41309" w:rsidP="00A37C19">
      <w:pPr>
        <w:jc w:val="both"/>
        <w:rPr>
          <w:rFonts w:ascii="Calibri" w:hAnsi="Calibri"/>
          <w:sz w:val="22"/>
          <w:szCs w:val="22"/>
        </w:rPr>
      </w:pPr>
      <w:r>
        <w:rPr>
          <w:rFonts w:ascii="Calibri" w:hAnsi="Calibri"/>
          <w:sz w:val="22"/>
          <w:szCs w:val="22"/>
        </w:rPr>
        <w:lastRenderedPageBreak/>
        <w:t>I</w:t>
      </w:r>
      <w:r w:rsidR="004532F8">
        <w:rPr>
          <w:rFonts w:ascii="Calibri" w:hAnsi="Calibri"/>
          <w:sz w:val="22"/>
          <w:szCs w:val="22"/>
        </w:rPr>
        <w:t xml:space="preserve">II. </w:t>
      </w:r>
      <w:r w:rsidR="004E1E3A">
        <w:rPr>
          <w:rFonts w:ascii="Calibri" w:hAnsi="Calibri"/>
          <w:sz w:val="22"/>
          <w:szCs w:val="22"/>
        </w:rPr>
        <w:t xml:space="preserve">a.) </w:t>
      </w:r>
    </w:p>
    <w:p w:rsidR="004E1E3A" w:rsidRDefault="004E1E3A" w:rsidP="004E1E3A">
      <w:pPr>
        <w:jc w:val="center"/>
        <w:rPr>
          <w:rFonts w:ascii="Calibri" w:hAnsi="Calibri"/>
          <w:sz w:val="22"/>
          <w:szCs w:val="22"/>
        </w:rPr>
      </w:pPr>
      <w:r>
        <w:rPr>
          <w:noProof/>
          <w:snapToGrid w:val="0"/>
        </w:rPr>
        <w:drawing>
          <wp:inline distT="0" distB="0" distL="0" distR="0" wp14:anchorId="2F26E136" wp14:editId="26882BA7">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E1E3A" w:rsidRDefault="004E1E3A" w:rsidP="00A37C19">
      <w:pPr>
        <w:jc w:val="both"/>
        <w:rPr>
          <w:rFonts w:ascii="Calibri" w:hAnsi="Calibri"/>
          <w:sz w:val="22"/>
          <w:szCs w:val="22"/>
        </w:rPr>
      </w:pPr>
    </w:p>
    <w:p w:rsidR="004E1E3A" w:rsidRDefault="004E1E3A" w:rsidP="00A37C19">
      <w:pPr>
        <w:jc w:val="both"/>
        <w:rPr>
          <w:rFonts w:ascii="Calibri" w:hAnsi="Calibri"/>
          <w:sz w:val="22"/>
          <w:szCs w:val="22"/>
        </w:rPr>
      </w:pPr>
    </w:p>
    <w:p w:rsidR="00323CD4" w:rsidRDefault="004E1E3A" w:rsidP="00A37C19">
      <w:pPr>
        <w:jc w:val="both"/>
        <w:rPr>
          <w:rFonts w:ascii="Calibri" w:hAnsi="Calibri"/>
          <w:sz w:val="22"/>
          <w:szCs w:val="22"/>
        </w:rPr>
      </w:pPr>
      <w:proofErr w:type="gramStart"/>
      <w:r>
        <w:rPr>
          <w:rFonts w:ascii="Calibri" w:hAnsi="Calibri"/>
          <w:sz w:val="22"/>
          <w:szCs w:val="22"/>
        </w:rPr>
        <w:t>b</w:t>
      </w:r>
      <w:proofErr w:type="gramEnd"/>
      <w:r>
        <w:rPr>
          <w:rFonts w:ascii="Calibri" w:hAnsi="Calibri"/>
          <w:sz w:val="22"/>
          <w:szCs w:val="22"/>
        </w:rPr>
        <w:t xml:space="preserve">.) </w:t>
      </w:r>
    </w:p>
    <w:tbl>
      <w:tblPr>
        <w:tblStyle w:val="TableGrid"/>
        <w:tblW w:w="5000" w:type="pct"/>
        <w:tblLook w:val="04A0" w:firstRow="1" w:lastRow="0" w:firstColumn="1" w:lastColumn="0" w:noHBand="0" w:noVBand="1"/>
      </w:tblPr>
      <w:tblGrid>
        <w:gridCol w:w="2287"/>
        <w:gridCol w:w="2517"/>
        <w:gridCol w:w="1677"/>
        <w:gridCol w:w="2869"/>
      </w:tblGrid>
      <w:tr w:rsidR="004E1E3A" w:rsidRPr="004E1E3A" w:rsidTr="00323CD4">
        <w:trPr>
          <w:trHeight w:val="576"/>
        </w:trPr>
        <w:tc>
          <w:tcPr>
            <w:tcW w:w="1223" w:type="pct"/>
            <w:hideMark/>
          </w:tcPr>
          <w:p w:rsidR="004E1E3A" w:rsidRPr="004E1E3A" w:rsidRDefault="004E1E3A" w:rsidP="004E1E3A">
            <w:pPr>
              <w:tabs>
                <w:tab w:val="clear" w:pos="374"/>
              </w:tabs>
              <w:spacing w:line="240" w:lineRule="auto"/>
              <w:jc w:val="center"/>
              <w:rPr>
                <w:rFonts w:ascii="Calibri" w:hAnsi="Calibri"/>
                <w:b/>
                <w:bCs/>
                <w:color w:val="000000"/>
                <w:sz w:val="16"/>
                <w:szCs w:val="16"/>
                <w:u w:val="single"/>
              </w:rPr>
            </w:pPr>
            <w:r w:rsidRPr="004E1E3A">
              <w:rPr>
                <w:rFonts w:ascii="Calibri" w:hAnsi="Calibri"/>
                <w:b/>
                <w:bCs/>
                <w:color w:val="000000"/>
                <w:sz w:val="16"/>
                <w:szCs w:val="16"/>
                <w:u w:val="single"/>
              </w:rPr>
              <w:t>DIGIT</w:t>
            </w:r>
          </w:p>
        </w:tc>
        <w:tc>
          <w:tcPr>
            <w:tcW w:w="1346" w:type="pct"/>
            <w:hideMark/>
          </w:tcPr>
          <w:p w:rsidR="004E1E3A" w:rsidRPr="004E1E3A" w:rsidRDefault="004E1E3A" w:rsidP="004E1E3A">
            <w:pPr>
              <w:tabs>
                <w:tab w:val="clear" w:pos="374"/>
              </w:tabs>
              <w:spacing w:line="240" w:lineRule="auto"/>
              <w:jc w:val="center"/>
              <w:rPr>
                <w:rFonts w:ascii="Calibri" w:hAnsi="Calibri"/>
                <w:b/>
                <w:bCs/>
                <w:color w:val="000000"/>
                <w:sz w:val="16"/>
                <w:szCs w:val="16"/>
                <w:u w:val="single"/>
              </w:rPr>
            </w:pPr>
            <w:r w:rsidRPr="004E1E3A">
              <w:rPr>
                <w:rFonts w:ascii="Calibri" w:hAnsi="Calibri"/>
                <w:b/>
                <w:bCs/>
                <w:color w:val="000000"/>
                <w:sz w:val="16"/>
                <w:szCs w:val="16"/>
                <w:u w:val="single"/>
              </w:rPr>
              <w:t>NUMBER OF TIMES OCCURS IN DATA (ACTUAL COUNT)</w:t>
            </w:r>
          </w:p>
        </w:tc>
        <w:tc>
          <w:tcPr>
            <w:tcW w:w="897" w:type="pct"/>
            <w:hideMark/>
          </w:tcPr>
          <w:p w:rsidR="004E1E3A" w:rsidRPr="004E1E3A" w:rsidRDefault="004E1E3A" w:rsidP="004E1E3A">
            <w:pPr>
              <w:tabs>
                <w:tab w:val="clear" w:pos="374"/>
              </w:tabs>
              <w:spacing w:line="240" w:lineRule="auto"/>
              <w:jc w:val="center"/>
              <w:rPr>
                <w:rFonts w:ascii="Calibri" w:hAnsi="Calibri"/>
                <w:b/>
                <w:bCs/>
                <w:color w:val="000000"/>
                <w:sz w:val="16"/>
                <w:szCs w:val="16"/>
                <w:u w:val="single"/>
              </w:rPr>
            </w:pPr>
            <w:r w:rsidRPr="004E1E3A">
              <w:rPr>
                <w:rFonts w:ascii="Calibri" w:hAnsi="Calibri"/>
                <w:b/>
                <w:bCs/>
                <w:color w:val="000000"/>
                <w:sz w:val="16"/>
                <w:szCs w:val="16"/>
                <w:u w:val="single"/>
              </w:rPr>
              <w:t>BENFORD PREDICTION (%)</w:t>
            </w:r>
          </w:p>
        </w:tc>
        <w:tc>
          <w:tcPr>
            <w:tcW w:w="1534" w:type="pct"/>
            <w:hideMark/>
          </w:tcPr>
          <w:p w:rsidR="004E1E3A" w:rsidRPr="004E1E3A" w:rsidRDefault="004E1E3A" w:rsidP="004E1E3A">
            <w:pPr>
              <w:tabs>
                <w:tab w:val="clear" w:pos="374"/>
              </w:tabs>
              <w:spacing w:line="240" w:lineRule="auto"/>
              <w:jc w:val="center"/>
              <w:rPr>
                <w:rFonts w:ascii="Calibri" w:hAnsi="Calibri"/>
                <w:b/>
                <w:bCs/>
                <w:color w:val="000000"/>
                <w:sz w:val="16"/>
                <w:szCs w:val="16"/>
                <w:u w:val="single"/>
              </w:rPr>
            </w:pPr>
            <w:r w:rsidRPr="004E1E3A">
              <w:rPr>
                <w:rFonts w:ascii="Calibri" w:hAnsi="Calibri"/>
                <w:b/>
                <w:bCs/>
                <w:color w:val="000000"/>
                <w:sz w:val="16"/>
                <w:szCs w:val="16"/>
                <w:u w:val="single"/>
              </w:rPr>
              <w:t>NUMBER OF TIMES OCCURS PER BENFORD (EXPECTED COUNT)</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55</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30.10%</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64</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2</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45</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17.61%</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38</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3</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35</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12.49%</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27</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4</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27</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9.69%</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21</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5</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21</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7.92%</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17</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6</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10</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6.69%</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14</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7</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8</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5.80%</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12</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8</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8</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5.12%</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11</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9</w:t>
            </w:r>
          </w:p>
        </w:tc>
        <w:tc>
          <w:tcPr>
            <w:tcW w:w="1346"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5</w:t>
            </w:r>
          </w:p>
        </w:tc>
        <w:tc>
          <w:tcPr>
            <w:tcW w:w="897"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4.58%</w:t>
            </w:r>
          </w:p>
        </w:tc>
        <w:tc>
          <w:tcPr>
            <w:tcW w:w="1534"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r w:rsidRPr="004E1E3A">
              <w:rPr>
                <w:rFonts w:ascii="Calibri" w:hAnsi="Calibri"/>
                <w:color w:val="000000"/>
                <w:sz w:val="16"/>
                <w:szCs w:val="16"/>
              </w:rPr>
              <w:t>10</w:t>
            </w:r>
          </w:p>
        </w:tc>
      </w:tr>
      <w:tr w:rsidR="004E1E3A" w:rsidRPr="004E1E3A" w:rsidTr="00323CD4">
        <w:trPr>
          <w:trHeight w:val="360"/>
        </w:trPr>
        <w:tc>
          <w:tcPr>
            <w:tcW w:w="1223" w:type="pct"/>
            <w:noWrap/>
            <w:hideMark/>
          </w:tcPr>
          <w:p w:rsidR="004E1E3A" w:rsidRPr="004E1E3A" w:rsidRDefault="004E1E3A" w:rsidP="004E1E3A">
            <w:pPr>
              <w:tabs>
                <w:tab w:val="clear" w:pos="374"/>
              </w:tabs>
              <w:spacing w:line="240" w:lineRule="auto"/>
              <w:jc w:val="center"/>
              <w:rPr>
                <w:rFonts w:ascii="Calibri" w:hAnsi="Calibri"/>
                <w:color w:val="000000"/>
                <w:sz w:val="16"/>
                <w:szCs w:val="16"/>
              </w:rPr>
            </w:pPr>
          </w:p>
        </w:tc>
        <w:tc>
          <w:tcPr>
            <w:tcW w:w="1346" w:type="pct"/>
            <w:noWrap/>
            <w:hideMark/>
          </w:tcPr>
          <w:p w:rsidR="004E1E3A" w:rsidRPr="004E1E3A" w:rsidRDefault="004E1E3A" w:rsidP="004E1E3A">
            <w:pPr>
              <w:tabs>
                <w:tab w:val="clear" w:pos="374"/>
              </w:tabs>
              <w:spacing w:line="240" w:lineRule="auto"/>
              <w:jc w:val="center"/>
              <w:rPr>
                <w:rFonts w:ascii="Calibri" w:hAnsi="Calibri"/>
                <w:b/>
                <w:bCs/>
                <w:color w:val="FF0000"/>
                <w:sz w:val="16"/>
                <w:szCs w:val="16"/>
              </w:rPr>
            </w:pPr>
            <w:r w:rsidRPr="004E1E3A">
              <w:rPr>
                <w:rFonts w:ascii="Calibri" w:hAnsi="Calibri"/>
                <w:b/>
                <w:bCs/>
                <w:color w:val="FF0000"/>
                <w:sz w:val="16"/>
                <w:szCs w:val="16"/>
              </w:rPr>
              <w:t>214</w:t>
            </w:r>
          </w:p>
        </w:tc>
        <w:tc>
          <w:tcPr>
            <w:tcW w:w="897" w:type="pct"/>
            <w:noWrap/>
            <w:hideMark/>
          </w:tcPr>
          <w:p w:rsidR="004E1E3A" w:rsidRPr="004E1E3A" w:rsidRDefault="004E1E3A" w:rsidP="004E1E3A">
            <w:pPr>
              <w:tabs>
                <w:tab w:val="clear" w:pos="374"/>
              </w:tabs>
              <w:spacing w:line="240" w:lineRule="auto"/>
              <w:jc w:val="center"/>
              <w:rPr>
                <w:rFonts w:ascii="Calibri" w:hAnsi="Calibri"/>
                <w:b/>
                <w:bCs/>
                <w:color w:val="FF0000"/>
                <w:sz w:val="16"/>
                <w:szCs w:val="16"/>
              </w:rPr>
            </w:pPr>
            <w:r w:rsidRPr="004E1E3A">
              <w:rPr>
                <w:rFonts w:ascii="Calibri" w:hAnsi="Calibri"/>
                <w:b/>
                <w:bCs/>
                <w:color w:val="FF0000"/>
                <w:sz w:val="16"/>
                <w:szCs w:val="16"/>
              </w:rPr>
              <w:t>100%</w:t>
            </w:r>
          </w:p>
        </w:tc>
        <w:tc>
          <w:tcPr>
            <w:tcW w:w="1534" w:type="pct"/>
            <w:noWrap/>
            <w:hideMark/>
          </w:tcPr>
          <w:p w:rsidR="004E1E3A" w:rsidRPr="004E1E3A" w:rsidRDefault="004E1E3A" w:rsidP="004E1E3A">
            <w:pPr>
              <w:tabs>
                <w:tab w:val="clear" w:pos="374"/>
              </w:tabs>
              <w:spacing w:line="240" w:lineRule="auto"/>
              <w:jc w:val="center"/>
              <w:rPr>
                <w:rFonts w:ascii="Calibri" w:hAnsi="Calibri"/>
                <w:b/>
                <w:bCs/>
                <w:color w:val="FF0000"/>
                <w:sz w:val="16"/>
                <w:szCs w:val="16"/>
              </w:rPr>
            </w:pPr>
            <w:r w:rsidRPr="004E1E3A">
              <w:rPr>
                <w:rFonts w:ascii="Calibri" w:hAnsi="Calibri"/>
                <w:b/>
                <w:bCs/>
                <w:color w:val="FF0000"/>
                <w:sz w:val="16"/>
                <w:szCs w:val="16"/>
              </w:rPr>
              <w:t>214</w:t>
            </w:r>
          </w:p>
        </w:tc>
      </w:tr>
      <w:tr w:rsidR="004E1E3A" w:rsidRPr="004E1E3A" w:rsidTr="00323CD4">
        <w:trPr>
          <w:trHeight w:val="312"/>
        </w:trPr>
        <w:tc>
          <w:tcPr>
            <w:tcW w:w="1223" w:type="pct"/>
            <w:noWrap/>
            <w:hideMark/>
          </w:tcPr>
          <w:p w:rsidR="004E1E3A" w:rsidRPr="004E1E3A" w:rsidRDefault="004E1E3A" w:rsidP="004E1E3A">
            <w:pPr>
              <w:tabs>
                <w:tab w:val="clear" w:pos="374"/>
              </w:tabs>
              <w:spacing w:line="240" w:lineRule="auto"/>
              <w:jc w:val="center"/>
              <w:rPr>
                <w:rFonts w:ascii="Calibri" w:hAnsi="Calibri"/>
                <w:b/>
                <w:bCs/>
                <w:color w:val="FF0000"/>
                <w:sz w:val="18"/>
                <w:szCs w:val="18"/>
              </w:rPr>
            </w:pPr>
          </w:p>
        </w:tc>
        <w:tc>
          <w:tcPr>
            <w:tcW w:w="1346" w:type="pct"/>
            <w:noWrap/>
            <w:hideMark/>
          </w:tcPr>
          <w:p w:rsidR="004E1E3A" w:rsidRPr="004E1E3A" w:rsidRDefault="004E1E3A" w:rsidP="004E1E3A">
            <w:pPr>
              <w:tabs>
                <w:tab w:val="clear" w:pos="374"/>
              </w:tabs>
              <w:spacing w:line="240" w:lineRule="auto"/>
              <w:jc w:val="center"/>
              <w:rPr>
                <w:sz w:val="18"/>
                <w:szCs w:val="18"/>
              </w:rPr>
            </w:pPr>
          </w:p>
        </w:tc>
        <w:tc>
          <w:tcPr>
            <w:tcW w:w="897" w:type="pct"/>
            <w:noWrap/>
            <w:hideMark/>
          </w:tcPr>
          <w:p w:rsidR="004E1E3A" w:rsidRPr="004E1E3A" w:rsidRDefault="004E1E3A" w:rsidP="004E1E3A">
            <w:pPr>
              <w:tabs>
                <w:tab w:val="clear" w:pos="374"/>
              </w:tabs>
              <w:spacing w:line="240" w:lineRule="auto"/>
              <w:jc w:val="center"/>
              <w:rPr>
                <w:sz w:val="20"/>
                <w:szCs w:val="20"/>
              </w:rPr>
            </w:pPr>
          </w:p>
        </w:tc>
        <w:tc>
          <w:tcPr>
            <w:tcW w:w="1534" w:type="pct"/>
            <w:noWrap/>
            <w:hideMark/>
          </w:tcPr>
          <w:p w:rsidR="004E1E3A" w:rsidRPr="004E1E3A" w:rsidRDefault="004E1E3A" w:rsidP="004E1E3A">
            <w:pPr>
              <w:tabs>
                <w:tab w:val="clear" w:pos="374"/>
              </w:tabs>
              <w:spacing w:line="240" w:lineRule="auto"/>
              <w:jc w:val="center"/>
              <w:rPr>
                <w:sz w:val="20"/>
                <w:szCs w:val="20"/>
              </w:rPr>
            </w:pPr>
          </w:p>
        </w:tc>
      </w:tr>
      <w:tr w:rsidR="004E1E3A" w:rsidRPr="004E1E3A" w:rsidTr="00323CD4">
        <w:trPr>
          <w:trHeight w:val="420"/>
        </w:trPr>
        <w:tc>
          <w:tcPr>
            <w:tcW w:w="1223" w:type="pct"/>
            <w:noWrap/>
            <w:hideMark/>
          </w:tcPr>
          <w:p w:rsidR="004E1E3A" w:rsidRPr="004E1E3A" w:rsidRDefault="004E1E3A" w:rsidP="004E1E3A">
            <w:pPr>
              <w:tabs>
                <w:tab w:val="clear" w:pos="374"/>
              </w:tabs>
              <w:spacing w:line="240" w:lineRule="auto"/>
              <w:jc w:val="center"/>
              <w:rPr>
                <w:rFonts w:ascii="Calibri" w:hAnsi="Calibri"/>
                <w:b/>
                <w:bCs/>
                <w:color w:val="000000"/>
                <w:sz w:val="18"/>
                <w:szCs w:val="18"/>
              </w:rPr>
            </w:pPr>
            <w:r w:rsidRPr="004E1E3A">
              <w:rPr>
                <w:rFonts w:ascii="Calibri" w:hAnsi="Calibri"/>
                <w:b/>
                <w:bCs/>
                <w:color w:val="000000"/>
                <w:sz w:val="18"/>
                <w:szCs w:val="18"/>
              </w:rPr>
              <w:t>CHI-SQUARE TEST</w:t>
            </w:r>
          </w:p>
        </w:tc>
        <w:tc>
          <w:tcPr>
            <w:tcW w:w="1346" w:type="pct"/>
            <w:noWrap/>
            <w:hideMark/>
          </w:tcPr>
          <w:p w:rsidR="004E1E3A" w:rsidRPr="004E1E3A" w:rsidRDefault="004E1E3A" w:rsidP="004E1E3A">
            <w:pPr>
              <w:tabs>
                <w:tab w:val="clear" w:pos="374"/>
              </w:tabs>
              <w:spacing w:line="240" w:lineRule="auto"/>
              <w:jc w:val="center"/>
              <w:rPr>
                <w:rFonts w:ascii="Calibri" w:hAnsi="Calibri"/>
                <w:b/>
                <w:bCs/>
                <w:color w:val="000000"/>
                <w:sz w:val="18"/>
                <w:szCs w:val="18"/>
              </w:rPr>
            </w:pPr>
            <w:r w:rsidRPr="004E1E3A">
              <w:rPr>
                <w:rFonts w:ascii="Calibri" w:hAnsi="Calibri"/>
                <w:b/>
                <w:bCs/>
                <w:color w:val="000000"/>
                <w:sz w:val="18"/>
                <w:szCs w:val="18"/>
              </w:rPr>
              <w:t>7.61%</w:t>
            </w:r>
          </w:p>
        </w:tc>
        <w:tc>
          <w:tcPr>
            <w:tcW w:w="897" w:type="pct"/>
            <w:noWrap/>
            <w:hideMark/>
          </w:tcPr>
          <w:p w:rsidR="004E1E3A" w:rsidRPr="004E1E3A" w:rsidRDefault="004E1E3A" w:rsidP="004E1E3A">
            <w:pPr>
              <w:tabs>
                <w:tab w:val="clear" w:pos="374"/>
              </w:tabs>
              <w:spacing w:line="240" w:lineRule="auto"/>
              <w:jc w:val="center"/>
              <w:rPr>
                <w:rFonts w:ascii="Calibri" w:hAnsi="Calibri"/>
                <w:b/>
                <w:bCs/>
                <w:color w:val="000000"/>
                <w:sz w:val="32"/>
                <w:szCs w:val="32"/>
              </w:rPr>
            </w:pPr>
          </w:p>
        </w:tc>
        <w:tc>
          <w:tcPr>
            <w:tcW w:w="1534" w:type="pct"/>
            <w:noWrap/>
            <w:hideMark/>
          </w:tcPr>
          <w:p w:rsidR="004E1E3A" w:rsidRPr="004E1E3A" w:rsidRDefault="004E1E3A" w:rsidP="004E1E3A">
            <w:pPr>
              <w:tabs>
                <w:tab w:val="clear" w:pos="374"/>
              </w:tabs>
              <w:spacing w:line="240" w:lineRule="auto"/>
              <w:jc w:val="center"/>
              <w:rPr>
                <w:sz w:val="20"/>
                <w:szCs w:val="20"/>
              </w:rPr>
            </w:pPr>
          </w:p>
        </w:tc>
      </w:tr>
    </w:tbl>
    <w:p w:rsidR="004E1E3A" w:rsidRDefault="004E1E3A" w:rsidP="004E1E3A">
      <w:pPr>
        <w:jc w:val="center"/>
        <w:rPr>
          <w:rFonts w:ascii="Calibri" w:hAnsi="Calibri"/>
          <w:sz w:val="22"/>
          <w:szCs w:val="22"/>
        </w:rPr>
      </w:pPr>
    </w:p>
    <w:p w:rsidR="00E76794" w:rsidRDefault="004E1E3A" w:rsidP="00A41309">
      <w:pPr>
        <w:jc w:val="both"/>
        <w:rPr>
          <w:rFonts w:ascii="Calibri" w:hAnsi="Calibri"/>
          <w:sz w:val="22"/>
          <w:szCs w:val="22"/>
        </w:rPr>
      </w:pPr>
      <w:r>
        <w:rPr>
          <w:rFonts w:ascii="Calibri" w:hAnsi="Calibri"/>
          <w:sz w:val="22"/>
          <w:szCs w:val="22"/>
        </w:rPr>
        <w:t>c.) The very low chi-squared valued sho</w:t>
      </w:r>
      <w:r w:rsidR="00A41309">
        <w:rPr>
          <w:rFonts w:ascii="Calibri" w:hAnsi="Calibri"/>
          <w:sz w:val="22"/>
          <w:szCs w:val="22"/>
        </w:rPr>
        <w:t xml:space="preserve">uld </w:t>
      </w:r>
      <w:r>
        <w:rPr>
          <w:rFonts w:ascii="Calibri" w:hAnsi="Calibri"/>
          <w:sz w:val="22"/>
          <w:szCs w:val="22"/>
        </w:rPr>
        <w:t xml:space="preserve">alert an investigator to the fact that the probability of fraud here is high. </w:t>
      </w:r>
    </w:p>
    <w:p w:rsidR="006F4424" w:rsidRDefault="006F4424" w:rsidP="004E1E3A">
      <w:pPr>
        <w:jc w:val="both"/>
        <w:rPr>
          <w:rFonts w:ascii="Calibri" w:hAnsi="Calibri"/>
          <w:sz w:val="22"/>
          <w:szCs w:val="22"/>
        </w:rPr>
      </w:pPr>
    </w:p>
    <w:p w:rsidR="006F4424" w:rsidRDefault="00323CD4" w:rsidP="004E1E3A">
      <w:pPr>
        <w:jc w:val="both"/>
        <w:rPr>
          <w:rFonts w:ascii="Calibri" w:hAnsi="Calibri"/>
          <w:sz w:val="22"/>
          <w:szCs w:val="22"/>
        </w:rPr>
      </w:pPr>
      <w:r>
        <w:rPr>
          <w:rFonts w:ascii="Calibri" w:hAnsi="Calibri"/>
          <w:sz w:val="22"/>
          <w:szCs w:val="22"/>
        </w:rPr>
        <w:t>I</w:t>
      </w:r>
      <w:r w:rsidR="00A41309">
        <w:rPr>
          <w:rFonts w:ascii="Calibri" w:hAnsi="Calibri"/>
          <w:sz w:val="22"/>
          <w:szCs w:val="22"/>
        </w:rPr>
        <w:t>V</w:t>
      </w:r>
      <w:r w:rsidR="006F4424">
        <w:rPr>
          <w:rFonts w:ascii="Calibri" w:hAnsi="Calibri"/>
          <w:sz w:val="22"/>
          <w:szCs w:val="22"/>
        </w:rPr>
        <w:t xml:space="preserve">. Examples where </w:t>
      </w:r>
      <w:proofErr w:type="spellStart"/>
      <w:r w:rsidR="006F4424">
        <w:rPr>
          <w:rFonts w:ascii="Calibri" w:hAnsi="Calibri"/>
          <w:sz w:val="22"/>
          <w:szCs w:val="22"/>
        </w:rPr>
        <w:t>Benford’s</w:t>
      </w:r>
      <w:proofErr w:type="spellEnd"/>
      <w:r w:rsidR="006F4424">
        <w:rPr>
          <w:rFonts w:ascii="Calibri" w:hAnsi="Calibri"/>
          <w:sz w:val="22"/>
          <w:szCs w:val="22"/>
        </w:rPr>
        <w:t xml:space="preserve"> Law is unlikely to be satisfied:</w:t>
      </w:r>
    </w:p>
    <w:p w:rsidR="003A6E0E" w:rsidRDefault="006F4424" w:rsidP="006F4424">
      <w:pPr>
        <w:pStyle w:val="ListParagraph"/>
        <w:numPr>
          <w:ilvl w:val="0"/>
          <w:numId w:val="1"/>
        </w:numPr>
        <w:jc w:val="both"/>
        <w:rPr>
          <w:rFonts w:ascii="Calibri" w:hAnsi="Calibri"/>
          <w:sz w:val="22"/>
          <w:szCs w:val="22"/>
        </w:rPr>
      </w:pPr>
      <w:r w:rsidRPr="006F4424">
        <w:rPr>
          <w:rFonts w:ascii="Calibri" w:hAnsi="Calibri"/>
          <w:sz w:val="22"/>
          <w:szCs w:val="22"/>
        </w:rPr>
        <w:t xml:space="preserve">Numbers that are deliberately assigned such as check numbers </w:t>
      </w:r>
    </w:p>
    <w:p w:rsidR="006F4424" w:rsidRPr="006F4424" w:rsidRDefault="003A6E0E" w:rsidP="006F4424">
      <w:pPr>
        <w:pStyle w:val="ListParagraph"/>
        <w:numPr>
          <w:ilvl w:val="0"/>
          <w:numId w:val="1"/>
        </w:numPr>
        <w:jc w:val="both"/>
        <w:rPr>
          <w:rFonts w:ascii="Calibri" w:hAnsi="Calibri"/>
          <w:sz w:val="22"/>
          <w:szCs w:val="22"/>
        </w:rPr>
      </w:pPr>
      <w:r>
        <w:rPr>
          <w:rFonts w:ascii="Calibri" w:hAnsi="Calibri"/>
          <w:sz w:val="22"/>
          <w:szCs w:val="22"/>
        </w:rPr>
        <w:t>Z</w:t>
      </w:r>
      <w:r w:rsidR="006F4424" w:rsidRPr="006F4424">
        <w:rPr>
          <w:rFonts w:ascii="Calibri" w:hAnsi="Calibri"/>
          <w:sz w:val="22"/>
          <w:szCs w:val="22"/>
        </w:rPr>
        <w:t>ip codes</w:t>
      </w:r>
    </w:p>
    <w:p w:rsidR="003A6E0E" w:rsidRDefault="003A6E0E" w:rsidP="006F4424">
      <w:pPr>
        <w:pStyle w:val="ListParagraph"/>
        <w:numPr>
          <w:ilvl w:val="0"/>
          <w:numId w:val="1"/>
        </w:numPr>
        <w:jc w:val="both"/>
        <w:rPr>
          <w:rFonts w:ascii="Calibri" w:hAnsi="Calibri"/>
          <w:sz w:val="22"/>
          <w:szCs w:val="22"/>
        </w:rPr>
      </w:pPr>
      <w:r>
        <w:rPr>
          <w:rFonts w:ascii="Calibri" w:hAnsi="Calibri"/>
          <w:sz w:val="22"/>
          <w:szCs w:val="22"/>
        </w:rPr>
        <w:t>Social Security Numbers</w:t>
      </w:r>
    </w:p>
    <w:p w:rsidR="006F4424" w:rsidRPr="006F4424" w:rsidRDefault="006F4424" w:rsidP="006F4424">
      <w:pPr>
        <w:pStyle w:val="ListParagraph"/>
        <w:numPr>
          <w:ilvl w:val="0"/>
          <w:numId w:val="1"/>
        </w:numPr>
        <w:jc w:val="both"/>
        <w:rPr>
          <w:rFonts w:ascii="Calibri" w:hAnsi="Calibri"/>
          <w:sz w:val="22"/>
          <w:szCs w:val="22"/>
        </w:rPr>
      </w:pPr>
      <w:r w:rsidRPr="006F4424">
        <w:rPr>
          <w:rFonts w:ascii="Calibri" w:hAnsi="Calibri"/>
          <w:sz w:val="22"/>
          <w:szCs w:val="22"/>
        </w:rPr>
        <w:t>Prices that are set particular thresholds such as $.99, $999, etc.</w:t>
      </w:r>
    </w:p>
    <w:p w:rsidR="006F4424" w:rsidRPr="00A41309" w:rsidRDefault="006F4424" w:rsidP="00D720F5">
      <w:pPr>
        <w:pStyle w:val="ListParagraph"/>
        <w:numPr>
          <w:ilvl w:val="0"/>
          <w:numId w:val="1"/>
        </w:numPr>
        <w:jc w:val="both"/>
        <w:rPr>
          <w:rFonts w:ascii="Calibri" w:hAnsi="Calibri"/>
          <w:sz w:val="22"/>
          <w:szCs w:val="22"/>
        </w:rPr>
      </w:pPr>
      <w:r w:rsidRPr="00A41309">
        <w:rPr>
          <w:rFonts w:ascii="Calibri" w:hAnsi="Calibri"/>
          <w:sz w:val="22"/>
          <w:szCs w:val="22"/>
        </w:rPr>
        <w:t>Values that have a maximum or minimum value</w:t>
      </w:r>
      <w:bookmarkStart w:id="0" w:name="_GoBack"/>
      <w:bookmarkEnd w:id="0"/>
    </w:p>
    <w:sectPr w:rsidR="006F4424" w:rsidRPr="00A4130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E77" w:rsidRDefault="00057E77" w:rsidP="00057E77">
      <w:pPr>
        <w:spacing w:line="240" w:lineRule="auto"/>
      </w:pPr>
      <w:r>
        <w:separator/>
      </w:r>
    </w:p>
  </w:endnote>
  <w:endnote w:type="continuationSeparator" w:id="0">
    <w:p w:rsidR="00057E77" w:rsidRDefault="00057E77" w:rsidP="00057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fe-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7165383"/>
      <w:docPartObj>
        <w:docPartGallery w:val="Page Numbers (Bottom of Page)"/>
        <w:docPartUnique/>
      </w:docPartObj>
    </w:sdtPr>
    <w:sdtEndPr>
      <w:rPr>
        <w:noProof/>
      </w:rPr>
    </w:sdtEndPr>
    <w:sdtContent>
      <w:p w:rsidR="00057E77" w:rsidRDefault="00057E77">
        <w:pPr>
          <w:pStyle w:val="Footer"/>
          <w:jc w:val="center"/>
        </w:pPr>
        <w:r>
          <w:fldChar w:fldCharType="begin"/>
        </w:r>
        <w:r>
          <w:instrText xml:space="preserve"> PAGE   \* MERGEFORMAT </w:instrText>
        </w:r>
        <w:r>
          <w:fldChar w:fldCharType="separate"/>
        </w:r>
        <w:r w:rsidR="00AD624D">
          <w:rPr>
            <w:noProof/>
          </w:rPr>
          <w:t>3</w:t>
        </w:r>
        <w:r>
          <w:rPr>
            <w:noProof/>
          </w:rPr>
          <w:fldChar w:fldCharType="end"/>
        </w:r>
      </w:p>
    </w:sdtContent>
  </w:sdt>
  <w:p w:rsidR="00057E77" w:rsidRDefault="00057E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E77" w:rsidRDefault="00057E77" w:rsidP="00057E77">
      <w:pPr>
        <w:spacing w:line="240" w:lineRule="auto"/>
      </w:pPr>
      <w:r>
        <w:separator/>
      </w:r>
    </w:p>
  </w:footnote>
  <w:footnote w:type="continuationSeparator" w:id="0">
    <w:p w:rsidR="00057E77" w:rsidRDefault="00057E77" w:rsidP="00057E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4188A"/>
    <w:multiLevelType w:val="hybridMultilevel"/>
    <w:tmpl w:val="4746D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53"/>
    <w:rsid w:val="00057E77"/>
    <w:rsid w:val="000B495E"/>
    <w:rsid w:val="000E6E49"/>
    <w:rsid w:val="00113F2E"/>
    <w:rsid w:val="001C6CFE"/>
    <w:rsid w:val="001D45B8"/>
    <w:rsid w:val="00242B11"/>
    <w:rsid w:val="002921B7"/>
    <w:rsid w:val="002B3FB2"/>
    <w:rsid w:val="002C3C53"/>
    <w:rsid w:val="002D619D"/>
    <w:rsid w:val="00323CD4"/>
    <w:rsid w:val="00370A58"/>
    <w:rsid w:val="003A0903"/>
    <w:rsid w:val="003A6E0E"/>
    <w:rsid w:val="00440F99"/>
    <w:rsid w:val="004532F8"/>
    <w:rsid w:val="004A52DA"/>
    <w:rsid w:val="004E1E3A"/>
    <w:rsid w:val="004E2AB2"/>
    <w:rsid w:val="00534258"/>
    <w:rsid w:val="005B2DE3"/>
    <w:rsid w:val="00682FF0"/>
    <w:rsid w:val="006D5B76"/>
    <w:rsid w:val="006E5859"/>
    <w:rsid w:val="006F4424"/>
    <w:rsid w:val="0072574A"/>
    <w:rsid w:val="00750B1E"/>
    <w:rsid w:val="00781F5A"/>
    <w:rsid w:val="00785179"/>
    <w:rsid w:val="00797911"/>
    <w:rsid w:val="007C26FF"/>
    <w:rsid w:val="007F7286"/>
    <w:rsid w:val="008751B4"/>
    <w:rsid w:val="0087726B"/>
    <w:rsid w:val="008C6486"/>
    <w:rsid w:val="008E3FAA"/>
    <w:rsid w:val="00934D0A"/>
    <w:rsid w:val="00966E76"/>
    <w:rsid w:val="0098337A"/>
    <w:rsid w:val="00A050D4"/>
    <w:rsid w:val="00A174A7"/>
    <w:rsid w:val="00A3144A"/>
    <w:rsid w:val="00A37C19"/>
    <w:rsid w:val="00A41309"/>
    <w:rsid w:val="00A75FC1"/>
    <w:rsid w:val="00A978AB"/>
    <w:rsid w:val="00AD624D"/>
    <w:rsid w:val="00B05A1A"/>
    <w:rsid w:val="00B4386A"/>
    <w:rsid w:val="00BD48FF"/>
    <w:rsid w:val="00BD4E43"/>
    <w:rsid w:val="00BE4532"/>
    <w:rsid w:val="00BF777A"/>
    <w:rsid w:val="00C225A7"/>
    <w:rsid w:val="00CB5404"/>
    <w:rsid w:val="00CE0155"/>
    <w:rsid w:val="00D21E1B"/>
    <w:rsid w:val="00D32B42"/>
    <w:rsid w:val="00D82D9B"/>
    <w:rsid w:val="00DD0DDB"/>
    <w:rsid w:val="00E76794"/>
    <w:rsid w:val="00E861BE"/>
    <w:rsid w:val="00EC7D6C"/>
    <w:rsid w:val="00EE3426"/>
    <w:rsid w:val="00F21EC0"/>
    <w:rsid w:val="00F228D0"/>
    <w:rsid w:val="00F45BC5"/>
    <w:rsid w:val="00F72651"/>
    <w:rsid w:val="00F72C0E"/>
    <w:rsid w:val="00FD1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9C3E-433C-4B5F-A724-58A3ECAA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napToGrid w:val="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C53"/>
    <w:pPr>
      <w:tabs>
        <w:tab w:val="left" w:pos="374"/>
      </w:tabs>
      <w:spacing w:after="0" w:line="242" w:lineRule="auto"/>
    </w:pPr>
    <w:rPr>
      <w:rFonts w:ascii="Times New Roman" w:eastAsia="Times New Roman" w:hAnsi="Times New Roman"/>
      <w:snapToGr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rsid w:val="002C3C53"/>
    <w:pPr>
      <w:tabs>
        <w:tab w:val="clear" w:pos="374"/>
        <w:tab w:val="center" w:pos="4680"/>
        <w:tab w:val="right" w:pos="9360"/>
      </w:tabs>
      <w:spacing w:after="120"/>
    </w:pPr>
  </w:style>
  <w:style w:type="paragraph" w:customStyle="1" w:styleId="equ2">
    <w:name w:val="equ 2"/>
    <w:basedOn w:val="Normal"/>
    <w:rsid w:val="002C3C53"/>
    <w:pPr>
      <w:tabs>
        <w:tab w:val="clear" w:pos="374"/>
        <w:tab w:val="left" w:pos="1309"/>
        <w:tab w:val="left" w:pos="2160"/>
        <w:tab w:val="decimal" w:pos="2618"/>
        <w:tab w:val="left" w:pos="3179"/>
        <w:tab w:val="decimal" w:pos="3366"/>
        <w:tab w:val="left" w:pos="4301"/>
        <w:tab w:val="decimal" w:pos="4488"/>
        <w:tab w:val="left" w:pos="5797"/>
        <w:tab w:val="decimal" w:pos="5984"/>
      </w:tabs>
    </w:pPr>
  </w:style>
  <w:style w:type="paragraph" w:styleId="HTMLPreformatted">
    <w:name w:val="HTML Preformatted"/>
    <w:basedOn w:val="Normal"/>
    <w:link w:val="HTMLPreformattedChar"/>
    <w:uiPriority w:val="99"/>
    <w:semiHidden/>
    <w:unhideWhenUsed/>
    <w:rsid w:val="00113F2E"/>
    <w:pPr>
      <w:tabs>
        <w:tab w:val="clear" w:pos="37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13F2E"/>
    <w:rPr>
      <w:rFonts w:ascii="Courier New" w:eastAsia="Times New Roman" w:hAnsi="Courier New" w:cs="Courier New"/>
      <w:snapToGrid/>
      <w:sz w:val="20"/>
      <w:szCs w:val="20"/>
    </w:rPr>
  </w:style>
  <w:style w:type="table" w:styleId="TableGrid">
    <w:name w:val="Table Grid"/>
    <w:basedOn w:val="TableNormal"/>
    <w:uiPriority w:val="39"/>
    <w:rsid w:val="00057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7E77"/>
    <w:pPr>
      <w:tabs>
        <w:tab w:val="clear" w:pos="374"/>
        <w:tab w:val="center" w:pos="4680"/>
        <w:tab w:val="right" w:pos="9360"/>
      </w:tabs>
      <w:spacing w:line="240" w:lineRule="auto"/>
    </w:pPr>
  </w:style>
  <w:style w:type="character" w:customStyle="1" w:styleId="HeaderChar">
    <w:name w:val="Header Char"/>
    <w:basedOn w:val="DefaultParagraphFont"/>
    <w:link w:val="Header"/>
    <w:uiPriority w:val="99"/>
    <w:rsid w:val="00057E77"/>
    <w:rPr>
      <w:rFonts w:ascii="Times New Roman" w:eastAsia="Times New Roman" w:hAnsi="Times New Roman"/>
      <w:snapToGrid/>
      <w:sz w:val="24"/>
      <w:szCs w:val="24"/>
    </w:rPr>
  </w:style>
  <w:style w:type="paragraph" w:styleId="Footer">
    <w:name w:val="footer"/>
    <w:basedOn w:val="Normal"/>
    <w:link w:val="FooterChar"/>
    <w:uiPriority w:val="99"/>
    <w:unhideWhenUsed/>
    <w:rsid w:val="00057E77"/>
    <w:pPr>
      <w:tabs>
        <w:tab w:val="clear" w:pos="374"/>
        <w:tab w:val="center" w:pos="4680"/>
        <w:tab w:val="right" w:pos="9360"/>
      </w:tabs>
      <w:spacing w:line="240" w:lineRule="auto"/>
    </w:pPr>
  </w:style>
  <w:style w:type="character" w:customStyle="1" w:styleId="FooterChar">
    <w:name w:val="Footer Char"/>
    <w:basedOn w:val="DefaultParagraphFont"/>
    <w:link w:val="Footer"/>
    <w:uiPriority w:val="99"/>
    <w:rsid w:val="00057E77"/>
    <w:rPr>
      <w:rFonts w:ascii="Times New Roman" w:eastAsia="Times New Roman" w:hAnsi="Times New Roman"/>
      <w:snapToGrid/>
      <w:sz w:val="24"/>
      <w:szCs w:val="24"/>
    </w:rPr>
  </w:style>
  <w:style w:type="paragraph" w:customStyle="1" w:styleId="MCQList1a">
    <w:name w:val="MCQ_List1a"/>
    <w:basedOn w:val="Normal"/>
    <w:uiPriority w:val="99"/>
    <w:rsid w:val="00934D0A"/>
    <w:pPr>
      <w:tabs>
        <w:tab w:val="clear" w:pos="374"/>
        <w:tab w:val="right" w:pos="274"/>
        <w:tab w:val="left" w:pos="702"/>
      </w:tabs>
      <w:spacing w:before="200" w:after="60" w:line="240" w:lineRule="auto"/>
      <w:ind w:left="711" w:hanging="711"/>
      <w:outlineLvl w:val="2"/>
    </w:pPr>
    <w:rPr>
      <w:rFonts w:ascii="Times" w:hAnsi="Times"/>
      <w:sz w:val="22"/>
    </w:rPr>
  </w:style>
  <w:style w:type="paragraph" w:customStyle="1" w:styleId="Default">
    <w:name w:val="Default"/>
    <w:rsid w:val="00934D0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6F4424"/>
    <w:pPr>
      <w:ind w:left="720"/>
      <w:contextualSpacing/>
    </w:pPr>
  </w:style>
  <w:style w:type="character" w:styleId="Hyperlink">
    <w:name w:val="Hyperlink"/>
    <w:basedOn w:val="DefaultParagraphFont"/>
    <w:uiPriority w:val="99"/>
    <w:unhideWhenUsed/>
    <w:rsid w:val="00A41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408780">
      <w:bodyDiv w:val="1"/>
      <w:marLeft w:val="0"/>
      <w:marRight w:val="0"/>
      <w:marTop w:val="0"/>
      <w:marBottom w:val="0"/>
      <w:divBdr>
        <w:top w:val="none" w:sz="0" w:space="0" w:color="auto"/>
        <w:left w:val="none" w:sz="0" w:space="0" w:color="auto"/>
        <w:bottom w:val="none" w:sz="0" w:space="0" w:color="auto"/>
        <w:right w:val="none" w:sz="0" w:space="0" w:color="auto"/>
      </w:divBdr>
    </w:div>
    <w:div w:id="1347824898">
      <w:bodyDiv w:val="1"/>
      <w:marLeft w:val="0"/>
      <w:marRight w:val="0"/>
      <w:marTop w:val="0"/>
      <w:marBottom w:val="0"/>
      <w:divBdr>
        <w:top w:val="none" w:sz="0" w:space="0" w:color="auto"/>
        <w:left w:val="none" w:sz="0" w:space="0" w:color="auto"/>
        <w:bottom w:val="none" w:sz="0" w:space="0" w:color="auto"/>
        <w:right w:val="none" w:sz="0" w:space="0" w:color="auto"/>
      </w:divBdr>
    </w:div>
    <w:div w:id="1697385253">
      <w:bodyDiv w:val="1"/>
      <w:marLeft w:val="0"/>
      <w:marRight w:val="0"/>
      <w:marTop w:val="0"/>
      <w:marBottom w:val="0"/>
      <w:divBdr>
        <w:top w:val="none" w:sz="0" w:space="0" w:color="auto"/>
        <w:left w:val="none" w:sz="0" w:space="0" w:color="auto"/>
        <w:bottom w:val="none" w:sz="0" w:space="0" w:color="auto"/>
        <w:right w:val="none" w:sz="0" w:space="0" w:color="auto"/>
      </w:divBdr>
    </w:div>
    <w:div w:id="1714888658">
      <w:bodyDiv w:val="1"/>
      <w:marLeft w:val="0"/>
      <w:marRight w:val="0"/>
      <w:marTop w:val="0"/>
      <w:marBottom w:val="0"/>
      <w:divBdr>
        <w:top w:val="none" w:sz="0" w:space="0" w:color="auto"/>
        <w:left w:val="none" w:sz="0" w:space="0" w:color="auto"/>
        <w:bottom w:val="none" w:sz="0" w:space="0" w:color="auto"/>
        <w:right w:val="none" w:sz="0" w:space="0" w:color="auto"/>
      </w:divBdr>
    </w:div>
    <w:div w:id="199996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khanacademy.org/math/statistics-probability/inference-categorical-data-chi-square-tests/chi-square-goodness-of-fit-tests/v/chi-square-distribution-introduction"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ASES%20IN%20BENFORDS%20LA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LL%20ANSWERS%20TO%20BENFORDS%20LA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sz="900" b="1"/>
              <a:t>CONTRASTING THE ACTUAL DISTRIBUTION OF FIRST DIGITS WITH BENFORD'S DISTRIBUTION</a:t>
            </a:r>
          </a:p>
        </c:rich>
      </c:tx>
      <c:layout/>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'STATE OF ARIZ VS NELSON'!$G$2</c:f>
              <c:strCache>
                <c:ptCount val="1"/>
                <c:pt idx="0">
                  <c:v>NUMBER OF TIMES OCCURS IN DATA</c:v>
                </c:pt>
              </c:strCache>
            </c:strRef>
          </c:tx>
          <c:spPr>
            <a:solidFill>
              <a:srgbClr val="C00000"/>
            </a:solidFill>
            <a:ln>
              <a:solidFill>
                <a:srgbClr val="C00000"/>
              </a:solidFill>
            </a:ln>
            <a:effectLst/>
          </c:spPr>
          <c:invertIfNegative val="0"/>
          <c:val>
            <c:numRef>
              <c:f>'STATE OF ARIZ VS NELSON'!$G$3:$G$10</c:f>
              <c:numCache>
                <c:formatCode>General</c:formatCode>
                <c:ptCount val="8"/>
                <c:pt idx="0">
                  <c:v>1</c:v>
                </c:pt>
                <c:pt idx="1">
                  <c:v>1</c:v>
                </c:pt>
                <c:pt idx="2">
                  <c:v>0</c:v>
                </c:pt>
                <c:pt idx="3">
                  <c:v>0</c:v>
                </c:pt>
                <c:pt idx="4">
                  <c:v>0</c:v>
                </c:pt>
                <c:pt idx="5">
                  <c:v>0</c:v>
                </c:pt>
                <c:pt idx="6">
                  <c:v>3</c:v>
                </c:pt>
                <c:pt idx="7">
                  <c:v>9</c:v>
                </c:pt>
              </c:numCache>
            </c:numRef>
          </c:val>
        </c:ser>
        <c:ser>
          <c:idx val="2"/>
          <c:order val="1"/>
          <c:tx>
            <c:strRef>
              <c:f>'STATE OF ARIZ VS NELSON'!$I$2</c:f>
              <c:strCache>
                <c:ptCount val="1"/>
                <c:pt idx="0">
                  <c:v>NUMBER OF TIMES OCCURS ACCORDING TO BENFORD</c:v>
                </c:pt>
              </c:strCache>
            </c:strRef>
          </c:tx>
          <c:spPr>
            <a:solidFill>
              <a:srgbClr val="00B050"/>
            </a:solidFill>
            <a:ln>
              <a:noFill/>
            </a:ln>
            <a:effectLst/>
          </c:spPr>
          <c:invertIfNegative val="0"/>
          <c:val>
            <c:numRef>
              <c:f>'STATE OF ARIZ VS NELSON'!$I$3:$I$10</c:f>
              <c:numCache>
                <c:formatCode>0</c:formatCode>
                <c:ptCount val="8"/>
                <c:pt idx="0">
                  <c:v>6.9236899002715679</c:v>
                </c:pt>
                <c:pt idx="1">
                  <c:v>4.0500989582806683</c:v>
                </c:pt>
                <c:pt idx="2">
                  <c:v>2.8735909419908992</c:v>
                </c:pt>
                <c:pt idx="3">
                  <c:v>2.2289302991852988</c:v>
                </c:pt>
                <c:pt idx="4">
                  <c:v>1.82116865909537</c:v>
                </c:pt>
                <c:pt idx="5">
                  <c:v>1.5397761615041032</c:v>
                </c:pt>
                <c:pt idx="6">
                  <c:v>1.3338147804867946</c:v>
                </c:pt>
                <c:pt idx="7">
                  <c:v>1.1765080162897705</c:v>
                </c:pt>
              </c:numCache>
            </c:numRef>
          </c:val>
        </c:ser>
        <c:dLbls>
          <c:showLegendKey val="0"/>
          <c:showVal val="0"/>
          <c:showCatName val="0"/>
          <c:showSerName val="0"/>
          <c:showPercent val="0"/>
          <c:showBubbleSize val="0"/>
        </c:dLbls>
        <c:gapWidth val="219"/>
        <c:overlap val="-27"/>
        <c:axId val="633677416"/>
        <c:axId val="633677024"/>
      </c:barChart>
      <c:catAx>
        <c:axId val="633677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677024"/>
        <c:crosses val="autoZero"/>
        <c:auto val="1"/>
        <c:lblAlgn val="ctr"/>
        <c:lblOffset val="100"/>
        <c:noMultiLvlLbl val="0"/>
      </c:catAx>
      <c:valAx>
        <c:axId val="63367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36774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1"/>
              <a:t>MADOFF VS BENFORD DISTRIBUTION</a:t>
            </a:r>
          </a:p>
        </c:rich>
      </c:tx>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'MADOFF BENFORD ANALYSIS'!$G$3</c:f>
              <c:strCache>
                <c:ptCount val="1"/>
                <c:pt idx="0">
                  <c:v>NUMBER OF TIMES OCCURS IN DATA (ACTUAL COUNT)</c:v>
                </c:pt>
              </c:strCache>
            </c:strRef>
          </c:tx>
          <c:spPr>
            <a:solidFill>
              <a:srgbClr val="C00000"/>
            </a:solidFill>
            <a:ln>
              <a:noFill/>
            </a:ln>
            <a:effectLst/>
          </c:spPr>
          <c:invertIfNegative val="0"/>
          <c:cat>
            <c:numRef>
              <c:f>'MADOFF BENFORD ANALYSIS'!$F$4:$F$12</c:f>
              <c:numCache>
                <c:formatCode>General</c:formatCode>
                <c:ptCount val="9"/>
                <c:pt idx="0">
                  <c:v>1</c:v>
                </c:pt>
                <c:pt idx="1">
                  <c:v>2</c:v>
                </c:pt>
                <c:pt idx="2">
                  <c:v>3</c:v>
                </c:pt>
                <c:pt idx="3">
                  <c:v>4</c:v>
                </c:pt>
                <c:pt idx="4">
                  <c:v>5</c:v>
                </c:pt>
                <c:pt idx="5">
                  <c:v>6</c:v>
                </c:pt>
                <c:pt idx="6">
                  <c:v>7</c:v>
                </c:pt>
                <c:pt idx="7">
                  <c:v>8</c:v>
                </c:pt>
                <c:pt idx="8">
                  <c:v>9</c:v>
                </c:pt>
              </c:numCache>
            </c:numRef>
          </c:cat>
          <c:val>
            <c:numRef>
              <c:f>'MADOFF BENFORD ANALYSIS'!$G$4:$G$12</c:f>
              <c:numCache>
                <c:formatCode>General</c:formatCode>
                <c:ptCount val="9"/>
                <c:pt idx="0">
                  <c:v>55</c:v>
                </c:pt>
                <c:pt idx="1">
                  <c:v>45</c:v>
                </c:pt>
                <c:pt idx="2">
                  <c:v>35</c:v>
                </c:pt>
                <c:pt idx="3">
                  <c:v>27</c:v>
                </c:pt>
                <c:pt idx="4">
                  <c:v>21</c:v>
                </c:pt>
                <c:pt idx="5">
                  <c:v>10</c:v>
                </c:pt>
                <c:pt idx="6">
                  <c:v>8</c:v>
                </c:pt>
                <c:pt idx="7">
                  <c:v>8</c:v>
                </c:pt>
                <c:pt idx="8">
                  <c:v>5</c:v>
                </c:pt>
              </c:numCache>
            </c:numRef>
          </c:val>
        </c:ser>
        <c:ser>
          <c:idx val="2"/>
          <c:order val="2"/>
          <c:tx>
            <c:strRef>
              <c:f>'MADOFF BENFORD ANALYSIS'!$I$3</c:f>
              <c:strCache>
                <c:ptCount val="1"/>
                <c:pt idx="0">
                  <c:v>NUMBER OF TIMES OCCURS PER BENFORD (EXPECTED COUNT)</c:v>
                </c:pt>
              </c:strCache>
            </c:strRef>
          </c:tx>
          <c:spPr>
            <a:solidFill>
              <a:srgbClr val="00B050"/>
            </a:solidFill>
            <a:ln>
              <a:noFill/>
            </a:ln>
            <a:effectLst/>
          </c:spPr>
          <c:invertIfNegative val="0"/>
          <c:cat>
            <c:numRef>
              <c:f>'MADOFF BENFORD ANALYSIS'!$F$4:$F$12</c:f>
              <c:numCache>
                <c:formatCode>General</c:formatCode>
                <c:ptCount val="9"/>
                <c:pt idx="0">
                  <c:v>1</c:v>
                </c:pt>
                <c:pt idx="1">
                  <c:v>2</c:v>
                </c:pt>
                <c:pt idx="2">
                  <c:v>3</c:v>
                </c:pt>
                <c:pt idx="3">
                  <c:v>4</c:v>
                </c:pt>
                <c:pt idx="4">
                  <c:v>5</c:v>
                </c:pt>
                <c:pt idx="5">
                  <c:v>6</c:v>
                </c:pt>
                <c:pt idx="6">
                  <c:v>7</c:v>
                </c:pt>
                <c:pt idx="7">
                  <c:v>8</c:v>
                </c:pt>
                <c:pt idx="8">
                  <c:v>9</c:v>
                </c:pt>
              </c:numCache>
            </c:numRef>
          </c:cat>
          <c:val>
            <c:numRef>
              <c:f>'MADOFF BENFORD ANALYSIS'!$I$4:$I$12</c:f>
              <c:numCache>
                <c:formatCode>#,##0</c:formatCode>
                <c:ptCount val="9"/>
                <c:pt idx="0">
                  <c:v>64.420419072091974</c:v>
                </c:pt>
                <c:pt idx="1">
                  <c:v>37.683529437915787</c:v>
                </c:pt>
                <c:pt idx="2">
                  <c:v>26.73688963417619</c:v>
                </c:pt>
                <c:pt idx="3">
                  <c:v>20.738742783724081</c:v>
                </c:pt>
                <c:pt idx="4">
                  <c:v>16.944786654191702</c:v>
                </c:pt>
                <c:pt idx="5">
                  <c:v>14.32661298095122</c:v>
                </c:pt>
                <c:pt idx="6">
                  <c:v>12.41027665322496</c:v>
                </c:pt>
                <c:pt idx="7">
                  <c:v>10.946639803739606</c:v>
                </c:pt>
                <c:pt idx="8">
                  <c:v>9.7921029799844774</c:v>
                </c:pt>
              </c:numCache>
            </c:numRef>
          </c:val>
        </c:ser>
        <c:dLbls>
          <c:showLegendKey val="0"/>
          <c:showVal val="0"/>
          <c:showCatName val="0"/>
          <c:showSerName val="0"/>
          <c:showPercent val="0"/>
          <c:showBubbleSize val="0"/>
        </c:dLbls>
        <c:gapWidth val="219"/>
        <c:overlap val="-27"/>
        <c:axId val="628865856"/>
        <c:axId val="628867032"/>
        <c:extLst>
          <c:ext xmlns:c15="http://schemas.microsoft.com/office/drawing/2012/chart" uri="{02D57815-91ED-43cb-92C2-25804820EDAC}">
            <c15:filteredBarSeries>
              <c15:ser>
                <c:idx val="1"/>
                <c:order val="1"/>
                <c:tx>
                  <c:strRef>
                    <c:extLst>
                      <c:ext uri="{02D57815-91ED-43cb-92C2-25804820EDAC}">
                        <c15:formulaRef>
                          <c15:sqref>'MADOFF BENFORD ANALYSIS'!$H$3</c15:sqref>
                        </c15:formulaRef>
                      </c:ext>
                    </c:extLst>
                    <c:strCache>
                      <c:ptCount val="1"/>
                      <c:pt idx="0">
                        <c:v>BENFORD PREDICTION (%)</c:v>
                      </c:pt>
                    </c:strCache>
                  </c:strRef>
                </c:tx>
                <c:spPr>
                  <a:solidFill>
                    <a:schemeClr val="accent2"/>
                  </a:solidFill>
                  <a:ln>
                    <a:noFill/>
                  </a:ln>
                  <a:effectLst/>
                </c:spPr>
                <c:invertIfNegative val="0"/>
                <c:cat>
                  <c:numRef>
                    <c:extLst>
                      <c:ext uri="{02D57815-91ED-43cb-92C2-25804820EDAC}">
                        <c15:formulaRef>
                          <c15:sqref>'MADOFF BENFORD ANALYSIS'!$F$4:$F$12</c15:sqref>
                        </c15:formulaRef>
                      </c:ext>
                    </c:extLst>
                    <c:numCache>
                      <c:formatCode>General</c:formatCode>
                      <c:ptCount val="9"/>
                      <c:pt idx="0">
                        <c:v>1</c:v>
                      </c:pt>
                      <c:pt idx="1">
                        <c:v>2</c:v>
                      </c:pt>
                      <c:pt idx="2">
                        <c:v>3</c:v>
                      </c:pt>
                      <c:pt idx="3">
                        <c:v>4</c:v>
                      </c:pt>
                      <c:pt idx="4">
                        <c:v>5</c:v>
                      </c:pt>
                      <c:pt idx="5">
                        <c:v>6</c:v>
                      </c:pt>
                      <c:pt idx="6">
                        <c:v>7</c:v>
                      </c:pt>
                      <c:pt idx="7">
                        <c:v>8</c:v>
                      </c:pt>
                      <c:pt idx="8">
                        <c:v>9</c:v>
                      </c:pt>
                    </c:numCache>
                  </c:numRef>
                </c:cat>
                <c:val>
                  <c:numRef>
                    <c:extLst>
                      <c:ext uri="{02D57815-91ED-43cb-92C2-25804820EDAC}">
                        <c15:formulaRef>
                          <c15:sqref>'MADOFF BENFORD ANALYSIS'!$H$4:$H$12</c15:sqref>
                        </c15:formulaRef>
                      </c:ext>
                    </c:extLst>
                    <c:numCache>
                      <c:formatCode>0.00%</c:formatCode>
                      <c:ptCount val="9"/>
                      <c:pt idx="0">
                        <c:v>0.3010299956639812</c:v>
                      </c:pt>
                      <c:pt idx="1">
                        <c:v>0.17609125905568124</c:v>
                      </c:pt>
                      <c:pt idx="2">
                        <c:v>0.12493873660829996</c:v>
                      </c:pt>
                      <c:pt idx="3">
                        <c:v>9.6910013008056461E-2</c:v>
                      </c:pt>
                      <c:pt idx="4">
                        <c:v>7.9181246047624776E-2</c:v>
                      </c:pt>
                      <c:pt idx="5">
                        <c:v>6.6946789630613179E-2</c:v>
                      </c:pt>
                      <c:pt idx="6">
                        <c:v>5.7991946977686726E-2</c:v>
                      </c:pt>
                      <c:pt idx="7">
                        <c:v>5.1152522447381332E-2</c:v>
                      </c:pt>
                      <c:pt idx="8">
                        <c:v>4.5757490560675129E-2</c:v>
                      </c:pt>
                    </c:numCache>
                  </c:numRef>
                </c:val>
              </c15:ser>
            </c15:filteredBarSeries>
          </c:ext>
        </c:extLst>
      </c:barChart>
      <c:catAx>
        <c:axId val="628865856"/>
        <c:scaling>
          <c:orientation val="minMax"/>
        </c:scaling>
        <c:delete val="1"/>
        <c:axPos val="b"/>
        <c:numFmt formatCode="General" sourceLinked="1"/>
        <c:majorTickMark val="none"/>
        <c:minorTickMark val="none"/>
        <c:tickLblPos val="nextTo"/>
        <c:crossAx val="628867032"/>
        <c:crosses val="autoZero"/>
        <c:auto val="1"/>
        <c:lblAlgn val="ctr"/>
        <c:lblOffset val="100"/>
        <c:noMultiLvlLbl val="0"/>
      </c:catAx>
      <c:valAx>
        <c:axId val="628867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8658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E363-31A3-42B5-A838-22919A66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rajus</dc:creator>
  <cp:keywords/>
  <dc:description/>
  <cp:lastModifiedBy>sudhakar raju</cp:lastModifiedBy>
  <cp:revision>3</cp:revision>
  <dcterms:created xsi:type="dcterms:W3CDTF">2018-07-06T20:53:00Z</dcterms:created>
  <dcterms:modified xsi:type="dcterms:W3CDTF">2018-07-06T20:53:00Z</dcterms:modified>
</cp:coreProperties>
</file>