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95CA" w14:textId="77777777" w:rsidR="00DD0DA2" w:rsidRDefault="00DD0DA2" w:rsidP="00DD0DA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</w:t>
      </w:r>
    </w:p>
    <w:p w14:paraId="4CB212D1" w14:textId="1F4BB2B4" w:rsidR="00DD0DA2" w:rsidRDefault="00DD0DA2" w:rsidP="00DD0DA2">
      <w:pPr>
        <w:jc w:val="center"/>
        <w:rPr>
          <w:b/>
          <w:bCs/>
          <w:sz w:val="40"/>
          <w:szCs w:val="40"/>
        </w:rPr>
      </w:pPr>
      <w:r w:rsidRPr="00DD0DA2">
        <w:rPr>
          <w:b/>
          <w:bCs/>
          <w:sz w:val="40"/>
          <w:szCs w:val="40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DD0DA2" w14:paraId="642A29D6" w14:textId="77777777" w:rsidTr="00284919">
        <w:trPr>
          <w:trHeight w:val="611"/>
        </w:trPr>
        <w:tc>
          <w:tcPr>
            <w:tcW w:w="3145" w:type="dxa"/>
          </w:tcPr>
          <w:p w14:paraId="6688AAC0" w14:textId="77777777" w:rsidR="00DD0DA2" w:rsidRPr="00561230" w:rsidRDefault="00DD0DA2" w:rsidP="00284919">
            <w:pPr>
              <w:rPr>
                <w:sz w:val="32"/>
                <w:szCs w:val="32"/>
              </w:rPr>
            </w:pPr>
            <w:r w:rsidRPr="00561230">
              <w:rPr>
                <w:sz w:val="32"/>
                <w:szCs w:val="32"/>
              </w:rPr>
              <w:t>Date</w:t>
            </w:r>
          </w:p>
        </w:tc>
        <w:tc>
          <w:tcPr>
            <w:tcW w:w="6205" w:type="dxa"/>
          </w:tcPr>
          <w:p w14:paraId="240B64E3" w14:textId="77777777" w:rsidR="00DD0DA2" w:rsidRPr="00561230" w:rsidRDefault="00DD0DA2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 OCTOBER 2025</w:t>
            </w:r>
          </w:p>
        </w:tc>
      </w:tr>
      <w:tr w:rsidR="00DD0DA2" w14:paraId="6BE7C035" w14:textId="77777777" w:rsidTr="00284919">
        <w:trPr>
          <w:trHeight w:val="611"/>
        </w:trPr>
        <w:tc>
          <w:tcPr>
            <w:tcW w:w="3145" w:type="dxa"/>
          </w:tcPr>
          <w:p w14:paraId="4093DA9F" w14:textId="77777777" w:rsidR="00DD0DA2" w:rsidRPr="0060530C" w:rsidRDefault="00DD0DA2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6205" w:type="dxa"/>
          </w:tcPr>
          <w:p w14:paraId="0336E47A" w14:textId="77777777" w:rsidR="00DD0DA2" w:rsidRDefault="00DD0DA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NM2025TMID04230</w:t>
            </w:r>
          </w:p>
        </w:tc>
      </w:tr>
      <w:tr w:rsidR="00DD0DA2" w14:paraId="36A3D894" w14:textId="77777777" w:rsidTr="00284919">
        <w:trPr>
          <w:trHeight w:val="620"/>
        </w:trPr>
        <w:tc>
          <w:tcPr>
            <w:tcW w:w="3145" w:type="dxa"/>
          </w:tcPr>
          <w:p w14:paraId="34C5B1AF" w14:textId="77777777" w:rsidR="00DD0DA2" w:rsidRDefault="00DD0DA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6205" w:type="dxa"/>
          </w:tcPr>
          <w:p w14:paraId="1F3E5DDE" w14:textId="77777777" w:rsidR="00DD0DA2" w:rsidRDefault="00DD0DA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Education Organisation Using ServiceNow</w:t>
            </w:r>
          </w:p>
        </w:tc>
      </w:tr>
      <w:tr w:rsidR="00DD0DA2" w14:paraId="0BEF10B2" w14:textId="77777777" w:rsidTr="00284919">
        <w:trPr>
          <w:trHeight w:val="539"/>
        </w:trPr>
        <w:tc>
          <w:tcPr>
            <w:tcW w:w="3145" w:type="dxa"/>
          </w:tcPr>
          <w:p w14:paraId="46B871D1" w14:textId="77777777" w:rsidR="00DD0DA2" w:rsidRDefault="00DD0DA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Maximum Marks</w:t>
            </w:r>
          </w:p>
        </w:tc>
        <w:tc>
          <w:tcPr>
            <w:tcW w:w="6205" w:type="dxa"/>
          </w:tcPr>
          <w:p w14:paraId="2CF346C7" w14:textId="77777777" w:rsidR="00DD0DA2" w:rsidRDefault="00DD0DA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2 Marks</w:t>
            </w:r>
          </w:p>
        </w:tc>
      </w:tr>
    </w:tbl>
    <w:p w14:paraId="31021FFA" w14:textId="77777777" w:rsidR="00DD0DA2" w:rsidRDefault="00DD0DA2"/>
    <w:p w14:paraId="2BF60C30" w14:textId="77777777" w:rsidR="00DD0DA2" w:rsidRDefault="00DD0DA2"/>
    <w:p w14:paraId="46E39AC6" w14:textId="77777777" w:rsidR="00DD0DA2" w:rsidRPr="00DD0DA2" w:rsidRDefault="00DD0DA2" w:rsidP="00DD0DA2">
      <w:pPr>
        <w:rPr>
          <w:b/>
          <w:bCs/>
          <w:sz w:val="28"/>
          <w:szCs w:val="28"/>
        </w:rPr>
      </w:pPr>
      <w:r w:rsidRPr="00DD0DA2">
        <w:rPr>
          <w:b/>
          <w:bCs/>
          <w:sz w:val="28"/>
          <w:szCs w:val="28"/>
        </w:rPr>
        <w:t>A. Unified Campus Service Management (CSM/ESM)</w:t>
      </w:r>
    </w:p>
    <w:p w14:paraId="24B57885" w14:textId="77777777" w:rsidR="00DD0DA2" w:rsidRPr="00DD0DA2" w:rsidRDefault="00DD0DA2" w:rsidP="00DD0DA2">
      <w:pPr>
        <w:numPr>
          <w:ilvl w:val="0"/>
          <w:numId w:val="1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Central Hub:</w:t>
      </w:r>
      <w:r w:rsidRPr="00DD0DA2">
        <w:rPr>
          <w:sz w:val="26"/>
          <w:szCs w:val="26"/>
        </w:rPr>
        <w:t xml:space="preserve"> The primary architectural decision is to use the </w:t>
      </w:r>
      <w:r w:rsidRPr="00DD0DA2">
        <w:rPr>
          <w:b/>
          <w:bCs/>
          <w:sz w:val="26"/>
          <w:szCs w:val="26"/>
        </w:rPr>
        <w:t>Service Portal</w:t>
      </w:r>
      <w:r w:rsidRPr="00DD0DA2">
        <w:rPr>
          <w:sz w:val="26"/>
          <w:szCs w:val="26"/>
        </w:rPr>
        <w:t xml:space="preserve"> as the single point of entry for </w:t>
      </w:r>
      <w:r w:rsidRPr="00DD0DA2">
        <w:rPr>
          <w:i/>
          <w:iCs/>
          <w:sz w:val="26"/>
          <w:szCs w:val="26"/>
        </w:rPr>
        <w:t>all</w:t>
      </w:r>
      <w:r w:rsidRPr="00DD0DA2">
        <w:rPr>
          <w:sz w:val="26"/>
          <w:szCs w:val="26"/>
        </w:rPr>
        <w:t xml:space="preserve"> campus requests—not just IT. This addresses the core pain point identified in the Empathy Map.</w:t>
      </w:r>
    </w:p>
    <w:p w14:paraId="60DD50F1" w14:textId="77777777" w:rsidR="00DD0DA2" w:rsidRPr="00DD0DA2" w:rsidRDefault="00DD0DA2" w:rsidP="00DD0DA2">
      <w:pPr>
        <w:numPr>
          <w:ilvl w:val="0"/>
          <w:numId w:val="1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Request Routing:</w:t>
      </w:r>
      <w:r w:rsidRPr="00DD0DA2">
        <w:rPr>
          <w:sz w:val="26"/>
          <w:szCs w:val="26"/>
        </w:rPr>
        <w:t xml:space="preserve"> All submissions, whether an IT issue (ITSM), a transcript request (CSM), or an HR query (HRSD), are routed via the </w:t>
      </w:r>
      <w:r w:rsidRPr="00DD0DA2">
        <w:rPr>
          <w:b/>
          <w:bCs/>
          <w:sz w:val="26"/>
          <w:szCs w:val="26"/>
        </w:rPr>
        <w:t>Service Catalog</w:t>
      </w:r>
      <w:r w:rsidRPr="00DD0DA2">
        <w:rPr>
          <w:sz w:val="26"/>
          <w:szCs w:val="26"/>
        </w:rPr>
        <w:t xml:space="preserve"> and </w:t>
      </w:r>
      <w:r w:rsidRPr="00DD0DA2">
        <w:rPr>
          <w:b/>
          <w:bCs/>
          <w:sz w:val="26"/>
          <w:szCs w:val="26"/>
        </w:rPr>
        <w:t>Flow Designer</w:t>
      </w:r>
      <w:r w:rsidRPr="00DD0DA2">
        <w:rPr>
          <w:sz w:val="26"/>
          <w:szCs w:val="26"/>
        </w:rPr>
        <w:t xml:space="preserve"> to the correct fulfillment team.</w:t>
      </w:r>
    </w:p>
    <w:p w14:paraId="25772A75" w14:textId="77777777" w:rsidR="00DD0DA2" w:rsidRDefault="00DD0DA2" w:rsidP="00DD0DA2">
      <w:pPr>
        <w:numPr>
          <w:ilvl w:val="0"/>
          <w:numId w:val="1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Knowledge:</w:t>
      </w:r>
      <w:r w:rsidRPr="00DD0DA2">
        <w:rPr>
          <w:sz w:val="26"/>
          <w:szCs w:val="26"/>
        </w:rPr>
        <w:t xml:space="preserve"> A unified, easily searchable </w:t>
      </w:r>
      <w:r w:rsidRPr="00DD0DA2">
        <w:rPr>
          <w:b/>
          <w:bCs/>
          <w:sz w:val="26"/>
          <w:szCs w:val="26"/>
        </w:rPr>
        <w:t>Knowledge Management</w:t>
      </w:r>
      <w:r w:rsidRPr="00DD0DA2">
        <w:rPr>
          <w:sz w:val="26"/>
          <w:szCs w:val="26"/>
        </w:rPr>
        <w:t xml:space="preserve"> repository is directly integrated into the portal and Virtual Agent to promote self-service and deflect simple inquiries.</w:t>
      </w:r>
    </w:p>
    <w:p w14:paraId="376CF4FE" w14:textId="77777777" w:rsidR="00DD0DA2" w:rsidRDefault="00DD0DA2" w:rsidP="00DD0DA2">
      <w:pPr>
        <w:rPr>
          <w:sz w:val="26"/>
          <w:szCs w:val="26"/>
        </w:rPr>
      </w:pPr>
    </w:p>
    <w:p w14:paraId="54F7D45D" w14:textId="77777777" w:rsidR="00DD0DA2" w:rsidRPr="00DD0DA2" w:rsidRDefault="00DD0DA2" w:rsidP="00DD0DA2">
      <w:pPr>
        <w:rPr>
          <w:b/>
          <w:bCs/>
          <w:sz w:val="26"/>
          <w:szCs w:val="26"/>
        </w:rPr>
      </w:pPr>
      <w:r w:rsidRPr="00DD0DA2">
        <w:rPr>
          <w:b/>
          <w:bCs/>
          <w:sz w:val="26"/>
          <w:szCs w:val="26"/>
        </w:rPr>
        <w:t>B. Data Integration with Core Systems</w:t>
      </w:r>
    </w:p>
    <w:p w14:paraId="429ADDA9" w14:textId="77777777" w:rsidR="00DD0DA2" w:rsidRPr="00DD0DA2" w:rsidRDefault="00DD0DA2" w:rsidP="00DD0DA2">
      <w:pPr>
        <w:rPr>
          <w:sz w:val="26"/>
          <w:szCs w:val="26"/>
        </w:rPr>
      </w:pPr>
      <w:r w:rsidRPr="00DD0DA2">
        <w:rPr>
          <w:sz w:val="26"/>
          <w:szCs w:val="26"/>
        </w:rPr>
        <w:t>The most critical part of the architecture is connecting ServiceNow to existing campus data systems.</w:t>
      </w:r>
    </w:p>
    <w:p w14:paraId="4BE97897" w14:textId="77777777" w:rsidR="00DD0DA2" w:rsidRDefault="00DD0DA2" w:rsidP="00DD0DA2">
      <w:pPr>
        <w:rPr>
          <w:sz w:val="26"/>
          <w:szCs w:val="26"/>
        </w:rPr>
      </w:pPr>
    </w:p>
    <w:p w14:paraId="75B1CEA6" w14:textId="77777777" w:rsidR="00DD0DA2" w:rsidRPr="00DD0DA2" w:rsidRDefault="00DD0DA2" w:rsidP="00DD0DA2">
      <w:pPr>
        <w:rPr>
          <w:b/>
          <w:bCs/>
          <w:sz w:val="26"/>
          <w:szCs w:val="26"/>
        </w:rPr>
      </w:pPr>
      <w:r w:rsidRPr="00DD0DA2">
        <w:rPr>
          <w:b/>
          <w:bCs/>
          <w:sz w:val="26"/>
          <w:szCs w:val="26"/>
        </w:rPr>
        <w:t>C. Data Structure and CMDB</w:t>
      </w:r>
    </w:p>
    <w:p w14:paraId="4151B11D" w14:textId="77777777" w:rsidR="00DD0DA2" w:rsidRPr="00DD0DA2" w:rsidRDefault="00DD0DA2" w:rsidP="00DD0DA2">
      <w:pPr>
        <w:numPr>
          <w:ilvl w:val="0"/>
          <w:numId w:val="2"/>
        </w:numPr>
        <w:rPr>
          <w:sz w:val="26"/>
          <w:szCs w:val="26"/>
        </w:rPr>
      </w:pPr>
      <w:r w:rsidRPr="00DD0DA2">
        <w:rPr>
          <w:sz w:val="26"/>
          <w:szCs w:val="26"/>
        </w:rPr>
        <w:t xml:space="preserve">The </w:t>
      </w:r>
      <w:r w:rsidRPr="00DD0DA2">
        <w:rPr>
          <w:b/>
          <w:bCs/>
          <w:sz w:val="26"/>
          <w:szCs w:val="26"/>
        </w:rPr>
        <w:t>CMDB</w:t>
      </w:r>
      <w:r w:rsidRPr="00DD0DA2">
        <w:rPr>
          <w:sz w:val="26"/>
          <w:szCs w:val="26"/>
        </w:rPr>
        <w:t xml:space="preserve"> is extended beyond IT assets to include </w:t>
      </w:r>
      <w:r w:rsidRPr="00DD0DA2">
        <w:rPr>
          <w:b/>
          <w:bCs/>
          <w:sz w:val="26"/>
          <w:szCs w:val="26"/>
        </w:rPr>
        <w:t>campus-specific Configuration Items (CIs)</w:t>
      </w:r>
      <w:r w:rsidRPr="00DD0DA2">
        <w:rPr>
          <w:sz w:val="26"/>
          <w:szCs w:val="26"/>
        </w:rPr>
        <w:t>, such as:</w:t>
      </w:r>
    </w:p>
    <w:p w14:paraId="76047448" w14:textId="77777777" w:rsidR="00DD0DA2" w:rsidRPr="00DD0DA2" w:rsidRDefault="00DD0DA2" w:rsidP="00DD0DA2">
      <w:pPr>
        <w:numPr>
          <w:ilvl w:val="1"/>
          <w:numId w:val="2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lastRenderedPageBreak/>
        <w:t>Classrooms/Labs:</w:t>
      </w:r>
      <w:r w:rsidRPr="00DD0DA2">
        <w:rPr>
          <w:sz w:val="26"/>
          <w:szCs w:val="26"/>
        </w:rPr>
        <w:t xml:space="preserve"> Mapping location, capacity, and embedded technology (projectors, AV systems).</w:t>
      </w:r>
    </w:p>
    <w:p w14:paraId="23EDEAB0" w14:textId="77777777" w:rsidR="00DD0DA2" w:rsidRPr="00DD0DA2" w:rsidRDefault="00DD0DA2" w:rsidP="00DD0DA2">
      <w:pPr>
        <w:numPr>
          <w:ilvl w:val="1"/>
          <w:numId w:val="2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Academic Programs/Courses:</w:t>
      </w:r>
      <w:r w:rsidRPr="00DD0DA2">
        <w:rPr>
          <w:sz w:val="26"/>
          <w:szCs w:val="26"/>
        </w:rPr>
        <w:t xml:space="preserve"> Linking service requests directly to the context of a student's degree.</w:t>
      </w:r>
    </w:p>
    <w:p w14:paraId="79513794" w14:textId="77777777" w:rsidR="00DD0DA2" w:rsidRPr="00DD0DA2" w:rsidRDefault="00DD0DA2" w:rsidP="00DD0DA2">
      <w:pPr>
        <w:numPr>
          <w:ilvl w:val="0"/>
          <w:numId w:val="2"/>
        </w:numPr>
        <w:rPr>
          <w:sz w:val="26"/>
          <w:szCs w:val="26"/>
        </w:rPr>
      </w:pPr>
      <w:r w:rsidRPr="00DD0DA2">
        <w:rPr>
          <w:sz w:val="26"/>
          <w:szCs w:val="26"/>
        </w:rPr>
        <w:t>This structure ensures that an incident logged about a "Projector in Room 305" automatically links the asset, the location, and potentially the assigned maintenance team.</w:t>
      </w:r>
    </w:p>
    <w:p w14:paraId="06FE54CE" w14:textId="77777777" w:rsidR="00DD0DA2" w:rsidRPr="00DD0DA2" w:rsidRDefault="00DD0DA2" w:rsidP="00DD0DA2">
      <w:pPr>
        <w:rPr>
          <w:b/>
          <w:bCs/>
          <w:sz w:val="26"/>
          <w:szCs w:val="26"/>
        </w:rPr>
      </w:pPr>
      <w:r w:rsidRPr="00DD0DA2">
        <w:rPr>
          <w:b/>
          <w:bCs/>
          <w:sz w:val="26"/>
          <w:szCs w:val="26"/>
        </w:rPr>
        <w:t>Deployment and Governance</w:t>
      </w:r>
    </w:p>
    <w:p w14:paraId="66080FDE" w14:textId="77777777" w:rsidR="00DD0DA2" w:rsidRPr="00DD0DA2" w:rsidRDefault="00DD0DA2" w:rsidP="00DD0DA2">
      <w:pPr>
        <w:numPr>
          <w:ilvl w:val="0"/>
          <w:numId w:val="3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Deployment Model:</w:t>
      </w:r>
      <w:r w:rsidRPr="00DD0DA2">
        <w:rPr>
          <w:sz w:val="26"/>
          <w:szCs w:val="26"/>
        </w:rPr>
        <w:t xml:space="preserve"> The architecture leverages the native </w:t>
      </w:r>
      <w:r w:rsidRPr="00DD0DA2">
        <w:rPr>
          <w:b/>
          <w:bCs/>
          <w:sz w:val="26"/>
          <w:szCs w:val="26"/>
        </w:rPr>
        <w:t>ServiceNow Cloud (SaaS)</w:t>
      </w:r>
      <w:r w:rsidRPr="00DD0DA2">
        <w:rPr>
          <w:sz w:val="26"/>
          <w:szCs w:val="26"/>
        </w:rPr>
        <w:t xml:space="preserve"> model, ensuring automatic updates, high availability, and scalability to handle peak load events like registration.</w:t>
      </w:r>
    </w:p>
    <w:p w14:paraId="5E5597DB" w14:textId="77777777" w:rsidR="00DD0DA2" w:rsidRPr="00DD0DA2" w:rsidRDefault="00DD0DA2" w:rsidP="00DD0DA2">
      <w:pPr>
        <w:numPr>
          <w:ilvl w:val="0"/>
          <w:numId w:val="3"/>
        </w:numPr>
        <w:rPr>
          <w:sz w:val="26"/>
          <w:szCs w:val="26"/>
        </w:rPr>
      </w:pPr>
      <w:r w:rsidRPr="00DD0DA2">
        <w:rPr>
          <w:b/>
          <w:bCs/>
          <w:sz w:val="26"/>
          <w:szCs w:val="26"/>
        </w:rPr>
        <w:t>Governance:</w:t>
      </w:r>
      <w:r w:rsidRPr="00DD0DA2">
        <w:rPr>
          <w:sz w:val="26"/>
          <w:szCs w:val="26"/>
        </w:rPr>
        <w:t xml:space="preserve"> A </w:t>
      </w:r>
      <w:r w:rsidRPr="00DD0DA2">
        <w:rPr>
          <w:b/>
          <w:bCs/>
          <w:sz w:val="26"/>
          <w:szCs w:val="26"/>
        </w:rPr>
        <w:t>Center of Excellence (CoE)</w:t>
      </w:r>
      <w:r w:rsidRPr="00DD0DA2">
        <w:rPr>
          <w:sz w:val="26"/>
          <w:szCs w:val="26"/>
        </w:rPr>
        <w:t xml:space="preserve"> architecture is established to govern all changes, ensuring new workflows are standardized and that the platform remains stable across IT, Academic, and Administrative domains.</w:t>
      </w:r>
    </w:p>
    <w:p w14:paraId="14AF8F18" w14:textId="77777777" w:rsidR="00DD0DA2" w:rsidRPr="00DD0DA2" w:rsidRDefault="00DD0DA2" w:rsidP="00DD0DA2">
      <w:pPr>
        <w:rPr>
          <w:sz w:val="26"/>
          <w:szCs w:val="26"/>
        </w:rPr>
      </w:pPr>
      <w:r w:rsidRPr="00DD0DA2">
        <w:rPr>
          <w:sz w:val="26"/>
          <w:szCs w:val="26"/>
        </w:rPr>
        <w:t>This architecture ensures high performance, a superior user experience, and the necessary integration to modernize the education organisation's administrative backbone.</w:t>
      </w:r>
    </w:p>
    <w:p w14:paraId="197C8265" w14:textId="77777777" w:rsidR="00DD0DA2" w:rsidRPr="00DD0DA2" w:rsidRDefault="00DD0DA2" w:rsidP="00DD0DA2">
      <w:pPr>
        <w:rPr>
          <w:b/>
          <w:bCs/>
          <w:sz w:val="28"/>
          <w:szCs w:val="28"/>
        </w:rPr>
      </w:pPr>
      <w:r w:rsidRPr="00DD0DA2">
        <w:rPr>
          <w:b/>
          <w:bCs/>
          <w:sz w:val="28"/>
          <w:szCs w:val="28"/>
        </w:rPr>
        <w:t>Solution Architecture: Education Organisation Using ServiceNow</w:t>
      </w:r>
    </w:p>
    <w:p w14:paraId="58A31975" w14:textId="77777777" w:rsidR="00DD0DA2" w:rsidRPr="00DD0DA2" w:rsidRDefault="00DD0DA2" w:rsidP="00DD0DA2">
      <w:pPr>
        <w:rPr>
          <w:sz w:val="26"/>
          <w:szCs w:val="26"/>
        </w:rPr>
      </w:pPr>
      <w:r w:rsidRPr="00DD0DA2">
        <w:rPr>
          <w:sz w:val="26"/>
          <w:szCs w:val="26"/>
        </w:rPr>
        <w:t xml:space="preserve">The solution architecture for implementing ServiceNow in an education organisation is built upon the </w:t>
      </w:r>
      <w:r w:rsidRPr="00DD0DA2">
        <w:rPr>
          <w:b/>
          <w:bCs/>
          <w:sz w:val="26"/>
          <w:szCs w:val="26"/>
        </w:rPr>
        <w:t>Now Platform</w:t>
      </w:r>
      <w:r w:rsidRPr="00DD0DA2">
        <w:rPr>
          <w:sz w:val="26"/>
          <w:szCs w:val="26"/>
        </w:rPr>
        <w:t xml:space="preserve">, which serves as the central </w:t>
      </w:r>
      <w:r w:rsidRPr="00DD0DA2">
        <w:rPr>
          <w:b/>
          <w:bCs/>
          <w:sz w:val="26"/>
          <w:szCs w:val="26"/>
        </w:rPr>
        <w:t>Digital Workflow Engine</w:t>
      </w:r>
      <w:r w:rsidRPr="00DD0DA2">
        <w:rPr>
          <w:sz w:val="26"/>
          <w:szCs w:val="26"/>
        </w:rPr>
        <w:t xml:space="preserve"> connecting all stakeholders and processes. The architecture is composed of distinct layers designed to transform service delivery from a fragmented state to a unified model. At the </w:t>
      </w:r>
      <w:r w:rsidRPr="00DD0DA2">
        <w:rPr>
          <w:b/>
          <w:bCs/>
          <w:sz w:val="26"/>
          <w:szCs w:val="26"/>
        </w:rPr>
        <w:t>Presentation/Access</w:t>
      </w:r>
      <w:r w:rsidRPr="00DD0DA2">
        <w:rPr>
          <w:sz w:val="26"/>
          <w:szCs w:val="26"/>
        </w:rPr>
        <w:t xml:space="preserve"> layer, a unified, mobile-friendly interface is crucial: the </w:t>
      </w:r>
      <w:r w:rsidRPr="00DD0DA2">
        <w:rPr>
          <w:b/>
          <w:bCs/>
          <w:sz w:val="26"/>
          <w:szCs w:val="26"/>
        </w:rPr>
        <w:t>Student Portal (CSM)</w:t>
      </w:r>
      <w:r w:rsidRPr="00DD0DA2">
        <w:rPr>
          <w:sz w:val="26"/>
          <w:szCs w:val="26"/>
        </w:rPr>
        <w:t xml:space="preserve"> and </w:t>
      </w:r>
      <w:r w:rsidRPr="00DD0DA2">
        <w:rPr>
          <w:b/>
          <w:bCs/>
          <w:sz w:val="26"/>
          <w:szCs w:val="26"/>
        </w:rPr>
        <w:t>Faculty/Staff Portal (ESM)</w:t>
      </w:r>
      <w:r w:rsidRPr="00DD0DA2">
        <w:rPr>
          <w:sz w:val="26"/>
          <w:szCs w:val="26"/>
        </w:rPr>
        <w:t xml:space="preserve"> provide a single point of entry for all requests, whether they are for IT, academics, or HR. All submissions pass through the </w:t>
      </w:r>
      <w:r w:rsidRPr="00DD0DA2">
        <w:rPr>
          <w:b/>
          <w:bCs/>
          <w:sz w:val="26"/>
          <w:szCs w:val="26"/>
        </w:rPr>
        <w:t>Service Management</w:t>
      </w:r>
      <w:r w:rsidRPr="00DD0DA2">
        <w:rPr>
          <w:sz w:val="26"/>
          <w:szCs w:val="26"/>
        </w:rPr>
        <w:t xml:space="preserve"> layer, where applications like </w:t>
      </w:r>
      <w:r w:rsidRPr="00DD0DA2">
        <w:rPr>
          <w:b/>
          <w:bCs/>
          <w:sz w:val="26"/>
          <w:szCs w:val="26"/>
        </w:rPr>
        <w:t>ITSM, CSM, HRSD, and FSM</w:t>
      </w:r>
      <w:r w:rsidRPr="00DD0DA2">
        <w:rPr>
          <w:sz w:val="26"/>
          <w:szCs w:val="26"/>
        </w:rPr>
        <w:t xml:space="preserve"> define and execute standardized service workflows. Critically, the </w:t>
      </w:r>
      <w:r w:rsidRPr="00DD0DA2">
        <w:rPr>
          <w:b/>
          <w:bCs/>
          <w:sz w:val="26"/>
          <w:szCs w:val="26"/>
        </w:rPr>
        <w:t>Data &amp; Records</w:t>
      </w:r>
      <w:r w:rsidRPr="00DD0DA2">
        <w:rPr>
          <w:sz w:val="26"/>
          <w:szCs w:val="26"/>
        </w:rPr>
        <w:t xml:space="preserve"> layer is anchored by an extended </w:t>
      </w:r>
      <w:r w:rsidRPr="00DD0DA2">
        <w:rPr>
          <w:b/>
          <w:bCs/>
          <w:sz w:val="26"/>
          <w:szCs w:val="26"/>
        </w:rPr>
        <w:t>Configuration Management Database (CMDB)</w:t>
      </w:r>
      <w:r w:rsidRPr="00DD0DA2">
        <w:rPr>
          <w:sz w:val="26"/>
          <w:szCs w:val="26"/>
        </w:rPr>
        <w:t xml:space="preserve">, which manages not only IT assets but also essential campus CIs like classrooms, labs, and academic programs, ensuring a single source of truth and contextual data for all service requests. Finally, the </w:t>
      </w:r>
      <w:r w:rsidRPr="00DD0DA2">
        <w:rPr>
          <w:b/>
          <w:bCs/>
          <w:sz w:val="26"/>
          <w:szCs w:val="26"/>
        </w:rPr>
        <w:t>Integration</w:t>
      </w:r>
      <w:r w:rsidRPr="00DD0DA2">
        <w:rPr>
          <w:sz w:val="26"/>
          <w:szCs w:val="26"/>
        </w:rPr>
        <w:t xml:space="preserve"> layer, utilizing the </w:t>
      </w:r>
      <w:r w:rsidRPr="00DD0DA2">
        <w:rPr>
          <w:b/>
          <w:bCs/>
          <w:sz w:val="26"/>
          <w:szCs w:val="26"/>
        </w:rPr>
        <w:t>Integration Hub</w:t>
      </w:r>
      <w:r w:rsidRPr="00DD0DA2">
        <w:rPr>
          <w:sz w:val="26"/>
          <w:szCs w:val="26"/>
        </w:rPr>
        <w:t xml:space="preserve"> and custom APIs, </w:t>
      </w:r>
      <w:r w:rsidRPr="00DD0DA2">
        <w:rPr>
          <w:sz w:val="26"/>
          <w:szCs w:val="26"/>
        </w:rPr>
        <w:lastRenderedPageBreak/>
        <w:t xml:space="preserve">ensures seamless communication with core legacy systems like the </w:t>
      </w:r>
      <w:r w:rsidRPr="00DD0DA2">
        <w:rPr>
          <w:b/>
          <w:bCs/>
          <w:sz w:val="26"/>
          <w:szCs w:val="26"/>
        </w:rPr>
        <w:t>Student Information System (SIS)</w:t>
      </w:r>
      <w:r w:rsidRPr="00DD0DA2">
        <w:rPr>
          <w:sz w:val="26"/>
          <w:szCs w:val="26"/>
        </w:rPr>
        <w:t xml:space="preserve"> and </w:t>
      </w:r>
      <w:r w:rsidRPr="00DD0DA2">
        <w:rPr>
          <w:b/>
          <w:bCs/>
          <w:sz w:val="26"/>
          <w:szCs w:val="26"/>
        </w:rPr>
        <w:t>Learning Management System (LMS)</w:t>
      </w:r>
      <w:r w:rsidRPr="00DD0DA2">
        <w:rPr>
          <w:sz w:val="26"/>
          <w:szCs w:val="26"/>
        </w:rPr>
        <w:t xml:space="preserve"> to synchronize vital data (e.g., student enrollment, grades, and credentials), making the entire service ecosystem responsive and data-rich. This layered approach guarantees scalability, high availability, and a unified, user-centric experience across the entire institution.</w:t>
      </w:r>
    </w:p>
    <w:p w14:paraId="0593A29B" w14:textId="77777777" w:rsidR="00DD0DA2" w:rsidRPr="00DD0DA2" w:rsidRDefault="00DD0DA2" w:rsidP="00DD0DA2">
      <w:pPr>
        <w:rPr>
          <w:sz w:val="26"/>
          <w:szCs w:val="26"/>
        </w:rPr>
      </w:pPr>
    </w:p>
    <w:p w14:paraId="097D26EF" w14:textId="77777777" w:rsidR="00DD0DA2" w:rsidRDefault="00DD0DA2"/>
    <w:sectPr w:rsidR="00DD0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11B"/>
    <w:multiLevelType w:val="multilevel"/>
    <w:tmpl w:val="181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078A7"/>
    <w:multiLevelType w:val="multilevel"/>
    <w:tmpl w:val="E70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74B11"/>
    <w:multiLevelType w:val="multilevel"/>
    <w:tmpl w:val="202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20457">
    <w:abstractNumId w:val="2"/>
  </w:num>
  <w:num w:numId="2" w16cid:durableId="324600242">
    <w:abstractNumId w:val="0"/>
  </w:num>
  <w:num w:numId="3" w16cid:durableId="108947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A2"/>
    <w:rsid w:val="007B50D0"/>
    <w:rsid w:val="00DD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566B"/>
  <w15:chartTrackingRefBased/>
  <w15:docId w15:val="{E9F4FC9A-09E8-4CBD-B1DF-091F291B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A2"/>
  </w:style>
  <w:style w:type="paragraph" w:styleId="Heading1">
    <w:name w:val="heading 1"/>
    <w:basedOn w:val="Normal"/>
    <w:next w:val="Normal"/>
    <w:link w:val="Heading1Char"/>
    <w:uiPriority w:val="9"/>
    <w:qFormat/>
    <w:rsid w:val="00DD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0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 S</dc:creator>
  <cp:keywords/>
  <dc:description/>
  <cp:lastModifiedBy>Ashika R S</cp:lastModifiedBy>
  <cp:revision>1</cp:revision>
  <dcterms:created xsi:type="dcterms:W3CDTF">2025-10-31T09:48:00Z</dcterms:created>
  <dcterms:modified xsi:type="dcterms:W3CDTF">2025-10-31T09:54:00Z</dcterms:modified>
</cp:coreProperties>
</file>