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00" w:after="80" w:line="264" w:lineRule="auto"/>
      </w:pPr>
      <w:r>
        <w:rPr>
          <w:rFonts w:ascii="Calibri" w:hAnsi="Calibri"/>
          <w:b/>
          <w:color w:val="C65911"/>
          <w:sz w:val="20"/>
        </w:rPr>
        <w:t>SCIENTIFIC ARCHITECTURE NOTE</w:t>
      </w:r>
    </w:p>
    <w:p>
      <w:pPr>
        <w:keepNext w:val="0"/>
        <w:spacing w:before="0" w:after="100" w:line="240" w:lineRule="auto"/>
      </w:pPr>
      <w:r>
        <w:rPr>
          <w:rFonts w:ascii="Calibri" w:hAnsi="Calibri"/>
          <w:b/>
          <w:color w:val="17365D"/>
          <w:sz w:val="50"/>
        </w:rPr>
        <w:t>Scientific Rationale and Operation of the</w:t>
        <w:br/>
        <w:t>PM₂.₅ Prediction Architecture</w:t>
      </w:r>
    </w:p>
    <w:p>
      <w:pPr>
        <w:keepNext w:val="0"/>
        <w:spacing w:before="0" w:after="320" w:line="264" w:lineRule="auto"/>
      </w:pPr>
      <w:r>
        <w:rPr>
          <w:rFonts w:ascii="Calibri" w:hAnsi="Calibri"/>
          <w:i/>
          <w:color w:val="5B6573"/>
          <w:sz w:val="26"/>
        </w:rPr>
        <w:t>External atmospheric background with a nested temporal–tabular local-residual ensemble</w:t>
      </w:r>
    </w:p>
    <w:p>
      <w:pPr>
        <w:keepNext w:val="0"/>
        <w:spacing w:before="0" w:after="40" w:line="240" w:lineRule="auto"/>
      </w:pPr>
      <w:r>
        <w:rPr>
          <w:rFonts w:ascii="Calibri" w:hAnsi="Calibri"/>
          <w:b/>
          <w:color w:val="17365D"/>
          <w:sz w:val="21"/>
        </w:rPr>
        <w:t xml:space="preserve">Purpose: </w:t>
      </w:r>
      <w:r>
        <w:rPr>
          <w:rFonts w:ascii="Calibri" w:hAnsi="Calibri"/>
          <w:color w:val="1F2937"/>
          <w:sz w:val="21"/>
        </w:rPr>
        <w:t>Technical explanation for academic review</w:t>
      </w:r>
    </w:p>
    <w:p>
      <w:pPr>
        <w:keepNext w:val="0"/>
        <w:spacing w:before="0" w:after="40" w:line="240" w:lineRule="auto"/>
      </w:pPr>
      <w:r>
        <w:rPr>
          <w:rFonts w:ascii="Calibri" w:hAnsi="Calibri"/>
          <w:b/>
          <w:color w:val="17365D"/>
          <w:sz w:val="21"/>
        </w:rPr>
        <w:t xml:space="preserve">Dataset context: </w:t>
      </w:r>
      <w:r>
        <w:rPr>
          <w:rFonts w:ascii="Calibri" w:hAnsi="Calibri"/>
          <w:color w:val="1F2937"/>
          <w:sz w:val="21"/>
        </w:rPr>
        <w:t>MUMMA five-day moving-platform roadside observations</w:t>
      </w:r>
    </w:p>
    <w:p>
      <w:pPr>
        <w:keepNext w:val="0"/>
        <w:spacing w:before="0" w:after="40" w:line="240" w:lineRule="auto"/>
      </w:pPr>
      <w:r>
        <w:rPr>
          <w:rFonts w:ascii="Calibri" w:hAnsi="Calibri"/>
          <w:b/>
          <w:color w:val="17365D"/>
          <w:sz w:val="21"/>
        </w:rPr>
        <w:t xml:space="preserve">Target: </w:t>
      </w:r>
      <w:r>
        <w:rPr>
          <w:rFonts w:ascii="Calibri" w:hAnsi="Calibri"/>
          <w:color w:val="1F2937"/>
          <w:sz w:val="21"/>
        </w:rPr>
        <w:t>Roadside sensor PM₂.₅ concentration</w:t>
      </w:r>
    </w:p>
    <w:p>
      <w:pPr>
        <w:keepNext w:val="0"/>
        <w:spacing w:before="0" w:after="40" w:line="240" w:lineRule="auto"/>
      </w:pPr>
      <w:r>
        <w:rPr>
          <w:rFonts w:ascii="Calibri" w:hAnsi="Calibri"/>
          <w:b/>
          <w:color w:val="17365D"/>
          <w:sz w:val="21"/>
        </w:rPr>
        <w:t xml:space="preserve">Validation principle: </w:t>
      </w:r>
      <w:r>
        <w:rPr>
          <w:rFonts w:ascii="Calibri" w:hAnsi="Calibri"/>
          <w:color w:val="1F2937"/>
          <w:sz w:val="21"/>
        </w:rPr>
        <w:t>Complete-date outer holdout; model choices use training/validation data only</w:t>
      </w:r>
    </w:p>
    <w:p>
      <w:pPr>
        <w:keepNext w:val="0"/>
        <w:spacing w:before="0" w:after="40" w:line="240" w:lineRule="auto"/>
      </w:pPr>
      <w:r>
        <w:rPr>
          <w:rFonts w:ascii="Calibri" w:hAnsi="Calibri"/>
          <w:b/>
          <w:color w:val="17365D"/>
          <w:sz w:val="21"/>
        </w:rPr>
        <w:t xml:space="preserve">Prepared: </w:t>
      </w:r>
      <w:r>
        <w:rPr>
          <w:rFonts w:ascii="Calibri" w:hAnsi="Calibri"/>
          <w:color w:val="1F2937"/>
          <w:sz w:val="21"/>
        </w:rPr>
        <w:t>24 July 2026</w:t>
      </w:r>
    </w:p>
    <w:p>
      <w:pPr>
        <w:keepNext w:val="0"/>
        <w:spacing w:before="0" w:after="6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before="40" w:after="40" w:line="264" w:lineRule="auto"/>
            </w:pPr>
            <w:r>
              <w:rPr>
                <w:rFonts w:ascii="Calibri" w:hAnsi="Calibri"/>
                <w:b/>
                <w:color w:val="2E74B5"/>
                <w:sz w:val="22"/>
              </w:rPr>
              <w:t xml:space="preserve">Central scientific idea: </w:t>
            </w:r>
            <w:r>
              <w:rPr>
                <w:rFonts w:ascii="Calibri" w:hAnsi="Calibri"/>
                <w:color w:val="1F2937"/>
                <w:sz w:val="22"/>
              </w:rPr>
              <w:t>A roadside monitor observes broad regional pollution plus unresolved local and sub-grid variation. The architecture uses an independent atmospheric product for the regional baseline and learns only the remaining roadside residual from visual, traffic, road, meteorological and geospatial information.</w:t>
            </w:r>
          </w:p>
        </w:tc>
      </w:tr>
    </w:tbl>
    <w:p>
      <w:pPr>
        <w:keepNext w:val="0"/>
        <w:spacing w:before="0" w:after="40" w:line="264" w:lineRule="auto"/>
      </w:pPr>
    </w:p>
    <w:p>
      <w:pPr>
        <w:pStyle w:val="Heading1"/>
        <w:keepNext/>
      </w:pPr>
      <w:r>
        <w:rPr>
          <w:rFonts w:ascii="Calibri" w:hAnsi="Calibri"/>
          <w:b/>
          <w:color w:val="2E74B5"/>
          <w:sz w:val="32"/>
        </w:rPr>
        <w:t>Executive summary</w:t>
      </w:r>
    </w:p>
    <w:p>
      <w:pPr>
        <w:keepNext w:val="0"/>
        <w:spacing w:before="0" w:after="120" w:line="264" w:lineRule="auto"/>
      </w:pPr>
      <w:r>
        <w:rPr>
          <w:rFonts w:ascii="Calibri" w:hAnsi="Calibri"/>
          <w:color w:val="1F2937"/>
          <w:sz w:val="22"/>
        </w:rPr>
        <w:t>The architecture is based on separation of spatial and temporal scales. CAMS supplies a coarse external estimate of regional atmospheric PM₂.₅. The roadside sensor may differ from that estimate because of fine-scale traffic activity, road-surface resuspension, street geometry, meteorological dispersion, unresolved sources, product bias and sensor error. Two complementary models predict this difference: a ResNet50–GRU temporal image branch with structured residual correction, and an ExtraTrees tabular/geospatial branch. Their predictions are combined using a weight selected on validation data, after which the external background is added back to obtain the final roadside PM₂.₅ estimate.</w:t>
      </w:r>
    </w:p>
    <w:p>
      <w:pPr>
        <w:keepNext w:val="0"/>
        <w:spacing w:before="0" w:after="120" w:line="264" w:lineRule="auto"/>
      </w:pPr>
      <w:r>
        <w:rPr>
          <w:rFonts w:ascii="Calibri" w:hAnsi="Calibri"/>
          <w:color w:val="1F2937"/>
          <w:sz w:val="22"/>
        </w:rPr>
        <w:t>The method is a predictive concentration model, not chemical source apportionment. Vehicle counts and road appearance are covariates associated with local conditions; they are not direct measurements of vehicle-exhaust or road-dust mass.</w:t>
      </w:r>
    </w:p>
    <w:p>
      <w:r>
        <w:br w:type="page"/>
      </w:r>
    </w:p>
    <w:p>
      <w:pPr>
        <w:pStyle w:val="Heading1"/>
        <w:keepNext/>
      </w:pPr>
      <w:r>
        <w:rPr>
          <w:rFonts w:ascii="Calibri" w:hAnsi="Calibri"/>
          <w:b/>
          <w:color w:val="2E74B5"/>
          <w:sz w:val="32"/>
        </w:rPr>
        <w:t>1. First-principles formulation</w:t>
      </w:r>
    </w:p>
    <w:p>
      <w:pPr>
        <w:keepNext w:val="0"/>
        <w:spacing w:before="0" w:after="120" w:line="264" w:lineRule="auto"/>
      </w:pPr>
      <w:r>
        <w:rPr>
          <w:rFonts w:ascii="Calibri" w:hAnsi="Calibri"/>
          <w:color w:val="1F2937"/>
          <w:sz w:val="22"/>
        </w:rPr>
        <w:t>At a given location s and time t, the concentration measured by the moving roadside sensor can be represented conceptually as a regional atmospheric component, an unresolved local/sub-grid deviation, and remaining error:</w:t>
      </w:r>
    </w:p>
    <w:p>
      <w:pPr>
        <w:keepNext w:val="0"/>
        <w:spacing w:before="80" w:after="160" w:line="240" w:lineRule="auto"/>
        <w:jc w:val="center"/>
      </w:pPr>
      <w:r>
        <w:rPr>
          <w:rFonts w:ascii="Cambria Math" w:hAnsi="Cambria Math"/>
          <w:b/>
          <w:color w:val="17365D"/>
          <w:sz w:val="26"/>
        </w:rPr>
        <w:t>y(s,t) = B(s,t) + Δlocal(s,t) + ε(s,t)</w:t>
      </w:r>
    </w:p>
    <w:p>
      <w:pPr>
        <w:keepNext w:val="0"/>
        <w:spacing w:before="0" w:after="160" w:line="264" w:lineRule="auto"/>
      </w:pPr>
      <w:r>
        <w:rPr>
          <w:rFonts w:ascii="Calibri" w:hAnsi="Calibri"/>
          <w:b/>
          <w:color w:val="17365D"/>
          <w:sz w:val="22"/>
        </w:rPr>
        <w:t>y(s,t)</w:t>
      </w:r>
      <w:r>
        <w:rPr>
          <w:rFonts w:ascii="Calibri" w:hAnsi="Calibri"/>
          <w:color w:val="1F2937"/>
          <w:sz w:val="22"/>
        </w:rPr>
        <w:t xml:space="preserve"> is roadside PM₂.₅; </w:t>
      </w:r>
      <w:r>
        <w:rPr>
          <w:rFonts w:ascii="Calibri" w:hAnsi="Calibri"/>
          <w:b/>
          <w:color w:val="2E74B5"/>
          <w:sz w:val="22"/>
        </w:rPr>
        <w:t>B(s,t)</w:t>
      </w:r>
      <w:r>
        <w:rPr>
          <w:rFonts w:ascii="Calibri" w:hAnsi="Calibri"/>
          <w:color w:val="1F2937"/>
          <w:sz w:val="22"/>
        </w:rPr>
        <w:t xml:space="preserve"> is the external regional background; </w:t>
      </w:r>
      <w:r>
        <w:rPr>
          <w:rFonts w:ascii="Calibri" w:hAnsi="Calibri"/>
          <w:b/>
          <w:color w:val="C65911"/>
          <w:sz w:val="22"/>
        </w:rPr>
        <w:t>Δlocal(s,t)</w:t>
      </w:r>
      <w:r>
        <w:rPr>
          <w:rFonts w:ascii="Calibri" w:hAnsi="Calibri"/>
          <w:color w:val="1F2937"/>
          <w:sz w:val="22"/>
        </w:rPr>
        <w:t xml:space="preserve"> is the residual at scales unresolved by the background product; and </w:t>
      </w:r>
      <w:r>
        <w:rPr>
          <w:rFonts w:ascii="Calibri" w:hAnsi="Calibri"/>
          <w:b/>
          <w:color w:val="7030A0"/>
          <w:sz w:val="22"/>
        </w:rPr>
        <w:t>ε(s,t)</w:t>
      </w:r>
      <w:r>
        <w:rPr>
          <w:rFonts w:ascii="Calibri" w:hAnsi="Calibri"/>
          <w:color w:val="1F2937"/>
          <w:sz w:val="22"/>
        </w:rPr>
        <w:t xml:space="preserve"> contains measurement error and unobserved processes.</w:t>
      </w:r>
    </w:p>
    <w:p>
      <w:pPr>
        <w:keepNext w:val="0"/>
        <w:spacing w:before="0" w:after="120" w:line="264" w:lineRule="auto"/>
      </w:pPr>
      <w:r>
        <w:rPr>
          <w:rFonts w:ascii="Calibri" w:hAnsi="Calibri"/>
          <w:color w:val="1F2937"/>
          <w:sz w:val="22"/>
        </w:rPr>
        <w:t>The training target for both local branches is therefore the measured roadside value minus the aligned CAMS estimate:</w:t>
      </w:r>
    </w:p>
    <w:p>
      <w:pPr>
        <w:keepNext w:val="0"/>
        <w:spacing w:before="80" w:after="160" w:line="240" w:lineRule="auto"/>
        <w:jc w:val="center"/>
      </w:pPr>
      <w:r>
        <w:rPr>
          <w:rFonts w:ascii="Cambria Math" w:hAnsi="Cambria Math"/>
          <w:b/>
          <w:color w:val="C65911"/>
          <w:sz w:val="26"/>
        </w:rPr>
        <w:t>Δlocal(s,t) = yroadside(s,t) − yCAMS(s,t)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CE4D6"/>
          </w:tcPr>
          <w:p>
            <w:pPr>
              <w:spacing w:before="40" w:after="40" w:line="264" w:lineRule="auto"/>
            </w:pPr>
            <w:r>
              <w:rPr>
                <w:rFonts w:ascii="Calibri" w:hAnsi="Calibri"/>
                <w:b/>
                <w:color w:val="C65911"/>
                <w:sz w:val="22"/>
              </w:rPr>
              <w:t xml:space="preserve">Important interpretation: </w:t>
            </w:r>
            <w:r>
              <w:rPr>
                <w:rFonts w:ascii="Calibri" w:hAnsi="Calibri"/>
                <w:color w:val="1F2937"/>
                <w:sz w:val="22"/>
              </w:rPr>
              <w:t>Δlocal is not a pure local-emissions concentration. It may contain genuine near-road enhancement, negative local deviations, CAMS bias, coarse-grid mismatch, timing error, sensor response and other unobserved effects. “Local/sub-grid residual” is the scientifically safest term.</w:t>
            </w:r>
          </w:p>
        </w:tc>
      </w:tr>
    </w:tbl>
    <w:p>
      <w:pPr>
        <w:keepNext w:val="0"/>
        <w:spacing w:before="0" w:after="40" w:line="264" w:lineRule="auto"/>
      </w:pPr>
    </w:p>
    <w:p>
      <w:pPr>
        <w:keepNext w:val="0"/>
        <w:spacing w:before="120" w:after="80" w:line="264" w:lineRule="auto"/>
      </w:pPr>
      <w:r>
        <w:rPr>
          <w:rFonts w:ascii="Calibri" w:hAnsi="Calibri"/>
          <w:i/>
          <w:color w:val="5B6573"/>
          <w:sz w:val="19"/>
        </w:rPr>
        <w:t>Figure 1. Operational flow of the candidate architecture.</w:t>
      </w:r>
    </w:p>
    <w:p>
      <w:pPr>
        <w:spacing w:after="120"/>
        <w:jc w:val="center"/>
      </w:pPr>
      <w:r>
        <w:drawing>
          <wp:inline xmlns:a="http://schemas.openxmlformats.org/drawingml/2006/main" xmlns:pic="http://schemas.openxmlformats.org/drawingml/2006/picture">
            <wp:extent cx="5943600" cy="2164067"/>
            <wp:docPr id="1" name="Picture 1" descr="Flow diagram showing an external CAMS background, a ResNet50-GRU temporal local-residual branch with Random-Forest correction, an ExtraTrees tabular local-residual branch, and validation-selected fusion followed by reconstruction of roadside PM2.5." title="Candidate roadside PM2.5 prediction architecture"/>
            <wp:cNvGraphicFramePr>
              <a:graphicFrameLocks noChangeAspect="1"/>
            </wp:cNvGraphicFramePr>
            <a:graphic>
              <a:graphicData uri="http://schemas.openxmlformats.org/drawingml/2006/picture">
                <pic:pic>
                  <pic:nvPicPr>
                    <pic:cNvPr id="0" name="pm25_candidate_architecture_clean.png"/>
                    <pic:cNvPicPr/>
                  </pic:nvPicPr>
                  <pic:blipFill>
                    <a:blip r:embed="rId11"/>
                    <a:stretch>
                      <a:fillRect/>
                    </a:stretch>
                  </pic:blipFill>
                  <pic:spPr>
                    <a:xfrm>
                      <a:off x="0" y="0"/>
                      <a:ext cx="5943600" cy="2164067"/>
                    </a:xfrm>
                    <a:prstGeom prst="rect"/>
                  </pic:spPr>
                </pic:pic>
              </a:graphicData>
            </a:graphic>
          </wp:inline>
        </w:drawing>
      </w:r>
    </w:p>
    <w:p>
      <w:r>
        <w:br w:type="page"/>
      </w:r>
    </w:p>
    <w:p>
      <w:pPr>
        <w:pStyle w:val="Heading1"/>
        <w:keepNext/>
      </w:pPr>
      <w:r>
        <w:rPr>
          <w:rFonts w:ascii="Calibri" w:hAnsi="Calibri"/>
          <w:b/>
          <w:color w:val="2E74B5"/>
          <w:sz w:val="32"/>
        </w:rPr>
        <w:t>2. External atmospheric background</w:t>
      </w:r>
    </w:p>
    <w:p>
      <w:pPr>
        <w:keepNext w:val="0"/>
        <w:spacing w:before="0" w:after="120" w:line="264" w:lineRule="auto"/>
      </w:pPr>
      <w:r>
        <w:rPr>
          <w:rFonts w:ascii="Calibri" w:hAnsi="Calibri"/>
          <w:color w:val="1F2937"/>
          <w:sz w:val="22"/>
        </w:rPr>
        <w:t>CAMS is an atmospheric composition modelling system. It combines emissions inventories, atmospheric transport, meteorology, chemistry, deposition, aerosol processes and assimilated observations. It is not a direct satellite photograph of ground-level PM₂.₅. For each roadside timestamp, the corresponding coarse regional estimate is aligned and used as B(s,t). CAMS is not fitted to the held-out MUMMA targets.</w:t>
      </w:r>
    </w:p>
    <w:p>
      <w:pPr>
        <w:keepNext w:val="0"/>
        <w:spacing w:before="0" w:after="120" w:line="264" w:lineRule="auto"/>
      </w:pPr>
      <w:r>
        <w:rPr>
          <w:rFonts w:ascii="Calibri" w:hAnsi="Calibri"/>
          <w:color w:val="1F2937"/>
          <w:sz w:val="22"/>
        </w:rPr>
        <w:t>Because its spatial grid and temporal update interval are much coarser than the roadside measurements, CAMS cannot resolve the vehicle immediately ahead, a single junction, a local construction site, street-canyon circulation or second-to-second fluctuations. These are exactly the scales delegated to the local branches.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2F0D9"/>
          </w:tcPr>
          <w:p>
            <w:pPr>
              <w:spacing w:before="40" w:after="40" w:line="264" w:lineRule="auto"/>
            </w:pPr>
            <w:r>
              <w:rPr>
                <w:rFonts w:ascii="Calibri" w:hAnsi="Calibri"/>
                <w:b/>
                <w:color w:val="3B7D23"/>
                <w:sz w:val="22"/>
              </w:rPr>
              <w:t xml:space="preserve">Why this is not target leakage: </w:t>
            </w:r>
            <w:r>
              <w:rPr>
                <w:rFonts w:ascii="Calibri" w:hAnsi="Calibri"/>
                <w:color w:val="1F2937"/>
                <w:sz w:val="22"/>
              </w:rPr>
              <w:t>The background is generated independently of the roadside test target and is available at inference time. It would become leakage only if test-day roadside PM₂.₅ were used to calibrate or modify the background before prediction.</w:t>
            </w:r>
          </w:p>
        </w:tc>
      </w:tr>
    </w:tbl>
    <w:p>
      <w:pPr>
        <w:keepNext w:val="0"/>
        <w:spacing w:before="0" w:after="40" w:line="264" w:lineRule="auto"/>
      </w:pPr>
    </w:p>
    <w:p>
      <w:pPr>
        <w:pStyle w:val="Heading1"/>
        <w:keepNext/>
      </w:pPr>
      <w:r>
        <w:rPr>
          <w:rFonts w:ascii="Calibri" w:hAnsi="Calibri"/>
          <w:b/>
          <w:color w:val="2E74B5"/>
          <w:sz w:val="32"/>
        </w:rPr>
        <w:t>3. Temporal local-residual branch</w:t>
      </w:r>
    </w:p>
    <w:p>
      <w:pPr>
        <w:pStyle w:val="Heading2"/>
        <w:keepNext/>
      </w:pPr>
      <w:r>
        <w:rPr>
          <w:rFonts w:ascii="Calibri" w:hAnsi="Calibri"/>
          <w:b/>
          <w:color w:val="2E74B5"/>
          <w:sz w:val="26"/>
        </w:rPr>
        <w:t>3.1 Seven-frame visual sequence</w:t>
      </w:r>
    </w:p>
    <w:p>
      <w:pPr>
        <w:keepNext w:val="0"/>
        <w:spacing w:before="0" w:after="120" w:line="264" w:lineRule="auto"/>
      </w:pPr>
      <w:r>
        <w:rPr>
          <w:rFonts w:ascii="Calibri" w:hAnsi="Calibri"/>
          <w:color w:val="1F2937"/>
          <w:sz w:val="22"/>
        </w:rPr>
        <w:t>The temporal branch receives seven consecutive lens-6 images. With approximately ten-second sampling, the sequence describes roughly one minute of recent roadside context. Sequences are kept inside a single run, preventing a sequence from crossing into another run or day.</w:t>
      </w:r>
    </w:p>
    <w:p>
      <w:pPr>
        <w:pStyle w:val="Heading2"/>
        <w:keepNext/>
      </w:pPr>
      <w:r>
        <w:rPr>
          <w:rFonts w:ascii="Calibri" w:hAnsi="Calibri"/>
          <w:b/>
          <w:color w:val="2E74B5"/>
          <w:sz w:val="26"/>
        </w:rPr>
        <w:t>3.2 Frozen ResNet50 representation</w:t>
      </w:r>
    </w:p>
    <w:p>
      <w:pPr>
        <w:keepNext w:val="0"/>
        <w:spacing w:before="80" w:after="160" w:line="240" w:lineRule="auto"/>
        <w:jc w:val="center"/>
      </w:pPr>
      <w:r>
        <w:rPr>
          <w:rFonts w:ascii="Cambria Math" w:hAnsi="Cambria Math"/>
          <w:b/>
          <w:color w:val="17365D"/>
          <w:sz w:val="26"/>
        </w:rPr>
        <w:t>zt = ResNet50(It),   zt ∈ ℝ²⁰⁴⁸</w:t>
      </w:r>
    </w:p>
    <w:p>
      <w:pPr>
        <w:keepNext w:val="0"/>
        <w:spacing w:before="0" w:after="120" w:line="264" w:lineRule="auto"/>
      </w:pPr>
      <w:r>
        <w:rPr>
          <w:rFonts w:ascii="Calibri" w:hAnsi="Calibri"/>
          <w:color w:val="1F2937"/>
          <w:sz w:val="22"/>
        </w:rPr>
        <w:t>A pretrained, frozen ResNet50 converts each image into a 2,048-dimensional embedding. The embedding summarizes general scene appearance, including traffic, road surface, built environment, visibility and illumination. It does not directly measure PM₂.₅. Freezing the backbone reduces the number of parameters that must be estimated from only five days of PM-labelled observations.</w:t>
      </w:r>
    </w:p>
    <w:p>
      <w:pPr>
        <w:pStyle w:val="Heading2"/>
        <w:keepNext/>
      </w:pPr>
      <w:r>
        <w:rPr>
          <w:rFonts w:ascii="Calibri" w:hAnsi="Calibri"/>
          <w:b/>
          <w:color w:val="2E74B5"/>
          <w:sz w:val="26"/>
        </w:rPr>
        <w:t>3.3 GRU temporal encoder</w:t>
      </w:r>
    </w:p>
    <w:p>
      <w:pPr>
        <w:keepNext w:val="0"/>
        <w:spacing w:before="80" w:after="160" w:line="240" w:lineRule="auto"/>
        <w:jc w:val="center"/>
      </w:pPr>
      <w:r>
        <w:rPr>
          <w:rFonts w:ascii="Cambria Math" w:hAnsi="Cambria Math"/>
          <w:b/>
          <w:color w:val="17365D"/>
          <w:sz w:val="26"/>
        </w:rPr>
        <w:t>Δ̂temp = fGRU(zt−6, …, zt)</w:t>
      </w:r>
    </w:p>
    <w:p>
      <w:pPr>
        <w:keepNext w:val="0"/>
        <w:spacing w:before="0" w:after="120" w:line="264" w:lineRule="auto"/>
      </w:pPr>
      <w:r>
        <w:rPr>
          <w:rFonts w:ascii="Calibri" w:hAnsi="Calibri"/>
          <w:color w:val="1F2937"/>
          <w:sz w:val="22"/>
        </w:rPr>
        <w:t>A one-layer GRU with hidden size 128 processes the embeddings in chronological order. It can distinguish a persistent nearby heavy vehicle from a single-frame detection, sustained congestion from a transient event, and gradual scene change from abrupt change. Its output is the image-based estimate of the local residual.</w:t>
      </w:r>
    </w:p>
    <w:p>
      <w:r>
        <w:br w:type="page"/>
      </w:r>
    </w:p>
    <w:p>
      <w:pPr>
        <w:pStyle w:val="Heading1"/>
        <w:keepNext/>
      </w:pPr>
      <w:r>
        <w:rPr>
          <w:rFonts w:ascii="Calibri" w:hAnsi="Calibri"/>
          <w:b/>
          <w:color w:val="2E74B5"/>
          <w:sz w:val="32"/>
        </w:rPr>
        <w:t>4. Structured information and why it is still useful</w:t>
      </w:r>
    </w:p>
    <w:p>
      <w:pPr>
        <w:keepNext w:val="0"/>
        <w:spacing w:before="0" w:after="120" w:line="264" w:lineRule="auto"/>
      </w:pPr>
      <w:r>
        <w:rPr>
          <w:rFonts w:ascii="Calibri" w:hAnsi="Calibri"/>
          <w:color w:val="1F2937"/>
          <w:sz w:val="22"/>
        </w:rPr>
        <w:t>The camera contains some of the same information implicitly, but the dataset is too small to assume that a generic image embedding will reliably discover every PM-relevant quantity. Structured variables act as inductive biases: they make selected scene properties explicit and add information beyond the camera’s field of view.</w:t>
      </w:r>
    </w:p>
    <w:tbl>
      <w:tblPr>
        <w:tblW w:type="dxa" w:w="9360"/>
        <w:jc w:val="left"/>
        <w:tblLayout w:type="fixed"/>
        <w:tblLook w:firstColumn="1" w:firstRow="1" w:lastColumn="0" w:lastRow="0" w:noHBand="0" w:noVBand="1" w:val="04A0"/>
        <w:tblInd w:w="120" w:type="dxa"/>
      </w:tblPr>
      <w:tblGrid>
        <w:gridCol w:w="2200"/>
        <w:gridCol w:w="3260"/>
        <w:gridCol w:w="3900"/>
      </w:tblGrid>
      <w:tr>
        <w:trPr>
          <w:tblHeader w:val="true"/>
        </w:trPr>
        <w:tc>
          <w:tcPr>
            <w:tcW w:type="dxa" w:w="2200"/>
            <w:vAlign w:val="center"/>
            <w:tcMar>
              <w:top w:w="80" w:type="dxa"/>
              <w:start w:w="120" w:type="dxa"/>
              <w:bottom w:w="80" w:type="dxa"/>
              <w:end w:w="120" w:type="dxa"/>
            </w:tcMar>
            <w:shd w:fill="EAF2F8"/>
          </w:tcPr>
          <w:p>
            <w:pPr>
              <w:spacing w:after="0"/>
              <w:jc w:val="left"/>
            </w:pPr>
            <w:r>
              <w:rPr>
                <w:rFonts w:ascii="Calibri" w:hAnsi="Calibri"/>
                <w:b/>
                <w:color w:val="17365D"/>
                <w:sz w:val="20"/>
              </w:rPr>
              <w:t>Information source</w:t>
            </w:r>
          </w:p>
        </w:tc>
        <w:tc>
          <w:tcPr>
            <w:tcW w:type="dxa" w:w="3260"/>
            <w:vAlign w:val="center"/>
            <w:tcMar>
              <w:top w:w="80" w:type="dxa"/>
              <w:start w:w="120" w:type="dxa"/>
              <w:bottom w:w="80" w:type="dxa"/>
              <w:end w:w="120" w:type="dxa"/>
            </w:tcMar>
            <w:shd w:fill="EAF2F8"/>
          </w:tcPr>
          <w:p>
            <w:pPr>
              <w:spacing w:after="0"/>
              <w:jc w:val="left"/>
            </w:pPr>
            <w:r>
              <w:rPr>
                <w:rFonts w:ascii="Calibri" w:hAnsi="Calibri"/>
                <w:b/>
                <w:color w:val="17365D"/>
                <w:sz w:val="20"/>
              </w:rPr>
              <w:t>What enters the model</w:t>
            </w:r>
          </w:p>
        </w:tc>
        <w:tc>
          <w:tcPr>
            <w:tcW w:type="dxa" w:w="3900"/>
            <w:vAlign w:val="center"/>
            <w:tcMar>
              <w:top w:w="80" w:type="dxa"/>
              <w:start w:w="120" w:type="dxa"/>
              <w:bottom w:w="80" w:type="dxa"/>
              <w:end w:w="120" w:type="dxa"/>
            </w:tcMar>
            <w:shd w:fill="EAF2F8"/>
          </w:tcPr>
          <w:p>
            <w:pPr>
              <w:spacing w:after="0"/>
              <w:jc w:val="left"/>
            </w:pPr>
            <w:r>
              <w:rPr>
                <w:rFonts w:ascii="Calibri" w:hAnsi="Calibri"/>
                <w:b/>
                <w:color w:val="17365D"/>
                <w:sz w:val="20"/>
              </w:rPr>
              <w:t>Scientific role</w:t>
            </w:r>
          </w:p>
        </w:tc>
      </w:tr>
      <w:tr>
        <w:tc>
          <w:tcPr>
            <w:tcW w:type="dxa" w:w="2200"/>
          </w:tcPr>
          <w:p>
            <w:pPr>
              <w:spacing w:before="0" w:after="0" w:line="252" w:lineRule="auto"/>
            </w:pPr>
            <w:r>
              <w:rPr>
                <w:rFonts w:ascii="Calibri" w:hAnsi="Calibri"/>
                <w:b/>
                <w:color w:val="1F2937"/>
                <w:sz w:val="18"/>
              </w:rPr>
              <w:t>External CAMS background</w:t>
            </w:r>
          </w:p>
        </w:tc>
        <w:tc>
          <w:tcPr>
            <w:tcW w:type="dxa" w:w="3260"/>
          </w:tcPr>
          <w:p>
            <w:pPr>
              <w:spacing w:before="0" w:after="0" w:line="252" w:lineRule="auto"/>
            </w:pPr>
            <w:r>
              <w:rPr>
                <w:rFonts w:ascii="Calibri" w:hAnsi="Calibri"/>
                <w:b w:val="0"/>
                <w:color w:val="1F2937"/>
                <w:sz w:val="18"/>
              </w:rPr>
              <w:t>Regional atmospheric PM₂.₅ baseline aligned by time and route location.</w:t>
            </w:r>
          </w:p>
        </w:tc>
        <w:tc>
          <w:tcPr>
            <w:tcW w:type="dxa" w:w="3900"/>
          </w:tcPr>
          <w:p>
            <w:pPr>
              <w:spacing w:before="0" w:after="0" w:line="252" w:lineRule="auto"/>
            </w:pPr>
            <w:r>
              <w:rPr>
                <w:rFonts w:ascii="Calibri" w:hAnsi="Calibri"/>
                <w:b w:val="0"/>
                <w:color w:val="1F2937"/>
                <w:sz w:val="18"/>
              </w:rPr>
              <w:t>Represents transported and broad-scale pollution; it cannot resolve individual roadside events.</w:t>
            </w:r>
          </w:p>
        </w:tc>
      </w:tr>
      <w:tr>
        <w:tc>
          <w:tcPr>
            <w:tcW w:type="dxa" w:w="2200"/>
            <w:shd w:fill="F8FAFC"/>
          </w:tcPr>
          <w:p>
            <w:pPr>
              <w:spacing w:before="0" w:after="0" w:line="252" w:lineRule="auto"/>
            </w:pPr>
            <w:r>
              <w:rPr>
                <w:rFonts w:ascii="Calibri" w:hAnsi="Calibri"/>
                <w:b/>
                <w:color w:val="1F2937"/>
                <w:sz w:val="18"/>
              </w:rPr>
              <w:t>ResNet50 + GRU</w:t>
            </w:r>
          </w:p>
        </w:tc>
        <w:tc>
          <w:tcPr>
            <w:tcW w:type="dxa" w:w="3260"/>
            <w:shd w:fill="F8FAFC"/>
          </w:tcPr>
          <w:p>
            <w:pPr>
              <w:spacing w:before="0" w:after="0" w:line="252" w:lineRule="auto"/>
            </w:pPr>
            <w:r>
              <w:rPr>
                <w:rFonts w:ascii="Calibri" w:hAnsi="Calibri"/>
                <w:b w:val="0"/>
                <w:color w:val="1F2937"/>
                <w:sz w:val="18"/>
              </w:rPr>
              <w:t>A seven-frame lens-6 sequence encoded to 2,048-D frame embeddings and processed in temporal order.</w:t>
            </w:r>
          </w:p>
        </w:tc>
        <w:tc>
          <w:tcPr>
            <w:tcW w:type="dxa" w:w="3900"/>
            <w:shd w:fill="F8FAFC"/>
          </w:tcPr>
          <w:p>
            <w:pPr>
              <w:spacing w:before="0" w:after="0" w:line="252" w:lineRule="auto"/>
            </w:pPr>
            <w:r>
              <w:rPr>
                <w:rFonts w:ascii="Calibri" w:hAnsi="Calibri"/>
                <w:b w:val="0"/>
                <w:color w:val="1F2937"/>
                <w:sz w:val="18"/>
              </w:rPr>
              <w:t>Models short-term visual context and how the roadside scene evolves over roughly one minute.</w:t>
            </w:r>
          </w:p>
        </w:tc>
      </w:tr>
      <w:tr>
        <w:tc>
          <w:tcPr>
            <w:tcW w:type="dxa" w:w="2200"/>
          </w:tcPr>
          <w:p>
            <w:pPr>
              <w:spacing w:before="0" w:after="0" w:line="252" w:lineRule="auto"/>
            </w:pPr>
            <w:r>
              <w:rPr>
                <w:rFonts w:ascii="Calibri" w:hAnsi="Calibri"/>
                <w:b/>
                <w:color w:val="1F2937"/>
                <w:sz w:val="18"/>
              </w:rPr>
              <w:t>YOLO traffic</w:t>
            </w:r>
          </w:p>
        </w:tc>
        <w:tc>
          <w:tcPr>
            <w:tcW w:type="dxa" w:w="3260"/>
          </w:tcPr>
          <w:p>
            <w:pPr>
              <w:spacing w:before="0" w:after="0" w:line="252" w:lineRule="auto"/>
            </w:pPr>
            <w:r>
              <w:rPr>
                <w:rFonts w:ascii="Calibri" w:hAnsi="Calibri"/>
                <w:b w:val="0"/>
                <w:color w:val="1F2937"/>
                <w:sz w:val="18"/>
              </w:rPr>
              <w:t>Vehicle classes, counts, occupancy, size/proximity and activity proxies.</w:t>
            </w:r>
          </w:p>
        </w:tc>
        <w:tc>
          <w:tcPr>
            <w:tcW w:type="dxa" w:w="3900"/>
          </w:tcPr>
          <w:p>
            <w:pPr>
              <w:spacing w:before="0" w:after="0" w:line="252" w:lineRule="auto"/>
            </w:pPr>
            <w:r>
              <w:rPr>
                <w:rFonts w:ascii="Calibri" w:hAnsi="Calibri"/>
                <w:b w:val="0"/>
                <w:color w:val="1F2937"/>
                <w:sz w:val="18"/>
              </w:rPr>
              <w:t>Makes traffic composition explicit; these are predictors, not measured vehicle PM contributions.</w:t>
            </w:r>
          </w:p>
        </w:tc>
      </w:tr>
      <w:tr>
        <w:tc>
          <w:tcPr>
            <w:tcW w:type="dxa" w:w="2200"/>
            <w:shd w:fill="F8FAFC"/>
          </w:tcPr>
          <w:p>
            <w:pPr>
              <w:spacing w:before="0" w:after="0" w:line="252" w:lineRule="auto"/>
            </w:pPr>
            <w:r>
              <w:rPr>
                <w:rFonts w:ascii="Calibri" w:hAnsi="Calibri"/>
                <w:b/>
                <w:color w:val="1F2937"/>
                <w:sz w:val="18"/>
              </w:rPr>
              <w:t>Road appearance</w:t>
            </w:r>
          </w:p>
        </w:tc>
        <w:tc>
          <w:tcPr>
            <w:tcW w:type="dxa" w:w="3260"/>
            <w:shd w:fill="F8FAFC"/>
          </w:tcPr>
          <w:p>
            <w:pPr>
              <w:spacing w:before="0" w:after="0" w:line="252" w:lineRule="auto"/>
            </w:pPr>
            <w:r>
              <w:rPr>
                <w:rFonts w:ascii="Calibri" w:hAnsi="Calibri"/>
                <w:b w:val="0"/>
                <w:color w:val="1F2937"/>
                <w:sz w:val="18"/>
              </w:rPr>
              <w:t>Segmented-road area, brightness, saturation, texture, edge, dry/gray and related appearance indicators.</w:t>
            </w:r>
          </w:p>
        </w:tc>
        <w:tc>
          <w:tcPr>
            <w:tcW w:type="dxa" w:w="3900"/>
            <w:shd w:fill="F8FAFC"/>
          </w:tcPr>
          <w:p>
            <w:pPr>
              <w:spacing w:before="0" w:after="0" w:line="252" w:lineRule="auto"/>
            </w:pPr>
            <w:r>
              <w:rPr>
                <w:rFonts w:ascii="Calibri" w:hAnsi="Calibri"/>
                <w:b w:val="0"/>
                <w:color w:val="1F2937"/>
                <w:sz w:val="18"/>
              </w:rPr>
              <w:t>Acts as a road-condition and resuspension-potential proxy, not a measurement of road-dust mass.</w:t>
            </w:r>
          </w:p>
        </w:tc>
      </w:tr>
      <w:tr>
        <w:tc>
          <w:tcPr>
            <w:tcW w:type="dxa" w:w="2200"/>
          </w:tcPr>
          <w:p>
            <w:pPr>
              <w:spacing w:before="0" w:after="0" w:line="252" w:lineRule="auto"/>
            </w:pPr>
            <w:r>
              <w:rPr>
                <w:rFonts w:ascii="Calibri" w:hAnsi="Calibri"/>
                <w:b/>
                <w:color w:val="1F2937"/>
                <w:sz w:val="18"/>
              </w:rPr>
              <w:t>Meteorology / sensor / mobility</w:t>
            </w:r>
          </w:p>
        </w:tc>
        <w:tc>
          <w:tcPr>
            <w:tcW w:type="dxa" w:w="3260"/>
          </w:tcPr>
          <w:p>
            <w:pPr>
              <w:spacing w:before="0" w:after="0" w:line="252" w:lineRule="auto"/>
            </w:pPr>
            <w:r>
              <w:rPr>
                <w:rFonts w:ascii="Calibri" w:hAnsi="Calibri"/>
                <w:b w:val="0"/>
                <w:color w:val="1F2937"/>
                <w:sz w:val="18"/>
              </w:rPr>
              <w:t>Temperature, RH, gases, time, location, speed, course and related non-PM context.</w:t>
            </w:r>
          </w:p>
        </w:tc>
        <w:tc>
          <w:tcPr>
            <w:tcW w:type="dxa" w:w="3900"/>
          </w:tcPr>
          <w:p>
            <w:pPr>
              <w:spacing w:before="0" w:after="0" w:line="252" w:lineRule="auto"/>
            </w:pPr>
            <w:r>
              <w:rPr>
                <w:rFonts w:ascii="Calibri" w:hAnsi="Calibri"/>
                <w:b w:val="0"/>
                <w:color w:val="1F2937"/>
                <w:sz w:val="18"/>
              </w:rPr>
              <w:t>Represents dilution, dispersion, aerosol/sensor response and changing exposure geometry.</w:t>
            </w:r>
          </w:p>
        </w:tc>
      </w:tr>
      <w:tr>
        <w:tc>
          <w:tcPr>
            <w:tcW w:type="dxa" w:w="2200"/>
            <w:shd w:fill="F8FAFC"/>
          </w:tcPr>
          <w:p>
            <w:pPr>
              <w:spacing w:before="0" w:after="0" w:line="252" w:lineRule="auto"/>
            </w:pPr>
            <w:r>
              <w:rPr>
                <w:rFonts w:ascii="Calibri" w:hAnsi="Calibri"/>
                <w:b/>
                <w:color w:val="1F2937"/>
                <w:sz w:val="18"/>
              </w:rPr>
              <w:t>AlphaEarth</w:t>
            </w:r>
          </w:p>
        </w:tc>
        <w:tc>
          <w:tcPr>
            <w:tcW w:type="dxa" w:w="3260"/>
            <w:shd w:fill="F8FAFC"/>
          </w:tcPr>
          <w:p>
            <w:pPr>
              <w:spacing w:before="0" w:after="0" w:line="252" w:lineRule="auto"/>
            </w:pPr>
            <w:r>
              <w:rPr>
                <w:rFonts w:ascii="Calibri" w:hAnsi="Calibri"/>
                <w:b w:val="0"/>
                <w:color w:val="1F2937"/>
                <w:sz w:val="18"/>
              </w:rPr>
              <w:t>A 64-dimensional annual learned geospatial embedding.</w:t>
            </w:r>
          </w:p>
        </w:tc>
        <w:tc>
          <w:tcPr>
            <w:tcW w:type="dxa" w:w="3900"/>
            <w:shd w:fill="F8FAFC"/>
          </w:tcPr>
          <w:p>
            <w:pPr>
              <w:spacing w:before="0" w:after="0" w:line="252" w:lineRule="auto"/>
            </w:pPr>
            <w:r>
              <w:rPr>
                <w:rFonts w:ascii="Calibri" w:hAnsi="Calibri"/>
                <w:b w:val="0"/>
                <w:color w:val="1F2937"/>
                <w:sz w:val="18"/>
              </w:rPr>
              <w:t>Provides persistent wider-area context; individual dimensions do not have direct physical labels.</w:t>
            </w:r>
          </w:p>
        </w:tc>
      </w:tr>
      <w:tr>
        <w:tc>
          <w:tcPr>
            <w:tcW w:type="dxa" w:w="2200"/>
          </w:tcPr>
          <w:p>
            <w:pPr>
              <w:spacing w:before="0" w:after="0" w:line="252" w:lineRule="auto"/>
            </w:pPr>
            <w:r>
              <w:rPr>
                <w:rFonts w:ascii="Calibri" w:hAnsi="Calibri"/>
                <w:b/>
                <w:color w:val="1F2937"/>
                <w:sz w:val="18"/>
              </w:rPr>
              <w:t>OSM (tested ablation)</w:t>
            </w:r>
          </w:p>
        </w:tc>
        <w:tc>
          <w:tcPr>
            <w:tcW w:type="dxa" w:w="3260"/>
          </w:tcPr>
          <w:p>
            <w:pPr>
              <w:spacing w:before="0" w:after="0" w:line="252" w:lineRule="auto"/>
            </w:pPr>
            <w:r>
              <w:rPr>
                <w:rFonts w:ascii="Calibri" w:hAnsi="Calibri"/>
                <w:b w:val="0"/>
                <w:color w:val="1F2937"/>
                <w:sz w:val="18"/>
              </w:rPr>
              <w:t>Road hierarchy and nearby activity/land-use counts within 250 m.</w:t>
            </w:r>
          </w:p>
        </w:tc>
        <w:tc>
          <w:tcPr>
            <w:tcW w:type="dxa" w:w="3900"/>
          </w:tcPr>
          <w:p>
            <w:pPr>
              <w:spacing w:before="0" w:after="0" w:line="252" w:lineRule="auto"/>
            </w:pPr>
            <w:r>
              <w:rPr>
                <w:rFonts w:ascii="Calibri" w:hAnsi="Calibri"/>
                <w:b w:val="0"/>
                <w:color w:val="1F2937"/>
                <w:sz w:val="18"/>
              </w:rPr>
              <w:t>Supplies off-camera context. It did not improve the selected final ensemble, so it is not in the frozen no-OSM candidate.</w:t>
            </w:r>
          </w:p>
        </w:tc>
      </w:tr>
    </w:tbl>
    <w:p>
      <w:pPr>
        <w:keepNext w:val="0"/>
        <w:spacing w:before="0" w:after="40" w:line="264" w:lineRule="auto"/>
      </w:pPr>
    </w:p>
    <w:p>
      <w:pPr>
        <w:pStyle w:val="Heading1"/>
        <w:keepNext/>
      </w:pPr>
      <w:r>
        <w:rPr>
          <w:rFonts w:ascii="Calibri" w:hAnsi="Calibri"/>
          <w:b/>
          <w:color w:val="2E74B5"/>
          <w:sz w:val="32"/>
        </w:rPr>
        <w:t>5. Random-Forest correction of temporal errors</w:t>
      </w:r>
    </w:p>
    <w:p>
      <w:pPr>
        <w:keepNext w:val="0"/>
        <w:spacing w:before="0" w:after="120" w:line="264" w:lineRule="auto"/>
      </w:pPr>
      <w:r>
        <w:rPr>
          <w:rFonts w:ascii="Calibri" w:hAnsi="Calibri"/>
          <w:color w:val="1F2937"/>
          <w:sz w:val="22"/>
        </w:rPr>
        <w:t>The GRU can make systematic errors. Its residual on an eligible training or validation observation is:</w:t>
      </w:r>
    </w:p>
    <w:p>
      <w:pPr>
        <w:keepNext w:val="0"/>
        <w:spacing w:before="80" w:after="160" w:line="240" w:lineRule="auto"/>
        <w:jc w:val="center"/>
      </w:pPr>
      <w:r>
        <w:rPr>
          <w:rFonts w:ascii="Cambria Math" w:hAnsi="Cambria Math"/>
          <w:b/>
          <w:color w:val="17365D"/>
          <w:sz w:val="26"/>
        </w:rPr>
        <w:t>rt = Δlocal,t − Δ̂temp,t</w:t>
      </w:r>
    </w:p>
    <w:p>
      <w:pPr>
        <w:keepNext w:val="0"/>
        <w:spacing w:before="0" w:after="120" w:line="264" w:lineRule="auto"/>
      </w:pPr>
      <w:r>
        <w:rPr>
          <w:rFonts w:ascii="Calibri" w:hAnsi="Calibri"/>
          <w:color w:val="1F2937"/>
          <w:sz w:val="22"/>
        </w:rPr>
        <w:t>A Random Forest predicts this remaining error from non-PM sensor, meteorological, mobility, YOLO and road features. The corrected temporal estimate is:</w:t>
      </w:r>
    </w:p>
    <w:p>
      <w:pPr>
        <w:keepNext w:val="0"/>
        <w:spacing w:before="80" w:after="160" w:line="240" w:lineRule="auto"/>
        <w:jc w:val="center"/>
      </w:pPr>
      <w:r>
        <w:rPr>
          <w:rFonts w:ascii="Cambria Math" w:hAnsi="Cambria Math"/>
          <w:b/>
          <w:color w:val="17365D"/>
          <w:sz w:val="26"/>
        </w:rPr>
        <w:t>Δ̂corr,temp = Δ̂temp + r̂RF</w:t>
      </w:r>
    </w:p>
    <w:p>
      <w:pPr>
        <w:keepNext w:val="0"/>
        <w:spacing w:before="0" w:after="120" w:line="264" w:lineRule="auto"/>
      </w:pPr>
      <w:r>
        <w:rPr>
          <w:rFonts w:ascii="Calibri" w:hAnsi="Calibri"/>
          <w:color w:val="1F2937"/>
          <w:sz w:val="22"/>
        </w:rPr>
        <w:t>This structure asks a narrower question than direct prediction: given what the image sequence already predicted, do the structured conditions indicate a systematic adjustment? Correction predictions are cross-fitted by run so that validation residuals are not produced by a correction model trained on the same run.</w:t>
      </w:r>
    </w:p>
    <w:p>
      <w:r>
        <w:br w:type="page"/>
      </w:r>
    </w:p>
    <w:p>
      <w:pPr>
        <w:pStyle w:val="Heading1"/>
        <w:keepNext/>
      </w:pPr>
      <w:r>
        <w:rPr>
          <w:rFonts w:ascii="Calibri" w:hAnsi="Calibri"/>
          <w:b/>
          <w:color w:val="2E74B5"/>
          <w:sz w:val="32"/>
        </w:rPr>
        <w:t>6. Independent tabular/geospatial branch</w:t>
      </w:r>
    </w:p>
    <w:p>
      <w:pPr>
        <w:keepNext w:val="0"/>
        <w:spacing w:before="0" w:after="120" w:line="264" w:lineRule="auto"/>
      </w:pPr>
      <w:r>
        <w:rPr>
          <w:rFonts w:ascii="Calibri" w:hAnsi="Calibri"/>
          <w:color w:val="1F2937"/>
          <w:sz w:val="22"/>
        </w:rPr>
        <w:t>The second branch predicts the same local residual independently using explicit scene and spatial information. In the selected no-OSM candidate, the principal inputs are YOLO traffic, road appearance and the 64-dimensional AlphaEarth embedding:</w:t>
      </w:r>
    </w:p>
    <w:p>
      <w:pPr>
        <w:keepNext w:val="0"/>
        <w:spacing w:before="80" w:after="160" w:line="240" w:lineRule="auto"/>
        <w:jc w:val="center"/>
      </w:pPr>
      <w:r>
        <w:rPr>
          <w:rFonts w:ascii="Cambria Math" w:hAnsi="Cambria Math"/>
          <w:b/>
          <w:color w:val="17365D"/>
          <w:sz w:val="26"/>
        </w:rPr>
        <w:t>Δ̂tab = fExtraTrees(XYOLO, Xroad, XAlphaEarth)</w:t>
      </w:r>
    </w:p>
    <w:p>
      <w:pPr>
        <w:keepNext w:val="0"/>
        <w:spacing w:before="0" w:after="120" w:line="264" w:lineRule="auto"/>
      </w:pPr>
      <w:r>
        <w:rPr>
          <w:rFonts w:ascii="Calibri" w:hAnsi="Calibri"/>
          <w:color w:val="1F2937"/>
          <w:sz w:val="22"/>
        </w:rPr>
        <w:t>ExtraTrees is a randomized ensemble of decision trees. It can represent nonlinear thresholds and interactions without assuming a linear relationship. For example, heavy-vehicle activity may have a different statistical association under different road appearance and neighbourhood conditions.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CE4D6"/>
          </w:tcPr>
          <w:p>
            <w:pPr>
              <w:spacing w:before="40" w:after="40" w:line="264" w:lineRule="auto"/>
            </w:pPr>
            <w:r>
              <w:rPr>
                <w:rFonts w:ascii="Calibri" w:hAnsi="Calibri"/>
                <w:b/>
                <w:color w:val="C65911"/>
                <w:sz w:val="22"/>
              </w:rPr>
              <w:t xml:space="preserve">Diagram terminology correction: </w:t>
            </w:r>
            <w:r>
              <w:rPr>
                <w:rFonts w:ascii="Calibri" w:hAnsi="Calibri"/>
                <w:color w:val="1F2937"/>
                <w:sz w:val="22"/>
              </w:rPr>
              <w:t>ExtraTrees is not gradient boosting. The architecture diagram should label this block “ExtraTrees ensemble regressor.” Gradient boosting was evaluated as a separate candidate model.</w:t>
            </w:r>
          </w:p>
        </w:tc>
      </w:tr>
    </w:tbl>
    <w:p>
      <w:pPr>
        <w:keepNext w:val="0"/>
        <w:spacing w:before="0" w:after="40" w:line="264" w:lineRule="auto"/>
      </w:pPr>
    </w:p>
    <w:p>
      <w:pPr>
        <w:pStyle w:val="Heading1"/>
        <w:keepNext/>
      </w:pPr>
      <w:r>
        <w:rPr>
          <w:rFonts w:ascii="Calibri" w:hAnsi="Calibri"/>
          <w:b/>
          <w:color w:val="2E74B5"/>
          <w:sz w:val="32"/>
        </w:rPr>
        <w:t>7. Validation-selected fusion</w:t>
      </w:r>
    </w:p>
    <w:p>
      <w:pPr>
        <w:keepNext w:val="0"/>
        <w:spacing w:before="0" w:after="120" w:line="264" w:lineRule="auto"/>
      </w:pPr>
      <w:r>
        <w:rPr>
          <w:rFonts w:ascii="Calibri" w:hAnsi="Calibri"/>
          <w:color w:val="1F2937"/>
          <w:sz w:val="22"/>
        </w:rPr>
        <w:t>The temporal and tabular branches are complementary: the first represents recent visual dynamics, while the second emphasizes explicit traffic, road and persistent spatial context. Their local-residual predictions are combined using a convex weight:</w:t>
      </w:r>
    </w:p>
    <w:p>
      <w:pPr>
        <w:keepNext w:val="0"/>
        <w:spacing w:before="80" w:after="160" w:line="240" w:lineRule="auto"/>
        <w:jc w:val="center"/>
      </w:pPr>
      <w:r>
        <w:rPr>
          <w:rFonts w:ascii="Cambria Math" w:hAnsi="Cambria Math"/>
          <w:b/>
          <w:color w:val="7030A0"/>
          <w:sz w:val="26"/>
        </w:rPr>
        <w:t>Δ̂fused = λΔ̂corr,temp + (1 − λ)Δ̂tab,   0 ≤ λ ≤ 1</w:t>
      </w:r>
    </w:p>
    <w:p>
      <w:pPr>
        <w:keepNext w:val="0"/>
        <w:spacing w:before="0" w:after="120" w:line="264" w:lineRule="auto"/>
      </w:pPr>
      <w:r>
        <w:rPr>
          <w:rFonts w:ascii="Calibri" w:hAnsi="Calibri"/>
          <w:color w:val="1F2937"/>
          <w:sz w:val="22"/>
        </w:rPr>
        <w:t>The value of λ is selected using validation RMSE only and then frozen before the outer test date is evaluated. λ = 1 uses only the temporal branch; λ = 0 uses only the tabular branch. A fixed 50:50 average is a useful diagnostic, but it is not the primary result when the prescribed selection rule chooses λ from validation data.</w:t>
      </w:r>
    </w:p>
    <w:p>
      <w:pPr>
        <w:pStyle w:val="Heading1"/>
        <w:keepNext/>
      </w:pPr>
      <w:r>
        <w:rPr>
          <w:rFonts w:ascii="Calibri" w:hAnsi="Calibri"/>
          <w:b/>
          <w:color w:val="2E74B5"/>
          <w:sz w:val="32"/>
        </w:rPr>
        <w:t>8. Final roadside PM₂.₅ reconstruction</w:t>
      </w:r>
    </w:p>
    <w:p>
      <w:pPr>
        <w:keepNext w:val="0"/>
        <w:spacing w:before="80" w:after="160" w:line="240" w:lineRule="auto"/>
        <w:jc w:val="center"/>
      </w:pPr>
      <w:r>
        <w:rPr>
          <w:rFonts w:ascii="Cambria Math" w:hAnsi="Cambria Math"/>
          <w:b/>
          <w:color w:val="3B7D23"/>
          <w:sz w:val="26"/>
        </w:rPr>
        <w:t>ŷPM₂.₅ = yCAMS + λΔ̂corr,temp + (1 − λ)Δ̂tab</w:t>
      </w:r>
    </w:p>
    <w:p>
      <w:pPr>
        <w:keepNext w:val="0"/>
        <w:spacing w:before="0" w:after="120" w:line="264" w:lineRule="auto"/>
      </w:pPr>
      <w:r>
        <w:rPr>
          <w:rFonts w:ascii="Calibri" w:hAnsi="Calibri"/>
          <w:color w:val="1F2937"/>
          <w:sz w:val="22"/>
        </w:rPr>
        <w:t>For example, if CAMS gives 70 µg/m³, the corrected temporal branch predicts a residual of 35 µg/m³, the tabular branch predicts 25 µg/m³ and λ = 0.7, the fused residual is 32 µg/m³ and the final prediction is 102 µg/m³.</w:t>
      </w:r>
    </w:p>
    <w:p>
      <w:r>
        <w:br w:type="page"/>
      </w:r>
    </w:p>
    <w:p>
      <w:pPr>
        <w:pStyle w:val="Heading1"/>
        <w:keepNext/>
      </w:pPr>
      <w:r>
        <w:rPr>
          <w:rFonts w:ascii="Calibri" w:hAnsi="Calibri"/>
          <w:b/>
          <w:color w:val="2E74B5"/>
          <w:sz w:val="32"/>
        </w:rPr>
        <w:t>9. Responses to the key scientific questions</w:t>
      </w:r>
    </w:p>
    <w:p>
      <w:pPr>
        <w:pStyle w:val="Heading2"/>
        <w:keepNext/>
      </w:pPr>
      <w:r>
        <w:rPr>
          <w:rFonts w:ascii="Calibri" w:hAnsi="Calibri"/>
          <w:b/>
          <w:color w:val="2E74B5"/>
          <w:sz w:val="26"/>
        </w:rPr>
        <w:t>9.1 If road dust is already in the atmosphere, why include road features?</w:t>
      </w:r>
    </w:p>
    <w:p>
      <w:pPr>
        <w:keepNext w:val="0"/>
        <w:spacing w:before="0" w:after="120" w:line="264" w:lineRule="auto"/>
      </w:pPr>
      <w:r>
        <w:rPr>
          <w:rFonts w:ascii="Calibri" w:hAnsi="Calibri"/>
          <w:color w:val="1F2937"/>
          <w:sz w:val="22"/>
        </w:rPr>
        <w:t>CAMS may contain regional suspended dust at coarse scale, but it cannot resolve a new near-road flux created when local traffic resuspends material from a particular road surface. Subtracting CAMS removes the broad component it represents; road appearance and traffic variables are then offered as predictors of the unresolved difference. Nevertheless, the road variables are proxies only and cannot identify road-dust mass without chemical or particle-size reference measurements.</w:t>
      </w:r>
    </w:p>
    <w:p>
      <w:pPr>
        <w:pStyle w:val="Heading2"/>
        <w:keepNext/>
      </w:pPr>
      <w:r>
        <w:rPr>
          <w:rFonts w:ascii="Calibri" w:hAnsi="Calibri"/>
          <w:b/>
          <w:color w:val="2E74B5"/>
          <w:sz w:val="26"/>
        </w:rPr>
        <w:t>9.2 If the image already sees vehicles and the road, why add YOLO and road variables?</w:t>
      </w:r>
    </w:p>
    <w:p>
      <w:pPr>
        <w:keepNext w:val="0"/>
        <w:spacing w:before="0" w:after="120" w:line="264" w:lineRule="auto"/>
      </w:pPr>
      <w:r>
        <w:rPr>
          <w:rFonts w:ascii="Calibri" w:hAnsi="Calibri"/>
          <w:color w:val="1F2937"/>
          <w:sz w:val="22"/>
        </w:rPr>
        <w:t>A generic ResNet embedding encodes the scene implicitly, but with limited labelled data it may not reliably learn that particular regions correspond to trucks, vehicle occupancy or road texture. YOLO and road segmentation expose those quantities directly. Their incremental value must still be demonstrated through held-out-date ablation; redundancy is possible and more features do not automatically improve generalization.</w:t>
      </w:r>
    </w:p>
    <w:p>
      <w:pPr>
        <w:pStyle w:val="Heading2"/>
        <w:keepNext/>
      </w:pPr>
      <w:r>
        <w:rPr>
          <w:rFonts w:ascii="Calibri" w:hAnsi="Calibri"/>
          <w:b/>
          <w:color w:val="2E74B5"/>
          <w:sz w:val="26"/>
        </w:rPr>
        <w:t>9.3 Why include OSM or AlphaEarth?</w:t>
      </w:r>
    </w:p>
    <w:p>
      <w:pPr>
        <w:keepNext w:val="0"/>
        <w:spacing w:before="0" w:after="120" w:line="264" w:lineRule="auto"/>
      </w:pPr>
      <w:r>
        <w:rPr>
          <w:rFonts w:ascii="Calibri" w:hAnsi="Calibri"/>
          <w:color w:val="1F2937"/>
          <w:sz w:val="22"/>
        </w:rPr>
        <w:t>A camera has a narrow instantaneous field of view. OSM and AlphaEarth can represent broader, persistent context such as road hierarchy, commercial activity and urban form that may be behind the vehicle or outside the image. In the actual experiments, OSM did not improve the selected nested ensemble, so it should be reported as an ablation rather than a required component.</w:t>
      </w:r>
    </w:p>
    <w:p>
      <w:pPr>
        <w:pStyle w:val="Heading2"/>
        <w:keepNext/>
      </w:pPr>
      <w:r>
        <w:rPr>
          <w:rFonts w:ascii="Calibri" w:hAnsi="Calibri"/>
          <w:b/>
          <w:color w:val="2E74B5"/>
          <w:sz w:val="26"/>
        </w:rPr>
        <w:t>9.4 Does the model estimate vehicle PM₂.₅ and road-dust PM₂.₅ separately?</w:t>
      </w:r>
    </w:p>
    <w:p>
      <w:pPr>
        <w:keepNext w:val="0"/>
        <w:spacing w:before="0" w:after="120" w:line="264" w:lineRule="auto"/>
      </w:pPr>
      <w:r>
        <w:rPr>
          <w:rFonts w:ascii="Calibri" w:hAnsi="Calibri"/>
          <w:color w:val="1F2937"/>
          <w:sz w:val="22"/>
        </w:rPr>
        <w:t>No. The only supervised label is total roadside sensor PM₂.₅. Therefore, separate vehicle, road-dust and background source fractions are not identifiable. Such a claim would require source-specific evidence such as chemical tracers, differential OPC bins, black carbon, independent background monitors or validated source profiles.</w:t>
      </w:r>
    </w:p>
    <w:p>
      <w:pPr>
        <w:pStyle w:val="Heading2"/>
        <w:keepNext/>
      </w:pPr>
      <w:r>
        <w:rPr>
          <w:rFonts w:ascii="Calibri" w:hAnsi="Calibri"/>
          <w:b/>
          <w:color w:val="2E74B5"/>
          <w:sz w:val="26"/>
        </w:rPr>
        <w:t>9.5 Are feature importances causal?</w:t>
      </w:r>
    </w:p>
    <w:p>
      <w:pPr>
        <w:keepNext w:val="0"/>
        <w:spacing w:before="0" w:after="120" w:line="264" w:lineRule="auto"/>
      </w:pPr>
      <w:r>
        <w:rPr>
          <w:rFonts w:ascii="Calibri" w:hAnsi="Calibri"/>
          <w:color w:val="1F2937"/>
          <w:sz w:val="22"/>
        </w:rPr>
        <w:t>No. Traffic, time, route, weather, land use and daily background are correlated. Feature importance or correlation indicates predictive association under the observed data distribution; it does not prove that changing the feature would cause the corresponding PM₂.₅ change.</w:t>
      </w:r>
    </w:p>
    <w:p>
      <w:r>
        <w:br w:type="page"/>
      </w:r>
    </w:p>
    <w:p>
      <w:pPr>
        <w:pStyle w:val="Heading1"/>
        <w:keepNext/>
      </w:pPr>
      <w:r>
        <w:rPr>
          <w:rFonts w:ascii="Calibri" w:hAnsi="Calibri"/>
          <w:b/>
          <w:color w:val="2E74B5"/>
          <w:sz w:val="32"/>
        </w:rPr>
        <w:t>10. Fair evaluation procedure</w:t>
      </w:r>
    </w:p>
    <w:p>
      <w:pPr>
        <w:keepNext w:val="0"/>
        <w:spacing w:before="0" w:after="120" w:line="264" w:lineRule="auto"/>
      </w:pPr>
      <w:r>
        <w:rPr>
          <w:rFonts w:ascii="Calibri" w:hAnsi="Calibri"/>
          <w:color w:val="1F2937"/>
          <w:sz w:val="22"/>
        </w:rPr>
        <w:t>Each of the five dates is held out in turn as an outer test date. The remaining dates are used for model training and validation. Image sequences remain within run boundaries; preprocessing and model fitting use outer-training data only; correction is cross-fitted; and λ is chosen using validation predictions. Only after these choices are frozen is the complete held-out date evaluated.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E4F5"/>
          </w:tcPr>
          <w:p>
            <w:pPr>
              <w:spacing w:before="40" w:after="40" w:line="264" w:lineRule="auto"/>
            </w:pPr>
            <w:r>
              <w:rPr>
                <w:rFonts w:ascii="Calibri" w:hAnsi="Calibri"/>
                <w:b/>
                <w:color w:val="7030A0"/>
                <w:sz w:val="22"/>
              </w:rPr>
              <w:t xml:space="preserve">Current evidence level: </w:t>
            </w:r>
            <w:r>
              <w:rPr>
                <w:rFonts w:ascii="Calibri" w:hAnsi="Calibri"/>
                <w:color w:val="1F2937"/>
                <w:sz w:val="22"/>
              </w:rPr>
              <w:t>Whole-date testing is more credible than random overlapping-window testing, but the architecture was developed after repeated inspection of the same five dates. It remains an exploratory candidate until it is frozen and tested once on untouched future dates.</w:t>
            </w:r>
          </w:p>
        </w:tc>
      </w:tr>
    </w:tbl>
    <w:p>
      <w:pPr>
        <w:keepNext w:val="0"/>
        <w:spacing w:before="0" w:after="40" w:line="264" w:lineRule="auto"/>
      </w:pPr>
    </w:p>
    <w:p>
      <w:pPr>
        <w:pStyle w:val="Heading1"/>
        <w:keepNext/>
      </w:pPr>
      <w:r>
        <w:rPr>
          <w:rFonts w:ascii="Calibri" w:hAnsi="Calibri"/>
          <w:b/>
          <w:color w:val="2E74B5"/>
          <w:sz w:val="32"/>
        </w:rPr>
        <w:t>11. Scientifically defensible interpretation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EAF2F8"/>
          </w:tcPr>
          <w:p>
            <w:r>
              <w:rPr>
                <w:rFonts w:ascii="Calibri" w:hAnsi="Calibri"/>
                <w:b/>
                <w:color w:val="17365D"/>
                <w:sz w:val="20"/>
              </w:rPr>
              <w:t>Claim status</w:t>
            </w:r>
          </w:p>
        </w:tc>
        <w:tc>
          <w:tcPr>
            <w:tcW w:type="dxa" w:w="7260"/>
            <w:vAlign w:val="center"/>
            <w:tcMar>
              <w:top w:w="80" w:type="dxa"/>
              <w:start w:w="120" w:type="dxa"/>
              <w:bottom w:w="80" w:type="dxa"/>
              <w:end w:w="120" w:type="dxa"/>
            </w:tcMar>
            <w:shd w:fill="EAF2F8"/>
          </w:tcPr>
          <w:p>
            <w:r>
              <w:rPr>
                <w:rFonts w:ascii="Calibri" w:hAnsi="Calibri"/>
                <w:b/>
                <w:color w:val="17365D"/>
                <w:sz w:val="20"/>
              </w:rPr>
              <w:t>Scientifically defensible interpretation</w:t>
            </w:r>
          </w:p>
        </w:tc>
      </w:tr>
      <w:tr>
        <w:tc>
          <w:tcPr>
            <w:tcW w:type="dxa" w:w="2100"/>
            <w:shd w:fill="E2F0D9"/>
          </w:tcPr>
          <w:p>
            <w:pPr>
              <w:spacing w:after="0" w:line="252" w:lineRule="auto"/>
            </w:pPr>
            <w:r>
              <w:rPr>
                <w:rFonts w:ascii="Calibri" w:hAnsi="Calibri"/>
                <w:b/>
                <w:color w:val="3B7D23"/>
                <w:sz w:val="19"/>
              </w:rPr>
              <w:t>Supported</w:t>
            </w:r>
          </w:p>
        </w:tc>
        <w:tc>
          <w:tcPr>
            <w:tcW w:type="dxa" w:w="7260"/>
          </w:tcPr>
          <w:p>
            <w:pPr>
              <w:spacing w:after="0" w:line="252" w:lineRule="auto"/>
            </w:pPr>
            <w:r>
              <w:rPr>
                <w:rFonts w:ascii="Calibri" w:hAnsi="Calibri"/>
                <w:color w:val="1F2937"/>
                <w:sz w:val="19"/>
              </w:rPr>
              <w:t>The model predicts roadside PM₂.₅ using an external regional baseline plus a learned local/sub-grid correction.</w:t>
            </w:r>
          </w:p>
        </w:tc>
      </w:tr>
      <w:tr>
        <w:tc>
          <w:tcPr>
            <w:tcW w:type="dxa" w:w="2100"/>
            <w:shd w:fill="E2F0D9"/>
          </w:tcPr>
          <w:p>
            <w:pPr>
              <w:spacing w:after="0" w:line="252" w:lineRule="auto"/>
            </w:pPr>
            <w:r>
              <w:rPr>
                <w:rFonts w:ascii="Calibri" w:hAnsi="Calibri"/>
                <w:b/>
                <w:color w:val="3B7D23"/>
                <w:sz w:val="19"/>
              </w:rPr>
              <w:t>Supported</w:t>
            </w:r>
          </w:p>
        </w:tc>
        <w:tc>
          <w:tcPr>
            <w:tcW w:type="dxa" w:w="7260"/>
          </w:tcPr>
          <w:p>
            <w:pPr>
              <w:spacing w:after="0" w:line="252" w:lineRule="auto"/>
            </w:pPr>
            <w:r>
              <w:rPr>
                <w:rFonts w:ascii="Calibri" w:hAnsi="Calibri"/>
                <w:color w:val="1F2937"/>
                <w:sz w:val="19"/>
              </w:rPr>
              <w:t>YOLO, road, meteorology and geospatial variables provide candidate predictors of unresolved roadside variation.</w:t>
            </w:r>
          </w:p>
        </w:tc>
      </w:tr>
      <w:tr>
        <w:tc>
          <w:tcPr>
            <w:tcW w:type="dxa" w:w="2100"/>
            <w:shd w:fill="FCE4D6"/>
          </w:tcPr>
          <w:p>
            <w:pPr>
              <w:spacing w:after="0" w:line="252" w:lineRule="auto"/>
            </w:pPr>
            <w:r>
              <w:rPr>
                <w:rFonts w:ascii="Calibri" w:hAnsi="Calibri"/>
                <w:b/>
                <w:color w:val="9B1C1C"/>
                <w:sz w:val="19"/>
              </w:rPr>
              <w:t>Not supported</w:t>
            </w:r>
          </w:p>
        </w:tc>
        <w:tc>
          <w:tcPr>
            <w:tcW w:type="dxa" w:w="7260"/>
          </w:tcPr>
          <w:p>
            <w:pPr>
              <w:spacing w:after="0" w:line="252" w:lineRule="auto"/>
            </w:pPr>
            <w:r>
              <w:rPr>
                <w:rFonts w:ascii="Calibri" w:hAnsi="Calibri"/>
                <w:color w:val="1F2937"/>
                <w:sz w:val="19"/>
              </w:rPr>
              <w:t>The model separately measures vehicle-exhaust PM₂.₅, road-dust PM₂.₅ or construction PM₂.₅.</w:t>
            </w:r>
          </w:p>
        </w:tc>
      </w:tr>
      <w:tr>
        <w:tc>
          <w:tcPr>
            <w:tcW w:type="dxa" w:w="2100"/>
            <w:shd w:fill="FCE4D6"/>
          </w:tcPr>
          <w:p>
            <w:pPr>
              <w:spacing w:after="0" w:line="252" w:lineRule="auto"/>
            </w:pPr>
            <w:r>
              <w:rPr>
                <w:rFonts w:ascii="Calibri" w:hAnsi="Calibri"/>
                <w:b/>
                <w:color w:val="9B1C1C"/>
                <w:sz w:val="19"/>
              </w:rPr>
              <w:t>Not supported</w:t>
            </w:r>
          </w:p>
        </w:tc>
        <w:tc>
          <w:tcPr>
            <w:tcW w:type="dxa" w:w="7260"/>
          </w:tcPr>
          <w:p>
            <w:pPr>
              <w:spacing w:after="0" w:line="252" w:lineRule="auto"/>
            </w:pPr>
            <w:r>
              <w:rPr>
                <w:rFonts w:ascii="Calibri" w:hAnsi="Calibri"/>
                <w:color w:val="1F2937"/>
                <w:sz w:val="19"/>
              </w:rPr>
              <w:t>Feature importance proves causality or chemical source contribution.</w:t>
            </w:r>
          </w:p>
        </w:tc>
      </w:tr>
      <w:tr>
        <w:tc>
          <w:tcPr>
            <w:tcW w:type="dxa" w:w="2100"/>
            <w:shd w:fill="EDE4F5"/>
          </w:tcPr>
          <w:p>
            <w:pPr>
              <w:spacing w:after="0" w:line="252" w:lineRule="auto"/>
            </w:pPr>
            <w:r>
              <w:rPr>
                <w:rFonts w:ascii="Calibri" w:hAnsi="Calibri"/>
                <w:b/>
                <w:color w:val="7030A0"/>
                <w:sz w:val="19"/>
              </w:rPr>
              <w:t>Required next evidence</w:t>
            </w:r>
          </w:p>
        </w:tc>
        <w:tc>
          <w:tcPr>
            <w:tcW w:type="dxa" w:w="7260"/>
          </w:tcPr>
          <w:p>
            <w:pPr>
              <w:spacing w:after="0" w:line="252" w:lineRule="auto"/>
            </w:pPr>
            <w:r>
              <w:rPr>
                <w:rFonts w:ascii="Calibri" w:hAnsi="Calibri"/>
                <w:color w:val="1F2937"/>
                <w:sz w:val="19"/>
              </w:rPr>
              <w:t>Untouched future dates, raw one-second validation around peaks and independent source-specific measurements.</w:t>
            </w:r>
          </w:p>
        </w:tc>
      </w:tr>
    </w:tbl>
    <w:p>
      <w:pPr>
        <w:pStyle w:val="Heading1"/>
        <w:keepNext/>
      </w:pPr>
      <w:r>
        <w:rPr>
          <w:rFonts w:ascii="Calibri" w:hAnsi="Calibri"/>
          <w:b/>
          <w:color w:val="2E74B5"/>
          <w:sz w:val="32"/>
        </w:rPr>
        <w:t>12. Concise explanation for discussion</w:t>
      </w:r>
    </w:p>
    <w:p>
      <w:pPr>
        <w:keepNext w:val="0"/>
        <w:spacing w:before="0" w:after="120" w:line="264" w:lineRule="auto"/>
      </w:pPr>
      <w:r>
        <w:rPr>
          <w:rFonts w:ascii="Calibri" w:hAnsi="Calibri"/>
          <w:color w:val="1F2937"/>
          <w:sz w:val="22"/>
        </w:rPr>
        <w:t>The architecture models roadside PM₂.₅ by separating regional and local scales. CAMS supplies an independently generated coarse atmospheric background. The model then predicts the difference between the roadside sensor and that background. A ResNet50–GRU branch estimates this local/sub-grid residual from a recent image sequence, while structured traffic, road, meteorological and mobility variables correct systematic temporal-model errors. An independent ExtraTrees branch estimates the same residual from explicit visual and geospatial context. The two estimates are combined with a validation-selected weight, and the CAMS background is added back to obtain final roadside PM₂.₅. Vehicle and road variables are predictive proxies rather than measured source concentrations, so the architecture predicts total roadside concentration but does not claim chemical source apportionment.</w:t>
      </w:r>
    </w:p>
    <w:sectPr w:rsidR="00FC693F" w:rsidRPr="0006063C" w:rsidSect="00034616">
      <w:headerReference w:type="default" r:id="rId9"/>
      <w:footerReference w:type="default" r:id="rId10"/>
      <w:pgSz w:w="12240" w:h="15840"/>
      <w:pgMar w:top="1123"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TECHNICAL NOTE  |  ROADSIDE PM₂.₅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Rationale and Operation of the PM2.5 Prediction Architecture</dc:title>
  <dc:subject>External atmospheric background and nested temporal-tabular local-residual ensemble</dc:subject>
  <dc:creator>Roadside PM Visual Intelligence Project</dc:creator>
  <cp:keywords>PM2.5, CAMS, ResNet50, GRU, ExtraTrees, roadside air pollution</cp:keywords>
  <dc:description>Prepared for academic technical review.</dc:description>
  <cp:lastModifiedBy/>
  <cp:revision>1</cp:revision>
  <dcterms:created xsi:type="dcterms:W3CDTF">2013-12-23T23:15:00Z</dcterms:created>
  <dcterms:modified xsi:type="dcterms:W3CDTF">2013-12-23T23:15:00Z</dcterms:modified>
  <cp:category/>
</cp:coreProperties>
</file>