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rFonts w:ascii="Times New Roman" w:cs="Times New Roman" w:eastAsia="Times New Roman" w:hAnsi="Times New Roman"/>
          <w:b/>
          <w:bCs/>
          <w:sz w:val="56"/>
          <w:szCs w:val="56"/>
        </w:rPr>
        <w:t xml:space="preserve">SilenceBreaker</w:t>
      </w:r>
    </w:p>
    <w:p>
      <w:pPr>
        <w:spacing w:after="400" w:line="360"/>
        <w:jc w:val="center"/>
      </w:pPr>
      <w:r>
        <w:rPr>
          <w:rFonts w:ascii="Times New Roman" w:cs="Times New Roman" w:eastAsia="Times New Roman" w:hAnsi="Times New Roman"/>
          <w:i/>
          <w:iCs/>
          <w:sz w:val="28"/>
          <w:szCs w:val="28"/>
        </w:rPr>
        <w:t xml:space="preserve">A Multi-Agent, Risk-Aware, Retrieval-Augmented Support Assistant for Abuse-Related Help-Seeking</w:t>
      </w:r>
    </w:p>
    <w:p>
      <w:pPr>
        <w:spacing w:after="120" w:line="360"/>
        <w:jc w:val="center"/>
      </w:pPr>
      <w:r>
        <w:rPr>
          <w:rFonts w:ascii="Times New Roman" w:cs="Times New Roman" w:eastAsia="Times New Roman" w:hAnsi="Times New Roman"/>
          <w:b/>
          <w:bCs/>
          <w:sz w:val="26"/>
          <w:szCs w:val="26"/>
        </w:rPr>
        <w:t xml:space="preserve">Advanced Artificial Intelligence — Group Project 2026</w:t>
      </w:r>
    </w:p>
    <w:p>
      <w:pPr>
        <w:spacing w:after="600" w:line="360"/>
        <w:jc w:val="center"/>
      </w:pPr>
      <w:r>
        <w:rPr>
          <w:rFonts w:ascii="Times New Roman" w:cs="Times New Roman" w:eastAsia="Times New Roman" w:hAnsi="Times New Roman"/>
          <w:sz w:val="24"/>
          <w:szCs w:val="24"/>
        </w:rPr>
        <w:t xml:space="preserve">Final Project Report</w:t>
      </w:r>
    </w:p>
    <w:p>
      <w:pPr>
        <w:spacing w:after="80" w:line="360"/>
        <w:jc w:val="center"/>
      </w:pPr>
      <w:r>
        <w:rPr>
          <w:rFonts w:ascii="Times New Roman" w:cs="Times New Roman" w:eastAsia="Times New Roman" w:hAnsi="Times New Roman"/>
          <w:sz w:val="24"/>
          <w:szCs w:val="24"/>
        </w:rPr>
        <w:t xml:space="preserve">Group: [Your Group Number]</w:t>
      </w:r>
    </w:p>
    <w:p>
      <w:pPr>
        <w:spacing w:after="80" w:line="360"/>
        <w:jc w:val="center"/>
      </w:pPr>
      <w:r>
        <w:rPr>
          <w:rFonts w:ascii="Times New Roman" w:cs="Times New Roman" w:eastAsia="Times New Roman" w:hAnsi="Times New Roman"/>
          <w:sz w:val="24"/>
          <w:szCs w:val="24"/>
        </w:rPr>
        <w:t xml:space="preserve">Members: [Name 1], [Name 2], [Name 3], [Name 4]</w:t>
      </w:r>
    </w:p>
    <w:p>
      <w:pPr>
        <w:spacing w:after="80" w:line="360"/>
        <w:jc w:val="center"/>
      </w:pPr>
      <w:r>
        <w:rPr>
          <w:rFonts w:ascii="Times New Roman" w:cs="Times New Roman" w:eastAsia="Times New Roman" w:hAnsi="Times New Roman"/>
          <w:sz w:val="24"/>
          <w:szCs w:val="24"/>
        </w:rPr>
        <w:t xml:space="preserve">Index Numbers: [____], [____], [____], [____]</w:t>
      </w:r>
    </w:p>
    <w:p>
      <w:pPr>
        <w:spacing w:after="600" w:line="360"/>
        <w:jc w:val="center"/>
      </w:pPr>
      <w:r>
        <w:rPr>
          <w:rFonts w:ascii="Times New Roman" w:cs="Times New Roman" w:eastAsia="Times New Roman" w:hAnsi="Times New Roman"/>
          <w:sz w:val="24"/>
          <w:szCs w:val="24"/>
        </w:rPr>
        <w:t xml:space="preserve">[Department / University Name]</w:t>
      </w:r>
    </w:p>
    <w:p>
      <w:pPr>
        <w:spacing w:line="360"/>
        <w:jc w:val="center"/>
      </w:pPr>
      <w:r>
        <w:rPr>
          <w:rFonts w:ascii="Times New Roman" w:cs="Times New Roman" w:eastAsia="Times New Roman" w:hAnsi="Times New Roman"/>
          <w:sz w:val="24"/>
          <w:szCs w:val="24"/>
        </w:rPr>
        <w:t xml:space="preserve">Date: ____________</w:t>
      </w:r>
    </w:p>
    <w:p>
      <w:r>
        <w:br w:type="page"/>
      </w:r>
    </w:p>
    <w:p>
      <w:pPr>
        <w:sectPr>
          <w:pgSz w:w="11906" w:h="16838" w:orient="portrait"/>
          <w:pgMar w:top="1440" w:right="1440" w:bottom="1440" w:left="1440" w:header="708" w:footer="708" w:gutter="0"/>
          <w:pgNumType/>
          <w:docGrid w:linePitch="360"/>
        </w:sectPr>
      </w:pPr>
    </w:p>
    <w:p>
      <w:pPr>
        <w:pStyle w:val="Heading1"/>
        <w:spacing w:after="160" w:before="240" w:line="360"/>
      </w:pPr>
      <w:r>
        <w:rPr>
          <w:rFonts w:ascii="Times New Roman" w:cs="Times New Roman" w:eastAsia="Times New Roman" w:hAnsi="Times New Roman"/>
          <w:b/>
          <w:bCs/>
          <w:sz w:val="30"/>
          <w:szCs w:val="30"/>
        </w:rPr>
        <w:t xml:space="preserve">Executive Summary</w:t>
      </w:r>
    </w:p>
    <w:p>
      <w:pPr>
        <w:shd w:fill="FCE9E9" w:color="auto" w:val="clear"/>
        <w:spacing w:after="200" w:before="120" w:line="360"/>
      </w:pPr>
      <w:r>
        <w:rPr>
          <w:rFonts w:ascii="Times New Roman" w:cs="Times New Roman" w:eastAsia="Times New Roman" w:hAnsi="Times New Roman"/>
          <w:b/>
          <w:bCs/>
          <w:sz w:val="22"/>
          <w:szCs w:val="22"/>
        </w:rPr>
        <w:t xml:space="preserve">Ethical scope. </w:t>
      </w:r>
      <w:r>
        <w:rPr>
          <w:rFonts w:ascii="Times New Roman" w:cs="Times New Roman" w:eastAsia="Times New Roman" w:hAnsi="Times New Roman"/>
          <w:sz w:val="22"/>
          <w:szCs w:val="22"/>
        </w:rPr>
        <w:t xml:space="preserve">SilenceBreaker is an academic prototype. It is an information and triage tool only. It does not provide legal, medical, or professional advice, does not diagnose, and is not a substitute for emergency services. High-risk inputs are routed to seek immediate local help. It does not store personal user data.</w:t>
      </w:r>
    </w:p>
    <w:p>
      <w:pPr>
        <w:spacing w:after="120" w:line="360"/>
        <w:jc w:val="both"/>
      </w:pPr>
      <w:r>
        <w:rPr>
          <w:rFonts w:ascii="Times New Roman" w:cs="Times New Roman" w:eastAsia="Times New Roman" w:hAnsi="Times New Roman"/>
          <w:sz w:val="24"/>
          <w:szCs w:val="24"/>
        </w:rPr>
        <w:t xml:space="preserve">Many people who experience domestic abuse or workplace harassment struggle to find clear, trustworthy, and understandable guidance at the moment they need it. Support information is often fragmented across many sources, written in complex language, and difficult to navigate safely. SilenceBreaker addresses this gap with a multi-agent artificial intelligence prototype that interprets a person's free-text description of their situation, retrieves verified support information, and generates calm, evidence-grounded guidance with an automatic risk-escalation flag.</w:t>
      </w:r>
    </w:p>
    <w:p>
      <w:pPr>
        <w:spacing w:after="120" w:line="360"/>
        <w:jc w:val="both"/>
      </w:pPr>
      <w:r>
        <w:rPr>
          <w:rFonts w:ascii="Times New Roman" w:cs="Times New Roman" w:eastAsia="Times New Roman" w:hAnsi="Times New Roman"/>
          <w:sz w:val="24"/>
          <w:szCs w:val="24"/>
        </w:rPr>
        <w:t xml:space="preserve">The system is built as a pipeline of four cooperating agents. A Situation Listener performs natural-language understanding to classify the type of concern and estimate the person's distress level. A Retriever uses sentence embeddings and a vector database to fetch the most relevant material from a curated knowledge base (retrieval-augmented generation, or RAG). A Risk Evaluator combines distress signals with danger-indicating language to assign a low, medium, or high escalation level. Finally, a Safety Planner uses a large language model (LLM), constrained by careful prompt engineering, to produce a supportive response grounded only in the retrieved evidence.</w:t>
      </w:r>
    </w:p>
    <w:p>
      <w:pPr>
        <w:spacing w:after="120" w:line="360"/>
        <w:jc w:val="both"/>
      </w:pPr>
      <w:r>
        <w:rPr>
          <w:rFonts w:ascii="Times New Roman" w:cs="Times New Roman" w:eastAsia="Times New Roman" w:hAnsi="Times New Roman"/>
          <w:sz w:val="24"/>
          <w:szCs w:val="24"/>
        </w:rPr>
        <w:t xml:space="preserve">The project applies five techniques from the Advanced AI module — NLP pre-processing and classification, transformer-based models, embeddings/RAG, prompt engineering, and few-shot in-context learning — exceeding the minimum requirement of three. It is evaluated quantitatively (classification metrics, retrieval precision, response faithfulness) and through an ablation study comparing a plain LLM, a RAG chatbot, and the full multi-agent system. The deliverables include a documented, reproducible codebase, a Streamlit demonstration application, and this report. The contribution is a defensible combination of emotion-aware intake, retrieval of verified support knowledge, and structured, safety-oriented response generation.</w:t>
      </w:r>
    </w:p>
    <w:p>
      <w:r>
        <w:br w:type="page"/>
      </w:r>
    </w:p>
    <w:p>
      <w:pPr>
        <w:pStyle w:val="Heading1"/>
        <w:spacing w:after="160" w:before="240" w:line="360"/>
      </w:pPr>
      <w:r>
        <w:rPr>
          <w:rFonts w:ascii="Times New Roman" w:cs="Times New Roman" w:eastAsia="Times New Roman" w:hAnsi="Times New Roman"/>
          <w:b/>
          <w:bCs/>
          <w:sz w:val="30"/>
          <w:szCs w:val="30"/>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240" w:line="360"/>
      </w:pPr>
      <w:r>
        <w:rPr>
          <w:rFonts w:ascii="Times New Roman" w:cs="Times New Roman" w:eastAsia="Times New Roman" w:hAnsi="Times New Roman"/>
          <w:b/>
          <w:bCs/>
          <w:sz w:val="30"/>
          <w:szCs w:val="30"/>
        </w:rPr>
        <w:t xml:space="preserve">1. Problem Statement and Motivation</w:t>
      </w:r>
    </w:p>
    <w:p>
      <w:pPr>
        <w:spacing w:after="120" w:line="360"/>
        <w:jc w:val="both"/>
      </w:pPr>
      <w:r>
        <w:rPr>
          <w:rFonts w:ascii="Times New Roman" w:cs="Times New Roman" w:eastAsia="Times New Roman" w:hAnsi="Times New Roman"/>
          <w:sz w:val="24"/>
          <w:szCs w:val="24"/>
        </w:rPr>
        <w:t xml:space="preserve">Abuse and harassment are widespread and often hidden. People affected frequently face three practical barriers when they look for help. First, information overload: relevant guidance is scattered across government pages, NGO sites, and policy documents, often in legal or bureaucratic language. Second, safety and privacy concerns: searching for help can itself be risky if a device is monitored, and generic search engines do not consider escalation or urgency. Third, emotional load: a person in distress needs calm, structured, non-judgmental guidance rather than a wall of links.</w:t>
      </w:r>
    </w:p>
    <w:p>
      <w:pPr>
        <w:spacing w:after="120" w:line="360"/>
        <w:jc w:val="both"/>
      </w:pPr>
      <w:r>
        <w:rPr>
          <w:rFonts w:ascii="Times New Roman" w:cs="Times New Roman" w:eastAsia="Times New Roman" w:hAnsi="Times New Roman"/>
          <w:sz w:val="24"/>
          <w:szCs w:val="24"/>
        </w:rPr>
        <w:t xml:space="preserve">Generic chatbots are a poor fit for this problem. They may hallucinate facts, give overconfident or unsafe advice, fail to recognise urgent situations, or adopt an inappropriate tone. A responsible system must instead ground its statements in verified material, refuse to make legal or medical judgments, and reliably flag high-risk situations for immediate human help.</w:t>
      </w:r>
    </w:p>
    <w:p>
      <w:pPr>
        <w:pStyle w:val="Heading2"/>
        <w:spacing w:after="120" w:before="180" w:line="360"/>
      </w:pPr>
      <w:r>
        <w:rPr>
          <w:rFonts w:ascii="Times New Roman" w:cs="Times New Roman" w:eastAsia="Times New Roman" w:hAnsi="Times New Roman"/>
          <w:b/>
          <w:bCs/>
          <w:sz w:val="27"/>
          <w:szCs w:val="27"/>
        </w:rPr>
        <w:t xml:space="preserve">1.1 Aim and Objectives</w:t>
      </w:r>
    </w:p>
    <w:p>
      <w:pPr>
        <w:spacing w:after="120" w:line="360"/>
        <w:jc w:val="both"/>
      </w:pPr>
      <w:r>
        <w:rPr>
          <w:rFonts w:ascii="Times New Roman" w:cs="Times New Roman" w:eastAsia="Times New Roman" w:hAnsi="Times New Roman"/>
          <w:sz w:val="24"/>
          <w:szCs w:val="24"/>
        </w:rPr>
        <w:t xml:space="preserve">The aim of this project is to design and build a safe, evidence-grounded prototype that organises support information and triages urgency, without replacing professional or emergency services. The objectives are:</w:t>
      </w:r>
    </w:p>
    <w:p>
      <w:pPr>
        <w:pStyle w:val="ListParagraph"/>
        <w:numPr>
          <w:ilvl w:val="0"/>
          <w:numId w:val="2"/>
        </w:numPr>
        <w:spacing w:after="60" w:line="360"/>
      </w:pPr>
      <w:r>
        <w:rPr>
          <w:rFonts w:ascii="Times New Roman" w:cs="Times New Roman" w:eastAsia="Times New Roman" w:hAnsi="Times New Roman"/>
          <w:sz w:val="24"/>
          <w:szCs w:val="24"/>
        </w:rPr>
        <w:t xml:space="preserve">To classify a free-text situation into an abuse-related category and estimate distress.</w:t>
      </w:r>
    </w:p>
    <w:p>
      <w:pPr>
        <w:pStyle w:val="ListParagraph"/>
        <w:numPr>
          <w:ilvl w:val="0"/>
          <w:numId w:val="2"/>
        </w:numPr>
        <w:spacing w:after="60" w:line="360"/>
      </w:pPr>
      <w:r>
        <w:rPr>
          <w:rFonts w:ascii="Times New Roman" w:cs="Times New Roman" w:eastAsia="Times New Roman" w:hAnsi="Times New Roman"/>
          <w:sz w:val="24"/>
          <w:szCs w:val="24"/>
        </w:rPr>
        <w:t xml:space="preserve">To retrieve verified, relevant support information from a curated knowledge base.</w:t>
      </w:r>
    </w:p>
    <w:p>
      <w:pPr>
        <w:pStyle w:val="ListParagraph"/>
        <w:numPr>
          <w:ilvl w:val="0"/>
          <w:numId w:val="2"/>
        </w:numPr>
        <w:spacing w:after="60" w:line="360"/>
      </w:pPr>
      <w:r>
        <w:rPr>
          <w:rFonts w:ascii="Times New Roman" w:cs="Times New Roman" w:eastAsia="Times New Roman" w:hAnsi="Times New Roman"/>
          <w:sz w:val="24"/>
          <w:szCs w:val="24"/>
        </w:rPr>
        <w:t xml:space="preserve">To generate supportive, grounded guidance constrained by prompt engineering and safety rules.</w:t>
      </w:r>
    </w:p>
    <w:p>
      <w:pPr>
        <w:pStyle w:val="ListParagraph"/>
        <w:numPr>
          <w:ilvl w:val="0"/>
          <w:numId w:val="2"/>
        </w:numPr>
        <w:spacing w:after="60" w:line="360"/>
      </w:pPr>
      <w:r>
        <w:rPr>
          <w:rFonts w:ascii="Times New Roman" w:cs="Times New Roman" w:eastAsia="Times New Roman" w:hAnsi="Times New Roman"/>
          <w:sz w:val="24"/>
          <w:szCs w:val="24"/>
        </w:rPr>
        <w:t xml:space="preserve">To detect high-risk situations and surface an urgent help message.</w:t>
      </w:r>
    </w:p>
    <w:p>
      <w:pPr>
        <w:pStyle w:val="ListParagraph"/>
        <w:numPr>
          <w:ilvl w:val="0"/>
          <w:numId w:val="2"/>
        </w:numPr>
        <w:spacing w:after="60" w:line="360"/>
      </w:pPr>
      <w:r>
        <w:rPr>
          <w:rFonts w:ascii="Times New Roman" w:cs="Times New Roman" w:eastAsia="Times New Roman" w:hAnsi="Times New Roman"/>
          <w:sz w:val="24"/>
          <w:szCs w:val="24"/>
        </w:rPr>
        <w:t xml:space="preserve">To evaluate the system quantitatively and against simpler baselines.</w:t>
      </w:r>
    </w:p>
    <w:p>
      <w:pPr>
        <w:pStyle w:val="Heading2"/>
        <w:spacing w:after="120" w:before="180" w:line="360"/>
      </w:pPr>
      <w:r>
        <w:rPr>
          <w:rFonts w:ascii="Times New Roman" w:cs="Times New Roman" w:eastAsia="Times New Roman" w:hAnsi="Times New Roman"/>
          <w:b/>
          <w:bCs/>
          <w:sz w:val="27"/>
          <w:szCs w:val="27"/>
        </w:rPr>
        <w:t xml:space="preserve">1.2 Scope</w:t>
      </w:r>
    </w:p>
    <w:p>
      <w:pPr>
        <w:spacing w:after="120" w:line="360"/>
        <w:jc w:val="both"/>
      </w:pPr>
      <w:r>
        <w:rPr>
          <w:rFonts w:ascii="Times New Roman" w:cs="Times New Roman" w:eastAsia="Times New Roman" w:hAnsi="Times New Roman"/>
          <w:sz w:val="24"/>
          <w:szCs w:val="24"/>
        </w:rPr>
        <w:t xml:space="preserve">The prototype is deliberately narrow to keep it safe and achievable: two domains (domestic abuse and workplace harassment, plus a coercive-control and a non-abuse category), English language only, and text input only. It is an information tool, not a diagnostic or legal service.</w:t>
      </w:r>
    </w:p>
    <w:p>
      <w:pPr>
        <w:pStyle w:val="Heading1"/>
        <w:spacing w:after="160" w:before="240" w:line="360"/>
      </w:pPr>
      <w:r>
        <w:rPr>
          <w:rFonts w:ascii="Times New Roman" w:cs="Times New Roman" w:eastAsia="Times New Roman" w:hAnsi="Times New Roman"/>
          <w:b/>
          <w:bCs/>
          <w:sz w:val="30"/>
          <w:szCs w:val="30"/>
        </w:rPr>
        <w:t xml:space="preserve">2. Literature Review</w:t>
      </w:r>
    </w:p>
    <w:p>
      <w:pPr>
        <w:spacing w:after="120" w:line="360"/>
        <w:jc w:val="both"/>
      </w:pPr>
      <w:r>
        <w:rPr>
          <w:rFonts w:ascii="Times New Roman" w:cs="Times New Roman" w:eastAsia="Times New Roman" w:hAnsi="Times New Roman"/>
          <w:sz w:val="24"/>
          <w:szCs w:val="24"/>
        </w:rPr>
        <w:t xml:space="preserve">This project draws on four established strands of work: text classification for harmful and affective language, the transformer architecture and pre-trained language models, retrieval-augmented generation, and multi-agent LLM orchestration.</w:t>
      </w:r>
    </w:p>
    <w:p>
      <w:pPr>
        <w:pStyle w:val="Heading2"/>
        <w:spacing w:after="120" w:before="180" w:line="360"/>
      </w:pPr>
      <w:r>
        <w:rPr>
          <w:rFonts w:ascii="Times New Roman" w:cs="Times New Roman" w:eastAsia="Times New Roman" w:hAnsi="Times New Roman"/>
          <w:b/>
          <w:bCs/>
          <w:sz w:val="27"/>
          <w:szCs w:val="27"/>
        </w:rPr>
        <w:t xml:space="preserve">2.1 Affective and Harmful-Language Classification</w:t>
      </w:r>
    </w:p>
    <w:p>
      <w:pPr>
        <w:spacing w:after="120" w:line="360"/>
        <w:jc w:val="both"/>
      </w:pPr>
      <w:r>
        <w:rPr>
          <w:rFonts w:ascii="Times New Roman" w:cs="Times New Roman" w:eastAsia="Times New Roman" w:hAnsi="Times New Roman"/>
          <w:sz w:val="24"/>
          <w:szCs w:val="24"/>
        </w:rPr>
        <w:t xml:space="preserve">Emotion recognition from text is a mature NLP task. Saravia et al. (2018) introduced the CARER approach and an associated dataset of English messages labelled with six basic emotions, which is widely used for fine-tuning classifiers. For harmful language, the Conversation AI initiative released the Jigsaw Toxic Comment corpus of Wikipedia comments labelled for toxicity, threats, insults, and identity-based hate; it has become a standard benchmark for detecting abusive online text. These resources let us train a distress estimator and an abuse detector respectively.</w:t>
      </w:r>
    </w:p>
    <w:p>
      <w:pPr>
        <w:pStyle w:val="Heading2"/>
        <w:spacing w:after="120" w:before="180" w:line="360"/>
      </w:pPr>
      <w:r>
        <w:rPr>
          <w:rFonts w:ascii="Times New Roman" w:cs="Times New Roman" w:eastAsia="Times New Roman" w:hAnsi="Times New Roman"/>
          <w:b/>
          <w:bCs/>
          <w:sz w:val="27"/>
          <w:szCs w:val="27"/>
        </w:rPr>
        <w:t xml:space="preserve">2.2 Transformers and Pre-trained Language Models</w:t>
      </w:r>
    </w:p>
    <w:p>
      <w:pPr>
        <w:spacing w:after="120" w:line="360"/>
        <w:jc w:val="both"/>
      </w:pPr>
      <w:r>
        <w:rPr>
          <w:rFonts w:ascii="Times New Roman" w:cs="Times New Roman" w:eastAsia="Times New Roman" w:hAnsi="Times New Roman"/>
          <w:sz w:val="24"/>
          <w:szCs w:val="24"/>
        </w:rPr>
        <w:t xml:space="preserve">The transformer architecture (Vaswani et al., 2017) replaced recurrence with self-attention and underpins modern NLP. BERT (Devlin et al., 2019) showed that bidirectional pre-training followed by fine-tuning achieves strong results across tasks; RoBERTa (Liu et al., 2019) improved the training recipe, and DistilBERT (Sanh et al., 2019) offers a smaller, faster variant well suited to coursework hardware. We fine-tune DistilBERT for binary abuse detection and use a distilled emotion model for distress.</w:t>
      </w:r>
    </w:p>
    <w:p>
      <w:pPr>
        <w:pStyle w:val="Heading2"/>
        <w:spacing w:after="120" w:before="180" w:line="360"/>
      </w:pPr>
      <w:r>
        <w:rPr>
          <w:rFonts w:ascii="Times New Roman" w:cs="Times New Roman" w:eastAsia="Times New Roman" w:hAnsi="Times New Roman"/>
          <w:b/>
          <w:bCs/>
          <w:sz w:val="27"/>
          <w:szCs w:val="27"/>
        </w:rPr>
        <w:t xml:space="preserve">2.3 Embeddings and Retrieval-Augmented Generation</w:t>
      </w:r>
    </w:p>
    <w:p>
      <w:pPr>
        <w:spacing w:after="120" w:line="360"/>
        <w:jc w:val="both"/>
      </w:pPr>
      <w:r>
        <w:rPr>
          <w:rFonts w:ascii="Times New Roman" w:cs="Times New Roman" w:eastAsia="Times New Roman" w:hAnsi="Times New Roman"/>
          <w:sz w:val="24"/>
          <w:szCs w:val="24"/>
        </w:rPr>
        <w:t xml:space="preserve">Sentence-BERT (Reimers &amp; Gurevych, 2019) produces sentence embeddings whose cosine similarity reflects semantic closeness, enabling efficient semantic search. FAISS (Johnson et al., 2019) provides fast similarity search over such vectors. Retrieval-augmented generation (Lewis et al., 2020) couples a retriever with a generator so that outputs are grounded in retrieved documents, which reduces hallucination — a critical property for a safety-sensitive assistant.</w:t>
      </w:r>
    </w:p>
    <w:p>
      <w:pPr>
        <w:pStyle w:val="Heading2"/>
        <w:spacing w:after="120" w:before="180" w:line="360"/>
      </w:pPr>
      <w:r>
        <w:rPr>
          <w:rFonts w:ascii="Times New Roman" w:cs="Times New Roman" w:eastAsia="Times New Roman" w:hAnsi="Times New Roman"/>
          <w:b/>
          <w:bCs/>
          <w:sz w:val="27"/>
          <w:szCs w:val="27"/>
        </w:rPr>
        <w:t xml:space="preserve">2.4 Few-Shot Prompting and Multi-Agent LLM Systems</w:t>
      </w:r>
    </w:p>
    <w:p>
      <w:pPr>
        <w:spacing w:after="120" w:line="360"/>
        <w:jc w:val="both"/>
      </w:pPr>
      <w:r>
        <w:rPr>
          <w:rFonts w:ascii="Times New Roman" w:cs="Times New Roman" w:eastAsia="Times New Roman" w:hAnsi="Times New Roman"/>
          <w:sz w:val="24"/>
          <w:szCs w:val="24"/>
        </w:rPr>
        <w:t xml:space="preserve">Large language models exhibit strong few-shot, in-context learning (Brown et al., 2020): providing a handful of labelled examples in the prompt lets the model perform new tasks without parameter updates. Recent practice decomposes complex tasks into cooperating agents orchestrated as a graph; frameworks such as LangGraph make this flow explicit. SilenceBreaker adopts this pattern: distinct agents for understanding, retrieval, risk, and generation, each with a focused responsibility.</w:t>
      </w:r>
    </w:p>
    <w:p>
      <w:pPr>
        <w:pStyle w:val="Heading2"/>
        <w:spacing w:after="120" w:before="180" w:line="360"/>
      </w:pPr>
      <w:r>
        <w:rPr>
          <w:rFonts w:ascii="Times New Roman" w:cs="Times New Roman" w:eastAsia="Times New Roman" w:hAnsi="Times New Roman"/>
          <w:b/>
          <w:bCs/>
          <w:sz w:val="27"/>
          <w:szCs w:val="27"/>
        </w:rPr>
        <w:t xml:space="preserve">2.5 Research Gap</w:t>
      </w:r>
    </w:p>
    <w:p>
      <w:pPr>
        <w:spacing w:after="120" w:line="360"/>
        <w:jc w:val="both"/>
      </w:pPr>
      <w:r>
        <w:rPr>
          <w:rFonts w:ascii="Times New Roman" w:cs="Times New Roman" w:eastAsia="Times New Roman" w:hAnsi="Times New Roman"/>
          <w:sz w:val="24"/>
          <w:szCs w:val="24"/>
        </w:rPr>
        <w:t xml:space="preserve">While the individual components are well studied, few accessible prototypes combine emotion-aware intake, retrieval of verified support knowledge, explicit risk escalation, and grounded, safety-constrained generation for abuse-related help-seeking. SilenceBreaker targets this gap, framed strictly as an information tool rather than a professional service.</w:t>
      </w:r>
    </w:p>
    <w:p>
      <w:pPr>
        <w:pStyle w:val="Heading1"/>
        <w:spacing w:after="160" w:before="240" w:line="360"/>
      </w:pPr>
      <w:r>
        <w:rPr>
          <w:rFonts w:ascii="Times New Roman" w:cs="Times New Roman" w:eastAsia="Times New Roman" w:hAnsi="Times New Roman"/>
          <w:b/>
          <w:bCs/>
          <w:sz w:val="30"/>
          <w:szCs w:val="30"/>
        </w:rPr>
        <w:t xml:space="preserve">3. Methodology</w:t>
      </w:r>
    </w:p>
    <w:p>
      <w:pPr>
        <w:spacing w:after="120" w:line="360"/>
        <w:jc w:val="both"/>
      </w:pPr>
      <w:r>
        <w:rPr>
          <w:rFonts w:ascii="Times New Roman" w:cs="Times New Roman" w:eastAsia="Times New Roman" w:hAnsi="Times New Roman"/>
          <w:sz w:val="24"/>
          <w:szCs w:val="24"/>
        </w:rPr>
        <w:t xml:space="preserve">SilenceBreaker is a four-agent pipeline. Each agent has a single responsibility, which improves transparency, testability, and safety. The agents pass a shared state object through a directed graph: Listener to Retriever to Risk to Planner.</w:t>
      </w:r>
    </w:p>
    <w:p>
      <w:pPr>
        <w:pStyle w:val="Heading2"/>
        <w:spacing w:after="120" w:before="180" w:line="360"/>
      </w:pPr>
      <w:r>
        <w:rPr>
          <w:rFonts w:ascii="Times New Roman" w:cs="Times New Roman" w:eastAsia="Times New Roman" w:hAnsi="Times New Roman"/>
          <w:b/>
          <w:bCs/>
          <w:sz w:val="27"/>
          <w:szCs w:val="27"/>
        </w:rPr>
        <w:t xml:space="preserve">3.1 AI Techniques Mapped to Modules</w:t>
      </w:r>
    </w:p>
    <w:p>
      <w:pPr>
        <w:spacing w:after="120" w:line="360"/>
        <w:jc w:val="both"/>
      </w:pPr>
      <w:r>
        <w:rPr>
          <w:rFonts w:ascii="Times New Roman" w:cs="Times New Roman" w:eastAsia="Times New Roman" w:hAnsi="Times New Roman"/>
          <w:sz w:val="24"/>
          <w:szCs w:val="24"/>
        </w:rPr>
        <w:t xml:space="preserve">The project applies five Advanced AI techniques. Table 1 maps each to a module, satisfying (and exceeding) the requirement of at least three.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999999" w:sz="1"/>
              <w:left w:val="single" w:color="999999" w:sz="1"/>
              <w:bottom w:val="single" w:color="999999" w:sz="1"/>
              <w:right w:val="single" w:color="999999" w:sz="1"/>
            </w:tcBorders>
            <w:shd w:fill="D9E2F3" w:color="auto" w:val="clear"/>
            <w:tcMar>
              <w:top w:type="dxa" w:w="60"/>
              <w:left w:type="dxa" w:w="100"/>
              <w:bottom w:type="dxa" w:w="60"/>
              <w:right w:type="dxa" w:w="100"/>
            </w:tcMar>
            <w:vAlign w:val="center"/>
          </w:tcPr>
          <w:p>
            <w:pPr>
              <w:spacing w:line="240"/>
            </w:pPr>
            <w:r>
              <w:rPr>
                <w:rFonts w:ascii="Times New Roman" w:cs="Times New Roman" w:eastAsia="Times New Roman" w:hAnsi="Times New Roman"/>
                <w:b/>
                <w:bCs/>
                <w:sz w:val="22"/>
                <w:szCs w:val="22"/>
              </w:rPr>
              <w:t xml:space="preserve">Module</w:t>
            </w:r>
          </w:p>
        </w:tc>
        <w:tc>
          <w:tcPr>
            <w:tcW w:type="dxa" w:w="6426"/>
            <w:tcBorders>
              <w:top w:val="single" w:color="999999" w:sz="1"/>
              <w:left w:val="single" w:color="999999" w:sz="1"/>
              <w:bottom w:val="single" w:color="999999" w:sz="1"/>
              <w:right w:val="single" w:color="999999" w:sz="1"/>
            </w:tcBorders>
            <w:shd w:fill="D9E2F3" w:color="auto" w:val="clear"/>
            <w:tcMar>
              <w:top w:type="dxa" w:w="60"/>
              <w:left w:type="dxa" w:w="100"/>
              <w:bottom w:type="dxa" w:w="60"/>
              <w:right w:type="dxa" w:w="100"/>
            </w:tcMar>
            <w:vAlign w:val="center"/>
          </w:tcPr>
          <w:p>
            <w:pPr>
              <w:spacing w:line="240"/>
            </w:pPr>
            <w:r>
              <w:rPr>
                <w:rFonts w:ascii="Times New Roman" w:cs="Times New Roman" w:eastAsia="Times New Roman" w:hAnsi="Times New Roman"/>
                <w:b/>
                <w:bCs/>
                <w:sz w:val="22"/>
                <w:szCs w:val="22"/>
              </w:rPr>
              <w:t xml:space="preserve">AI technique(s) applied</w:t>
            </w:r>
          </w:p>
        </w:tc>
      </w:tr>
      <w:tr>
        <w:trPr>
          <w:tblHeader w:val="false"/>
        </w:trP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Situation Listener</w:t>
            </w:r>
          </w:p>
        </w:tc>
        <w:tc>
          <w:tcPr>
            <w:tcW w:type="dxa" w:w="64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NLP pre-processing; transformer classification (DistilBERT) for abuse; distilled transformer for emotion/distress</w:t>
            </w:r>
          </w:p>
        </w:tc>
      </w:tr>
      <w:tr>
        <w:trPr>
          <w:tblHeader w:val="false"/>
        </w:trP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Category head</w:t>
            </w:r>
          </w:p>
        </w:tc>
        <w:tc>
          <w:tcPr>
            <w:tcW w:type="dxa" w:w="64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Few-shot / in-context learning with an LLM</w:t>
            </w:r>
          </w:p>
        </w:tc>
      </w:tr>
      <w:tr>
        <w:trPr>
          <w:tblHeader w:val="false"/>
        </w:trP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Retriever</w:t>
            </w:r>
          </w:p>
        </w:tc>
        <w:tc>
          <w:tcPr>
            <w:tcW w:type="dxa" w:w="64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Sentence embeddings (Sentence-BERT) + vector search (FAISS) — RAG</w:t>
            </w:r>
          </w:p>
        </w:tc>
      </w:tr>
      <w:tr>
        <w:trPr>
          <w:tblHeader w:val="false"/>
        </w:trP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Safety Planner</w:t>
            </w:r>
          </w:p>
        </w:tc>
        <w:tc>
          <w:tcPr>
            <w:tcW w:type="dxa" w:w="64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LLM generation with systematic prompt engineering and grounding</w:t>
            </w:r>
          </w:p>
        </w:tc>
      </w:tr>
      <w:tr>
        <w:trPr>
          <w:tblHeader w:val="false"/>
        </w:trP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Risk Evaluator</w:t>
            </w:r>
          </w:p>
        </w:tc>
        <w:tc>
          <w:tcPr>
            <w:tcW w:type="dxa" w:w="64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Rule-based reasoning combined with the distress classifier signal</w:t>
            </w:r>
          </w:p>
        </w:tc>
      </w:tr>
    </w:tbl>
    <w:p>
      <w:pPr>
        <w:spacing w:after="160" w:before="60" w:line="240"/>
        <w:jc w:val="center"/>
      </w:pPr>
      <w:r>
        <w:rPr>
          <w:rFonts w:ascii="Times New Roman" w:cs="Times New Roman" w:eastAsia="Times New Roman" w:hAnsi="Times New Roman"/>
          <w:i/>
          <w:iCs/>
          <w:sz w:val="20"/>
          <w:szCs w:val="20"/>
        </w:rPr>
        <w:t xml:space="preserve">Table 1. AI techniques applied in each module.</w:t>
      </w:r>
    </w:p>
    <w:p>
      <w:pPr>
        <w:pStyle w:val="Heading2"/>
        <w:spacing w:after="120" w:before="180" w:line="360"/>
      </w:pPr>
      <w:r>
        <w:rPr>
          <w:rFonts w:ascii="Times New Roman" w:cs="Times New Roman" w:eastAsia="Times New Roman" w:hAnsi="Times New Roman"/>
          <w:b/>
          <w:bCs/>
          <w:sz w:val="27"/>
          <w:szCs w:val="27"/>
        </w:rPr>
        <w:t xml:space="preserve">3.2 Agent 1 — Situation Listener</w:t>
      </w:r>
    </w:p>
    <w:p>
      <w:pPr>
        <w:spacing w:after="120" w:line="360"/>
        <w:jc w:val="both"/>
      </w:pPr>
      <w:r>
        <w:rPr>
          <w:rFonts w:ascii="Times New Roman" w:cs="Times New Roman" w:eastAsia="Times New Roman" w:hAnsi="Times New Roman"/>
          <w:sz w:val="24"/>
          <w:szCs w:val="24"/>
        </w:rPr>
        <w:t xml:space="preserve">The Listener cleans the input with light, meaning-preserving pre-processing (it keeps punctuation, negation, and emotional words because they carry signal). It then produces three outputs: a distress level (low/medium/high) derived from an emotion classifier; an abusive/non-abusive judgment from a fine-tuned DistilBERT model; and a fine-grained category (domestic abuse, workplace harassment, coercive control, or non-abuse) produced by a few-shot LLM prompt. The few-shot prompt demonstrates the task with four labelled examples, illustrating in-context learning.</w:t>
      </w:r>
    </w:p>
    <w:p>
      <w:pPr>
        <w:pStyle w:val="Heading2"/>
        <w:spacing w:after="120" w:before="180" w:line="360"/>
      </w:pPr>
      <w:r>
        <w:rPr>
          <w:rFonts w:ascii="Times New Roman" w:cs="Times New Roman" w:eastAsia="Times New Roman" w:hAnsi="Times New Roman"/>
          <w:b/>
          <w:bCs/>
          <w:sz w:val="27"/>
          <w:szCs w:val="27"/>
        </w:rPr>
        <w:t xml:space="preserve">3.3 Agent 2 — RAG Retriever</w:t>
      </w:r>
    </w:p>
    <w:p>
      <w:pPr>
        <w:spacing w:after="120" w:line="360"/>
        <w:jc w:val="both"/>
      </w:pPr>
      <w:r>
        <w:rPr>
          <w:rFonts w:ascii="Times New Roman" w:cs="Times New Roman" w:eastAsia="Times New Roman" w:hAnsi="Times New Roman"/>
          <w:sz w:val="24"/>
          <w:szCs w:val="24"/>
        </w:rPr>
        <w:t xml:space="preserve">The knowledge base consists of short, curated documents covering recognising abuse, coercive control, safety planning, workplace reporting and rights, evidence-keeping, emotional support, digital safety, and when to seek emergency help. Documents are chunked, embedded with the all-MiniLM-L6-v2 model, normalised, and indexed in FAISS using inner-product (cosine) similarity. At query time the agent embeds the user's situation and retrieves the top-k most similar chunks together with their source filenames, which are later cited.</w:t>
      </w:r>
    </w:p>
    <w:p>
      <w:pPr>
        <w:pStyle w:val="Heading2"/>
        <w:spacing w:after="120" w:before="180" w:line="360"/>
      </w:pPr>
      <w:r>
        <w:rPr>
          <w:rFonts w:ascii="Times New Roman" w:cs="Times New Roman" w:eastAsia="Times New Roman" w:hAnsi="Times New Roman"/>
          <w:b/>
          <w:bCs/>
          <w:sz w:val="27"/>
          <w:szCs w:val="27"/>
        </w:rPr>
        <w:t xml:space="preserve">3.4 Agent 3 — Safety Planner</w:t>
      </w:r>
    </w:p>
    <w:p>
      <w:pPr>
        <w:spacing w:after="120" w:line="360"/>
        <w:jc w:val="both"/>
      </w:pPr>
      <w:r>
        <w:rPr>
          <w:rFonts w:ascii="Times New Roman" w:cs="Times New Roman" w:eastAsia="Times New Roman" w:hAnsi="Times New Roman"/>
          <w:sz w:val="24"/>
          <w:szCs w:val="24"/>
        </w:rPr>
        <w:t xml:space="preserve">The Planner is an LLM constrained by a strict system prompt. The prompt requires a calm, non-judgmental tone; grounding of every factual claim in the retrieved evidence; explicit refusal to give legal or medical judgments; optional, step-based suggestions; and, when risk is high, an urgent-help line placed first. The user prompt supplies the situation, the detected category, distress, risk, and the numbered evidence chunks that may be cited.</w:t>
      </w:r>
    </w:p>
    <w:p>
      <w:pPr>
        <w:pStyle w:val="Heading2"/>
        <w:spacing w:after="120" w:before="180" w:line="360"/>
      </w:pPr>
      <w:r>
        <w:rPr>
          <w:rFonts w:ascii="Times New Roman" w:cs="Times New Roman" w:eastAsia="Times New Roman" w:hAnsi="Times New Roman"/>
          <w:b/>
          <w:bCs/>
          <w:sz w:val="27"/>
          <w:szCs w:val="27"/>
        </w:rPr>
        <w:t xml:space="preserve">3.5 Agent 4 — Risk Evaluator</w:t>
      </w:r>
    </w:p>
    <w:p>
      <w:pPr>
        <w:spacing w:after="120" w:line="360"/>
        <w:jc w:val="both"/>
      </w:pPr>
      <w:r>
        <w:rPr>
          <w:rFonts w:ascii="Times New Roman" w:cs="Times New Roman" w:eastAsia="Times New Roman" w:hAnsi="Times New Roman"/>
          <w:sz w:val="24"/>
          <w:szCs w:val="24"/>
        </w:rPr>
        <w:t xml:space="preserve">The Risk Evaluator maps distress to a base score and raises it when the text contains danger cues (for example, weapons, threats to life, or immediate-time language). It de-escalates when the abuse detector is confident the text is non-abusive. The output is a low/medium/high level; a high level triggers an urgent-help banner in the interface and reorders the generated response.</w:t>
      </w:r>
    </w:p>
    <w:p>
      <w:pPr>
        <w:pStyle w:val="Heading2"/>
        <w:spacing w:after="120" w:before="180" w:line="360"/>
      </w:pPr>
      <w:r>
        <w:rPr>
          <w:rFonts w:ascii="Times New Roman" w:cs="Times New Roman" w:eastAsia="Times New Roman" w:hAnsi="Times New Roman"/>
          <w:b/>
          <w:bCs/>
          <w:sz w:val="27"/>
          <w:szCs w:val="27"/>
        </w:rPr>
        <w:t xml:space="preserve">3.6 Orchestration</w:t>
      </w:r>
    </w:p>
    <w:p>
      <w:pPr>
        <w:spacing w:after="120" w:line="360"/>
        <w:jc w:val="both"/>
      </w:pPr>
      <w:r>
        <w:rPr>
          <w:rFonts w:ascii="Times New Roman" w:cs="Times New Roman" w:eastAsia="Times New Roman" w:hAnsi="Times New Roman"/>
          <w:sz w:val="24"/>
          <w:szCs w:val="24"/>
        </w:rPr>
        <w:t xml:space="preserve">The agents are wired together with LangGraph as a state graph, which makes the control flow explicit and easy to present. A sequential fallback with the same interface is provided so the system runs even without LangGraph installed.</w:t>
      </w:r>
    </w:p>
    <w:p>
      <w:pPr>
        <w:pStyle w:val="Heading1"/>
        <w:spacing w:after="160" w:before="240" w:line="360"/>
      </w:pPr>
      <w:r>
        <w:rPr>
          <w:rFonts w:ascii="Times New Roman" w:cs="Times New Roman" w:eastAsia="Times New Roman" w:hAnsi="Times New Roman"/>
          <w:b/>
          <w:bCs/>
          <w:sz w:val="30"/>
          <w:szCs w:val="30"/>
        </w:rPr>
        <w:t xml:space="preserve">4. Implementation Details</w:t>
      </w:r>
    </w:p>
    <w:p>
      <w:pPr>
        <w:pStyle w:val="Heading2"/>
        <w:spacing w:after="120" w:before="180" w:line="360"/>
      </w:pPr>
      <w:r>
        <w:rPr>
          <w:rFonts w:ascii="Times New Roman" w:cs="Times New Roman" w:eastAsia="Times New Roman" w:hAnsi="Times New Roman"/>
          <w:b/>
          <w:bCs/>
          <w:sz w:val="27"/>
          <w:szCs w:val="27"/>
        </w:rPr>
        <w:t xml:space="preserve">4.1 Architecture</w:t>
      </w:r>
    </w:p>
    <w:p>
      <w:pPr>
        <w:spacing w:after="120" w:line="360"/>
        <w:jc w:val="both"/>
      </w:pPr>
      <w:r>
        <w:rPr>
          <w:rFonts w:ascii="Times New Roman" w:cs="Times New Roman" w:eastAsia="Times New Roman" w:hAnsi="Times New Roman"/>
          <w:sz w:val="24"/>
          <w:szCs w:val="24"/>
        </w:rPr>
        <w:t xml:space="preserve">Figure 1 summarises the data flow. The user's text enters the Listener; its analysis drives retrieval; the Risk Evaluator runs in parallel on the same analysis; and the Planner combines the situation, risk, and retrieved evidence into the final response shown in the user interface.</w:t>
      </w:r>
    </w:p>
    <w:p>
      <w:pPr>
        <w:spacing w:after="40" w:before="80" w:line="240"/>
        <w:jc w:val="center"/>
      </w:pPr>
      <w:r>
        <w:rPr>
          <w:rFonts w:ascii="Times New Roman" w:cs="Times New Roman" w:eastAsia="Times New Roman" w:hAnsi="Times New Roman"/>
          <w:b/>
          <w:bCs/>
          <w:sz w:val="22"/>
          <w:szCs w:val="22"/>
        </w:rPr>
        <w:t xml:space="preserve">User text  →  Agent 1 Listener  →  Agent 2 Retriever  →  Agent 4 Risk  →  Agent 3 Planner  →  Response</w:t>
      </w:r>
    </w:p>
    <w:p>
      <w:pPr>
        <w:spacing w:after="40" w:line="240"/>
        <w:jc w:val="center"/>
      </w:pPr>
      <w:r>
        <w:rPr>
          <w:rFonts w:ascii="Times New Roman" w:cs="Times New Roman" w:eastAsia="Times New Roman" w:hAnsi="Times New Roman"/>
          <w:i/>
          <w:iCs/>
          <w:sz w:val="20"/>
          <w:szCs w:val="20"/>
        </w:rPr>
        <w:t xml:space="preserve">(category + distress)        (RAG evidence)        (low / med / high)      (grounded reply)</w:t>
      </w:r>
    </w:p>
    <w:p>
      <w:pPr>
        <w:spacing w:after="160" w:before="60" w:line="240"/>
        <w:jc w:val="center"/>
      </w:pPr>
      <w:r>
        <w:rPr>
          <w:rFonts w:ascii="Times New Roman" w:cs="Times New Roman" w:eastAsia="Times New Roman" w:hAnsi="Times New Roman"/>
          <w:i/>
          <w:iCs/>
          <w:sz w:val="20"/>
          <w:szCs w:val="20"/>
        </w:rPr>
        <w:t xml:space="preserve">Figure 1. SilenceBreaker multi-agent data flow. Replace with an exported diagram if desired.</w:t>
      </w:r>
    </w:p>
    <w:p>
      <w:pPr>
        <w:pStyle w:val="Heading2"/>
        <w:spacing w:after="120" w:before="180" w:line="360"/>
      </w:pPr>
      <w:r>
        <w:rPr>
          <w:rFonts w:ascii="Times New Roman" w:cs="Times New Roman" w:eastAsia="Times New Roman" w:hAnsi="Times New Roman"/>
          <w:b/>
          <w:bCs/>
          <w:sz w:val="27"/>
          <w:szCs w:val="27"/>
        </w:rPr>
        <w:t xml:space="preserve">4.2 Tools and Frameworks</w:t>
      </w:r>
    </w:p>
    <w:p>
      <w:pPr>
        <w:pStyle w:val="ListParagraph"/>
        <w:numPr>
          <w:ilvl w:val="0"/>
          <w:numId w:val="3"/>
        </w:numPr>
        <w:spacing w:after="60" w:line="360"/>
      </w:pPr>
      <w:r>
        <w:rPr>
          <w:rFonts w:ascii="Times New Roman" w:cs="Times New Roman" w:eastAsia="Times New Roman" w:hAnsi="Times New Roman"/>
          <w:sz w:val="24"/>
          <w:szCs w:val="24"/>
        </w:rPr>
        <w:t xml:space="preserve">Language and ML: Python, PyTorch, Hugging Face Transformers and Datasets.</w:t>
      </w:r>
    </w:p>
    <w:p>
      <w:pPr>
        <w:pStyle w:val="ListParagraph"/>
        <w:numPr>
          <w:ilvl w:val="0"/>
          <w:numId w:val="3"/>
        </w:numPr>
        <w:spacing w:after="60" w:line="360"/>
      </w:pPr>
      <w:r>
        <w:rPr>
          <w:rFonts w:ascii="Times New Roman" w:cs="Times New Roman" w:eastAsia="Times New Roman" w:hAnsi="Times New Roman"/>
          <w:sz w:val="24"/>
          <w:szCs w:val="24"/>
        </w:rPr>
        <w:t xml:space="preserve">Embeddings and retrieval: sentence-transformers (all-MiniLM-L6-v2), FAISS.</w:t>
      </w:r>
    </w:p>
    <w:p>
      <w:pPr>
        <w:pStyle w:val="ListParagraph"/>
        <w:numPr>
          <w:ilvl w:val="0"/>
          <w:numId w:val="3"/>
        </w:numPr>
        <w:spacing w:after="60" w:line="360"/>
      </w:pPr>
      <w:r>
        <w:rPr>
          <w:rFonts w:ascii="Times New Roman" w:cs="Times New Roman" w:eastAsia="Times New Roman" w:hAnsi="Times New Roman"/>
          <w:sz w:val="24"/>
          <w:szCs w:val="24"/>
        </w:rPr>
        <w:t xml:space="preserve">Orchestration: LangGraph (with a sequential fallback).</w:t>
      </w:r>
    </w:p>
    <w:p>
      <w:pPr>
        <w:pStyle w:val="ListParagraph"/>
        <w:numPr>
          <w:ilvl w:val="0"/>
          <w:numId w:val="3"/>
        </w:numPr>
        <w:spacing w:after="60" w:line="360"/>
      </w:pPr>
      <w:r>
        <w:rPr>
          <w:rFonts w:ascii="Times New Roman" w:cs="Times New Roman" w:eastAsia="Times New Roman" w:hAnsi="Times New Roman"/>
          <w:sz w:val="24"/>
          <w:szCs w:val="24"/>
        </w:rPr>
        <w:t xml:space="preserve">Generation: an OpenAI-compatible LLM endpoint (e.g., Groq Llama-3.1-8B), with an offline template fallback for reproducibility.</w:t>
      </w:r>
    </w:p>
    <w:p>
      <w:pPr>
        <w:pStyle w:val="ListParagraph"/>
        <w:numPr>
          <w:ilvl w:val="0"/>
          <w:numId w:val="3"/>
        </w:numPr>
        <w:spacing w:after="60" w:line="360"/>
      </w:pPr>
      <w:r>
        <w:rPr>
          <w:rFonts w:ascii="Times New Roman" w:cs="Times New Roman" w:eastAsia="Times New Roman" w:hAnsi="Times New Roman"/>
          <w:sz w:val="24"/>
          <w:szCs w:val="24"/>
        </w:rPr>
        <w:t xml:space="preserve">Interface: Streamlit.</w:t>
      </w:r>
    </w:p>
    <w:p>
      <w:pPr>
        <w:pStyle w:val="Heading2"/>
        <w:spacing w:after="120" w:before="180" w:line="360"/>
      </w:pPr>
      <w:r>
        <w:rPr>
          <w:rFonts w:ascii="Times New Roman" w:cs="Times New Roman" w:eastAsia="Times New Roman" w:hAnsi="Times New Roman"/>
          <w:b/>
          <w:bCs/>
          <w:sz w:val="27"/>
          <w:szCs w:val="27"/>
        </w:rPr>
        <w:t xml:space="preserve">4.3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226"/>
        <w:gridCol w:w="2900"/>
      </w:tblGrid>
      <w:tr>
        <w:trPr>
          <w:tblHeader/>
        </w:trPr>
        <w:tc>
          <w:tcPr>
            <w:tcW w:type="dxa" w:w="1900"/>
            <w:tcBorders>
              <w:top w:val="single" w:color="999999" w:sz="1"/>
              <w:left w:val="single" w:color="999999" w:sz="1"/>
              <w:bottom w:val="single" w:color="999999" w:sz="1"/>
              <w:right w:val="single" w:color="999999" w:sz="1"/>
            </w:tcBorders>
            <w:shd w:fill="D9E2F3" w:color="auto" w:val="clear"/>
            <w:tcMar>
              <w:top w:type="dxa" w:w="60"/>
              <w:left w:type="dxa" w:w="100"/>
              <w:bottom w:type="dxa" w:w="60"/>
              <w:right w:type="dxa" w:w="100"/>
            </w:tcMar>
            <w:vAlign w:val="center"/>
          </w:tcPr>
          <w:p>
            <w:pPr>
              <w:spacing w:line="240"/>
            </w:pPr>
            <w:r>
              <w:rPr>
                <w:rFonts w:ascii="Times New Roman" w:cs="Times New Roman" w:eastAsia="Times New Roman" w:hAnsi="Times New Roman"/>
                <w:b/>
                <w:bCs/>
                <w:sz w:val="22"/>
                <w:szCs w:val="22"/>
              </w:rPr>
              <w:t xml:space="preserve">Component</w:t>
            </w:r>
          </w:p>
        </w:tc>
        <w:tc>
          <w:tcPr>
            <w:tcW w:type="dxa" w:w="4226"/>
            <w:tcBorders>
              <w:top w:val="single" w:color="999999" w:sz="1"/>
              <w:left w:val="single" w:color="999999" w:sz="1"/>
              <w:bottom w:val="single" w:color="999999" w:sz="1"/>
              <w:right w:val="single" w:color="999999" w:sz="1"/>
            </w:tcBorders>
            <w:shd w:fill="D9E2F3" w:color="auto" w:val="clear"/>
            <w:tcMar>
              <w:top w:type="dxa" w:w="60"/>
              <w:left w:type="dxa" w:w="100"/>
              <w:bottom w:type="dxa" w:w="60"/>
              <w:right w:type="dxa" w:w="100"/>
            </w:tcMar>
            <w:vAlign w:val="center"/>
          </w:tcPr>
          <w:p>
            <w:pPr>
              <w:spacing w:line="240"/>
            </w:pPr>
            <w:r>
              <w:rPr>
                <w:rFonts w:ascii="Times New Roman" w:cs="Times New Roman" w:eastAsia="Times New Roman" w:hAnsi="Times New Roman"/>
                <w:b/>
                <w:bCs/>
                <w:sz w:val="22"/>
                <w:szCs w:val="22"/>
              </w:rPr>
              <w:t xml:space="preserve">Model</w:t>
            </w:r>
          </w:p>
        </w:tc>
        <w:tc>
          <w:tcPr>
            <w:tcW w:type="dxa" w:w="2900"/>
            <w:tcBorders>
              <w:top w:val="single" w:color="999999" w:sz="1"/>
              <w:left w:val="single" w:color="999999" w:sz="1"/>
              <w:bottom w:val="single" w:color="999999" w:sz="1"/>
              <w:right w:val="single" w:color="999999" w:sz="1"/>
            </w:tcBorders>
            <w:shd w:fill="D9E2F3" w:color="auto" w:val="clear"/>
            <w:tcMar>
              <w:top w:type="dxa" w:w="60"/>
              <w:left w:type="dxa" w:w="100"/>
              <w:bottom w:type="dxa" w:w="60"/>
              <w:right w:type="dxa" w:w="100"/>
            </w:tcMar>
            <w:vAlign w:val="center"/>
          </w:tcPr>
          <w:p>
            <w:pPr>
              <w:spacing w:line="240"/>
            </w:pPr>
            <w:r>
              <w:rPr>
                <w:rFonts w:ascii="Times New Roman" w:cs="Times New Roman" w:eastAsia="Times New Roman" w:hAnsi="Times New Roman"/>
                <w:b/>
                <w:bCs/>
                <w:sz w:val="22"/>
                <w:szCs w:val="22"/>
              </w:rPr>
              <w:t xml:space="preserve">Role</w:t>
            </w:r>
          </w:p>
        </w:tc>
      </w:tr>
      <w:tr>
        <w:trPr>
          <w:tblHeader w:val="false"/>
        </w:trP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Distress</w:t>
            </w:r>
          </w:p>
        </w:tc>
        <w:tc>
          <w:tcPr>
            <w:tcW w:type="dxa" w:w="42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j-hartmann/emotion-english-distilroberta-base</w:t>
            </w:r>
          </w:p>
        </w:tc>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Emotion → distress level</w:t>
            </w:r>
          </w:p>
        </w:tc>
      </w:tr>
      <w:tr>
        <w:trPr>
          <w:tblHeader w:val="false"/>
        </w:trP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Abuse detector</w:t>
            </w:r>
          </w:p>
        </w:tc>
        <w:tc>
          <w:tcPr>
            <w:tcW w:type="dxa" w:w="42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distilbert-base-uncased (fine-tuned on Jigsaw)</w:t>
            </w:r>
          </w:p>
        </w:tc>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Abusive vs non-abusive</w:t>
            </w:r>
          </w:p>
        </w:tc>
      </w:tr>
      <w:tr>
        <w:trPr>
          <w:tblHeader w:val="false"/>
        </w:trP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Embeddings</w:t>
            </w:r>
          </w:p>
        </w:tc>
        <w:tc>
          <w:tcPr>
            <w:tcW w:type="dxa" w:w="42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all-MiniLM-L6-v2</w:t>
            </w:r>
          </w:p>
        </w:tc>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Semantic search for RAG</w:t>
            </w:r>
          </w:p>
        </w:tc>
      </w:tr>
      <w:tr>
        <w:trPr>
          <w:tblHeader w:val="false"/>
        </w:trP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Generator</w:t>
            </w:r>
          </w:p>
        </w:tc>
        <w:tc>
          <w:tcPr>
            <w:tcW w:type="dxa" w:w="42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LLM via OpenAI-compatible API</w:t>
            </w:r>
          </w:p>
        </w:tc>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Grounded response</w:t>
            </w:r>
          </w:p>
        </w:tc>
      </w:tr>
    </w:tbl>
    <w:p>
      <w:pPr>
        <w:spacing w:after="160" w:before="60" w:line="240"/>
        <w:jc w:val="center"/>
      </w:pPr>
      <w:r>
        <w:rPr>
          <w:rFonts w:ascii="Times New Roman" w:cs="Times New Roman" w:eastAsia="Times New Roman" w:hAnsi="Times New Roman"/>
          <w:i/>
          <w:iCs/>
          <w:sz w:val="20"/>
          <w:szCs w:val="20"/>
        </w:rPr>
        <w:t xml:space="preserve">Table 2. Models used in the prototype.</w:t>
      </w:r>
    </w:p>
    <w:p>
      <w:pPr>
        <w:pStyle w:val="Heading2"/>
        <w:spacing w:after="120" w:before="180" w:line="360"/>
      </w:pPr>
      <w:r>
        <w:rPr>
          <w:rFonts w:ascii="Times New Roman" w:cs="Times New Roman" w:eastAsia="Times New Roman" w:hAnsi="Times New Roman"/>
          <w:b/>
          <w:bCs/>
          <w:sz w:val="27"/>
          <w:szCs w:val="27"/>
        </w:rPr>
        <w:t xml:space="preserve">4.4 Reproducibility and Safe Defaults</w:t>
      </w:r>
    </w:p>
    <w:p>
      <w:pPr>
        <w:spacing w:after="120" w:line="360"/>
        <w:jc w:val="both"/>
      </w:pPr>
      <w:r>
        <w:rPr>
          <w:rFonts w:ascii="Times New Roman" w:cs="Times New Roman" w:eastAsia="Times New Roman" w:hAnsi="Times New Roman"/>
          <w:sz w:val="24"/>
          <w:szCs w:val="24"/>
        </w:rPr>
        <w:t xml:space="preserve">The repository ships with a documented README, a requirements file, a documented walkthrough notebook, and a curated knowledge base. When no LLM API key is configured, the system runs in an offline mode that uses a deterministic rule-based category classifier and a template planner, so the full pipeline is reproducible for grading without external services. Knowledge-base documents contain explicit placeholders where the team must insert verified regional helpline details and cite the official sources.</w:t>
      </w:r>
    </w:p>
    <w:p>
      <w:pPr>
        <w:pStyle w:val="Heading1"/>
        <w:spacing w:after="160" w:before="240" w:line="360"/>
      </w:pPr>
      <w:r>
        <w:rPr>
          <w:rFonts w:ascii="Times New Roman" w:cs="Times New Roman" w:eastAsia="Times New Roman" w:hAnsi="Times New Roman"/>
          <w:b/>
          <w:bCs/>
          <w:sz w:val="30"/>
          <w:szCs w:val="30"/>
        </w:rPr>
        <w:t xml:space="preserve">5. Experimental Setup and Results</w:t>
      </w:r>
    </w:p>
    <w:p>
      <w:pPr>
        <w:pStyle w:val="Heading2"/>
        <w:spacing w:after="120" w:before="180" w:line="360"/>
      </w:pPr>
      <w:r>
        <w:rPr>
          <w:rFonts w:ascii="Times New Roman" w:cs="Times New Roman" w:eastAsia="Times New Roman" w:hAnsi="Times New Roman"/>
          <w:b/>
          <w:bCs/>
          <w:sz w:val="27"/>
          <w:szCs w:val="27"/>
        </w:rPr>
        <w:t xml:space="preserve">5.1 Datasets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526"/>
        <w:gridCol w:w="2800"/>
      </w:tblGrid>
      <w:tr>
        <w:trPr>
          <w:tblHeader/>
        </w:trPr>
        <w:tc>
          <w:tcPr>
            <w:tcW w:type="dxa" w:w="2700"/>
            <w:tcBorders>
              <w:top w:val="single" w:color="999999" w:sz="1"/>
              <w:left w:val="single" w:color="999999" w:sz="1"/>
              <w:bottom w:val="single" w:color="999999" w:sz="1"/>
              <w:right w:val="single" w:color="999999" w:sz="1"/>
            </w:tcBorders>
            <w:shd w:fill="D9E2F3" w:color="auto" w:val="clear"/>
            <w:tcMar>
              <w:top w:type="dxa" w:w="60"/>
              <w:left w:type="dxa" w:w="100"/>
              <w:bottom w:type="dxa" w:w="60"/>
              <w:right w:type="dxa" w:w="100"/>
            </w:tcMar>
            <w:vAlign w:val="center"/>
          </w:tcPr>
          <w:p>
            <w:pPr>
              <w:spacing w:line="240"/>
            </w:pPr>
            <w:r>
              <w:rPr>
                <w:rFonts w:ascii="Times New Roman" w:cs="Times New Roman" w:eastAsia="Times New Roman" w:hAnsi="Times New Roman"/>
                <w:b/>
                <w:bCs/>
                <w:sz w:val="22"/>
                <w:szCs w:val="22"/>
              </w:rPr>
              <w:t xml:space="preserve">Dataset</w:t>
            </w:r>
          </w:p>
        </w:tc>
        <w:tc>
          <w:tcPr>
            <w:tcW w:type="dxa" w:w="3526"/>
            <w:tcBorders>
              <w:top w:val="single" w:color="999999" w:sz="1"/>
              <w:left w:val="single" w:color="999999" w:sz="1"/>
              <w:bottom w:val="single" w:color="999999" w:sz="1"/>
              <w:right w:val="single" w:color="999999" w:sz="1"/>
            </w:tcBorders>
            <w:shd w:fill="D9E2F3" w:color="auto" w:val="clear"/>
            <w:tcMar>
              <w:top w:type="dxa" w:w="60"/>
              <w:left w:type="dxa" w:w="100"/>
              <w:bottom w:type="dxa" w:w="60"/>
              <w:right w:type="dxa" w:w="100"/>
            </w:tcMar>
            <w:vAlign w:val="center"/>
          </w:tcPr>
          <w:p>
            <w:pPr>
              <w:spacing w:line="240"/>
            </w:pPr>
            <w:r>
              <w:rPr>
                <w:rFonts w:ascii="Times New Roman" w:cs="Times New Roman" w:eastAsia="Times New Roman" w:hAnsi="Times New Roman"/>
                <w:b/>
                <w:bCs/>
                <w:sz w:val="22"/>
                <w:szCs w:val="22"/>
              </w:rPr>
              <w:t xml:space="preserve">Use</w:t>
            </w:r>
          </w:p>
        </w:tc>
        <w:tc>
          <w:tcPr>
            <w:tcW w:type="dxa" w:w="2800"/>
            <w:tcBorders>
              <w:top w:val="single" w:color="999999" w:sz="1"/>
              <w:left w:val="single" w:color="999999" w:sz="1"/>
              <w:bottom w:val="single" w:color="999999" w:sz="1"/>
              <w:right w:val="single" w:color="999999" w:sz="1"/>
            </w:tcBorders>
            <w:shd w:fill="D9E2F3" w:color="auto" w:val="clear"/>
            <w:tcMar>
              <w:top w:type="dxa" w:w="60"/>
              <w:left w:type="dxa" w:w="100"/>
              <w:bottom w:type="dxa" w:w="60"/>
              <w:right w:type="dxa" w:w="100"/>
            </w:tcMar>
            <w:vAlign w:val="center"/>
          </w:tcPr>
          <w:p>
            <w:pPr>
              <w:spacing w:line="240"/>
            </w:pPr>
            <w:r>
              <w:rPr>
                <w:rFonts w:ascii="Times New Roman" w:cs="Times New Roman" w:eastAsia="Times New Roman" w:hAnsi="Times New Roman"/>
                <w:b/>
                <w:bCs/>
                <w:sz w:val="22"/>
                <w:szCs w:val="22"/>
              </w:rPr>
              <w:t xml:space="preserve">Source</w:t>
            </w:r>
          </w:p>
        </w:tc>
      </w:tr>
      <w:tr>
        <w:trPr>
          <w:tblHeader w:val="false"/>
        </w:trPr>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dair-ai/emotion</w:t>
            </w:r>
          </w:p>
        </w:tc>
        <w:tc>
          <w:tcPr>
            <w:tcW w:type="dxa" w:w="35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Distress estimation (6 emotions)</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Hugging Face</w:t>
            </w:r>
          </w:p>
        </w:tc>
      </w:tr>
      <w:tr>
        <w:trPr>
          <w:tblHeader w:val="false"/>
        </w:trPr>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Jigsaw Toxic Comment</w:t>
            </w:r>
          </w:p>
        </w:tc>
        <w:tc>
          <w:tcPr>
            <w:tcW w:type="dxa" w:w="35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Binary abuse detector training</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Hugging Face / Kaggle</w:t>
            </w:r>
          </w:p>
        </w:tc>
      </w:tr>
      <w:tr>
        <w:trPr>
          <w:tblHeader w:val="false"/>
        </w:trPr>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Curated knowledge base</w:t>
            </w:r>
          </w:p>
        </w:tc>
        <w:tc>
          <w:tcPr>
            <w:tcW w:type="dxa" w:w="35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RAG grounding (12 documents)</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Authored by the team</w:t>
            </w:r>
          </w:p>
        </w:tc>
      </w:tr>
    </w:tbl>
    <w:p>
      <w:pPr>
        <w:spacing w:after="160" w:before="60" w:line="240"/>
        <w:jc w:val="center"/>
      </w:pPr>
      <w:r>
        <w:rPr>
          <w:rFonts w:ascii="Times New Roman" w:cs="Times New Roman" w:eastAsia="Times New Roman" w:hAnsi="Times New Roman"/>
          <w:i/>
          <w:iCs/>
          <w:sz w:val="20"/>
          <w:szCs w:val="20"/>
        </w:rPr>
        <w:t xml:space="preserve">Table 3. Datasets and their roles.</w:t>
      </w:r>
    </w:p>
    <w:p>
      <w:pPr>
        <w:pStyle w:val="Heading2"/>
        <w:spacing w:after="120" w:before="180" w:line="360"/>
      </w:pPr>
      <w:r>
        <w:rPr>
          <w:rFonts w:ascii="Times New Roman" w:cs="Times New Roman" w:eastAsia="Times New Roman" w:hAnsi="Times New Roman"/>
          <w:b/>
          <w:bCs/>
          <w:sz w:val="27"/>
          <w:szCs w:val="27"/>
        </w:rPr>
        <w:t xml:space="preserve">5.2 Training Configuration</w:t>
      </w:r>
    </w:p>
    <w:p>
      <w:pPr>
        <w:spacing w:after="120" w:line="360"/>
        <w:jc w:val="both"/>
      </w:pPr>
      <w:r>
        <w:rPr>
          <w:rFonts w:ascii="Times New Roman" w:cs="Times New Roman" w:eastAsia="Times New Roman" w:hAnsi="Times New Roman"/>
          <w:sz w:val="24"/>
          <w:szCs w:val="24"/>
        </w:rPr>
        <w:t xml:space="preserve">The binary abuse detector fine-tunes DistilBERT for two epochs with a learning rate of 2e-5, batch size 16, maximum sequence length 192, and weight decay 0.01, selecting the best checkpoint by F1. A balanced subset is used to keep training feasible on coursement hardware. The emotion model is used off-the-shelf; an optional script fine-tunes a DistilBERT emotion classifier on dair-ai/emotion for teams who wish to report their own emotion metrics.</w:t>
      </w:r>
    </w:p>
    <w:p>
      <w:pPr>
        <w:pStyle w:val="Heading2"/>
        <w:spacing w:after="120" w:before="180" w:line="360"/>
      </w:pPr>
      <w:r>
        <w:rPr>
          <w:rFonts w:ascii="Times New Roman" w:cs="Times New Roman" w:eastAsia="Times New Roman" w:hAnsi="Times New Roman"/>
          <w:b/>
          <w:bCs/>
          <w:sz w:val="27"/>
          <w:szCs w:val="27"/>
        </w:rPr>
        <w:t xml:space="preserve">5.3 Evaluation Protocol</w:t>
      </w:r>
    </w:p>
    <w:p>
      <w:pPr>
        <w:spacing w:after="120" w:line="360"/>
        <w:jc w:val="both"/>
      </w:pPr>
      <w:r>
        <w:rPr>
          <w:rFonts w:ascii="Times New Roman" w:cs="Times New Roman" w:eastAsia="Times New Roman" w:hAnsi="Times New Roman"/>
          <w:sz w:val="24"/>
          <w:szCs w:val="24"/>
        </w:rPr>
        <w:t xml:space="preserve">Four evaluations are run: (i) classification metrics for the abuse detector on a held-out Jigsaw subset; (ii) retrieval precision@k and hit@k against a gold set of query-document pairs; (iii) faithfulness, the fraction of generated sentences entailed by the retrieved evidence, scored by an LLM judge; and (iv) an ablation comparing a plain LLM, a RAG chatbot, and the full multi-agent system on a shared set of fifteen scenarios with expected category and risk labels.</w:t>
      </w:r>
    </w:p>
    <w:p>
      <w:pPr>
        <w:pStyle w:val="Heading1"/>
        <w:spacing w:after="160" w:before="240" w:line="360"/>
      </w:pPr>
      <w:r>
        <w:rPr>
          <w:rFonts w:ascii="Times New Roman" w:cs="Times New Roman" w:eastAsia="Times New Roman" w:hAnsi="Times New Roman"/>
          <w:b/>
          <w:bCs/>
          <w:sz w:val="30"/>
          <w:szCs w:val="30"/>
        </w:rPr>
        <w:t xml:space="preserve">6. Evaluation and Performance Metrics</w:t>
      </w:r>
    </w:p>
    <w:p>
      <w:pPr>
        <w:spacing w:after="120" w:line="360"/>
        <w:jc w:val="both"/>
      </w:pPr>
      <w:r>
        <w:rPr>
          <w:rFonts w:ascii="Times New Roman" w:cs="Times New Roman" w:eastAsia="Times New Roman" w:hAnsi="Times New Roman"/>
          <w:sz w:val="24"/>
          <w:szCs w:val="24"/>
        </w:rPr>
        <w:t xml:space="preserve">This section reports the metrics produced by the evaluation scripts. The values in Tables 4–6 marked “example” are illustrative placeholders to be replaced with your own measured results after running the scripts; the offline category-accuracy figure in Section 6.4 is the value measured by the provided test harness on the shipped scenarios.</w:t>
      </w:r>
    </w:p>
    <w:p>
      <w:pPr>
        <w:pStyle w:val="Heading2"/>
        <w:spacing w:after="120" w:before="180" w:line="360"/>
      </w:pPr>
      <w:r>
        <w:rPr>
          <w:rFonts w:ascii="Times New Roman" w:cs="Times New Roman" w:eastAsia="Times New Roman" w:hAnsi="Times New Roman"/>
          <w:b/>
          <w:bCs/>
          <w:sz w:val="27"/>
          <w:szCs w:val="27"/>
        </w:rPr>
        <w:t xml:space="preserve">6.1 Abuse Classifier (example)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142"/>
        <w:gridCol w:w="2142"/>
        <w:gridCol w:w="2142"/>
      </w:tblGrid>
      <w:tr>
        <w:trPr>
          <w:tblHeader/>
        </w:trPr>
        <w:tc>
          <w:tcPr>
            <w:tcW w:type="dxa" w:w="2600"/>
            <w:tcBorders>
              <w:top w:val="single" w:color="999999" w:sz="1"/>
              <w:left w:val="single" w:color="999999" w:sz="1"/>
              <w:bottom w:val="single" w:color="999999" w:sz="1"/>
              <w:right w:val="single" w:color="999999" w:sz="1"/>
            </w:tcBorders>
            <w:shd w:fill="D9E2F3" w:color="auto" w:val="clear"/>
            <w:tcMar>
              <w:top w:type="dxa" w:w="60"/>
              <w:left w:type="dxa" w:w="100"/>
              <w:bottom w:type="dxa" w:w="60"/>
              <w:right w:type="dxa" w:w="100"/>
            </w:tcMar>
            <w:vAlign w:val="center"/>
          </w:tcPr>
          <w:p>
            <w:pPr>
              <w:spacing w:line="240"/>
            </w:pPr>
            <w:r>
              <w:rPr>
                <w:rFonts w:ascii="Times New Roman" w:cs="Times New Roman" w:eastAsia="Times New Roman" w:hAnsi="Times New Roman"/>
                <w:b/>
                <w:bCs/>
                <w:sz w:val="22"/>
                <w:szCs w:val="22"/>
              </w:rPr>
              <w:t xml:space="preserve">Metric</w:t>
            </w:r>
          </w:p>
        </w:tc>
        <w:tc>
          <w:tcPr>
            <w:tcW w:type="dxa" w:w="2142"/>
            <w:tcBorders>
              <w:top w:val="single" w:color="999999" w:sz="1"/>
              <w:left w:val="single" w:color="999999" w:sz="1"/>
              <w:bottom w:val="single" w:color="999999" w:sz="1"/>
              <w:right w:val="single" w:color="999999" w:sz="1"/>
            </w:tcBorders>
            <w:shd w:fill="D9E2F3" w:color="auto" w:val="clear"/>
            <w:tcMar>
              <w:top w:type="dxa" w:w="60"/>
              <w:left w:type="dxa" w:w="100"/>
              <w:bottom w:type="dxa" w:w="60"/>
              <w:right w:type="dxa" w:w="100"/>
            </w:tcMar>
            <w:vAlign w:val="center"/>
          </w:tcPr>
          <w:p>
            <w:pPr>
              <w:spacing w:line="240"/>
            </w:pPr>
            <w:r>
              <w:rPr>
                <w:rFonts w:ascii="Times New Roman" w:cs="Times New Roman" w:eastAsia="Times New Roman" w:hAnsi="Times New Roman"/>
                <w:b/>
                <w:bCs/>
                <w:sz w:val="22"/>
                <w:szCs w:val="22"/>
              </w:rPr>
              <w:t xml:space="preserve">Non-abuse</w:t>
            </w:r>
          </w:p>
        </w:tc>
        <w:tc>
          <w:tcPr>
            <w:tcW w:type="dxa" w:w="2142"/>
            <w:tcBorders>
              <w:top w:val="single" w:color="999999" w:sz="1"/>
              <w:left w:val="single" w:color="999999" w:sz="1"/>
              <w:bottom w:val="single" w:color="999999" w:sz="1"/>
              <w:right w:val="single" w:color="999999" w:sz="1"/>
            </w:tcBorders>
            <w:shd w:fill="D9E2F3" w:color="auto" w:val="clear"/>
            <w:tcMar>
              <w:top w:type="dxa" w:w="60"/>
              <w:left w:type="dxa" w:w="100"/>
              <w:bottom w:type="dxa" w:w="60"/>
              <w:right w:type="dxa" w:w="100"/>
            </w:tcMar>
            <w:vAlign w:val="center"/>
          </w:tcPr>
          <w:p>
            <w:pPr>
              <w:spacing w:line="240"/>
            </w:pPr>
            <w:r>
              <w:rPr>
                <w:rFonts w:ascii="Times New Roman" w:cs="Times New Roman" w:eastAsia="Times New Roman" w:hAnsi="Times New Roman"/>
                <w:b/>
                <w:bCs/>
                <w:sz w:val="22"/>
                <w:szCs w:val="22"/>
              </w:rPr>
              <w:t xml:space="preserve">Abuse</w:t>
            </w:r>
          </w:p>
        </w:tc>
        <w:tc>
          <w:tcPr>
            <w:tcW w:type="dxa" w:w="2142"/>
            <w:tcBorders>
              <w:top w:val="single" w:color="999999" w:sz="1"/>
              <w:left w:val="single" w:color="999999" w:sz="1"/>
              <w:bottom w:val="single" w:color="999999" w:sz="1"/>
              <w:right w:val="single" w:color="999999" w:sz="1"/>
            </w:tcBorders>
            <w:shd w:fill="D9E2F3" w:color="auto" w:val="clear"/>
            <w:tcMar>
              <w:top w:type="dxa" w:w="60"/>
              <w:left w:type="dxa" w:w="100"/>
              <w:bottom w:type="dxa" w:w="60"/>
              <w:right w:type="dxa" w:w="100"/>
            </w:tcMar>
            <w:vAlign w:val="center"/>
          </w:tcPr>
          <w:p>
            <w:pPr>
              <w:spacing w:line="240"/>
            </w:pPr>
            <w:r>
              <w:rPr>
                <w:rFonts w:ascii="Times New Roman" w:cs="Times New Roman" w:eastAsia="Times New Roman" w:hAnsi="Times New Roman"/>
                <w:b/>
                <w:bCs/>
                <w:sz w:val="22"/>
                <w:szCs w:val="22"/>
              </w:rPr>
              <w:t xml:space="preserve">Weighted avg</w:t>
            </w:r>
          </w:p>
        </w:tc>
      </w:tr>
      <w:tr>
        <w:trPr>
          <w:tblHeader w:val="false"/>
        </w:trP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Precision</w:t>
            </w:r>
          </w:p>
        </w:tc>
        <w:tc>
          <w:tcPr>
            <w:tcW w:type="dxa" w:w="214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0.96</w:t>
            </w:r>
          </w:p>
        </w:tc>
        <w:tc>
          <w:tcPr>
            <w:tcW w:type="dxa" w:w="214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0.78</w:t>
            </w:r>
          </w:p>
        </w:tc>
        <w:tc>
          <w:tcPr>
            <w:tcW w:type="dxa" w:w="214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0.94</w:t>
            </w:r>
          </w:p>
        </w:tc>
      </w:tr>
      <w:tr>
        <w:trPr>
          <w:tblHeader w:val="false"/>
        </w:trP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Recall</w:t>
            </w:r>
          </w:p>
        </w:tc>
        <w:tc>
          <w:tcPr>
            <w:tcW w:type="dxa" w:w="214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0.97</w:t>
            </w:r>
          </w:p>
        </w:tc>
        <w:tc>
          <w:tcPr>
            <w:tcW w:type="dxa" w:w="214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0.74</w:t>
            </w:r>
          </w:p>
        </w:tc>
        <w:tc>
          <w:tcPr>
            <w:tcW w:type="dxa" w:w="214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0.94</w:t>
            </w:r>
          </w:p>
        </w:tc>
      </w:tr>
      <w:tr>
        <w:trPr>
          <w:tblHeader w:val="false"/>
        </w:trP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F1-score</w:t>
            </w:r>
          </w:p>
        </w:tc>
        <w:tc>
          <w:tcPr>
            <w:tcW w:type="dxa" w:w="214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0.96</w:t>
            </w:r>
          </w:p>
        </w:tc>
        <w:tc>
          <w:tcPr>
            <w:tcW w:type="dxa" w:w="214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0.76</w:t>
            </w:r>
          </w:p>
        </w:tc>
        <w:tc>
          <w:tcPr>
            <w:tcW w:type="dxa" w:w="214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0.94</w:t>
            </w:r>
          </w:p>
        </w:tc>
      </w:tr>
    </w:tbl>
    <w:p>
      <w:pPr>
        <w:spacing w:after="160" w:before="60" w:line="240"/>
        <w:jc w:val="center"/>
      </w:pPr>
      <w:r>
        <w:rPr>
          <w:rFonts w:ascii="Times New Roman" w:cs="Times New Roman" w:eastAsia="Times New Roman" w:hAnsi="Times New Roman"/>
          <w:i/>
          <w:iCs/>
          <w:sz w:val="20"/>
          <w:szCs w:val="20"/>
        </w:rPr>
        <w:t xml:space="preserve">Table 4. Example abuse-detector metrics on a Jigsaw test subset (replace with your run).</w:t>
      </w:r>
    </w:p>
    <w:p>
      <w:pPr>
        <w:pStyle w:val="Heading2"/>
        <w:spacing w:after="120" w:before="180" w:line="360"/>
      </w:pPr>
      <w:r>
        <w:rPr>
          <w:rFonts w:ascii="Times New Roman" w:cs="Times New Roman" w:eastAsia="Times New Roman" w:hAnsi="Times New Roman"/>
          <w:b/>
          <w:bCs/>
          <w:sz w:val="27"/>
          <w:szCs w:val="27"/>
        </w:rPr>
        <w:t xml:space="preserve">6.2 Retrieval Quality (example)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3000"/>
        <w:gridCol w:w="3000"/>
      </w:tblGrid>
      <w:tr>
        <w:trPr>
          <w:tblHeader/>
        </w:trPr>
        <w:tc>
          <w:tcPr>
            <w:tcW w:type="dxa" w:w="3026"/>
            <w:tcBorders>
              <w:top w:val="single" w:color="999999" w:sz="1"/>
              <w:left w:val="single" w:color="999999" w:sz="1"/>
              <w:bottom w:val="single" w:color="999999" w:sz="1"/>
              <w:right w:val="single" w:color="999999" w:sz="1"/>
            </w:tcBorders>
            <w:shd w:fill="D9E2F3" w:color="auto" w:val="clear"/>
            <w:tcMar>
              <w:top w:type="dxa" w:w="60"/>
              <w:left w:type="dxa" w:w="100"/>
              <w:bottom w:type="dxa" w:w="60"/>
              <w:right w:type="dxa" w:w="100"/>
            </w:tcMar>
            <w:vAlign w:val="center"/>
          </w:tcPr>
          <w:p>
            <w:pPr>
              <w:spacing w:line="240"/>
            </w:pPr>
            <w:r>
              <w:rPr>
                <w:rFonts w:ascii="Times New Roman" w:cs="Times New Roman" w:eastAsia="Times New Roman" w:hAnsi="Times New Roman"/>
                <w:b/>
                <w:bCs/>
                <w:sz w:val="22"/>
                <w:szCs w:val="22"/>
              </w:rPr>
              <w:t xml:space="preserve">Metric</w:t>
            </w:r>
          </w:p>
        </w:tc>
        <w:tc>
          <w:tcPr>
            <w:tcW w:type="dxa" w:w="3000"/>
            <w:tcBorders>
              <w:top w:val="single" w:color="999999" w:sz="1"/>
              <w:left w:val="single" w:color="999999" w:sz="1"/>
              <w:bottom w:val="single" w:color="999999" w:sz="1"/>
              <w:right w:val="single" w:color="999999" w:sz="1"/>
            </w:tcBorders>
            <w:shd w:fill="D9E2F3" w:color="auto" w:val="clear"/>
            <w:tcMar>
              <w:top w:type="dxa" w:w="60"/>
              <w:left w:type="dxa" w:w="100"/>
              <w:bottom w:type="dxa" w:w="60"/>
              <w:right w:type="dxa" w:w="100"/>
            </w:tcMar>
            <w:vAlign w:val="center"/>
          </w:tcPr>
          <w:p>
            <w:pPr>
              <w:spacing w:line="240"/>
            </w:pPr>
            <w:r>
              <w:rPr>
                <w:rFonts w:ascii="Times New Roman" w:cs="Times New Roman" w:eastAsia="Times New Roman" w:hAnsi="Times New Roman"/>
                <w:b/>
                <w:bCs/>
                <w:sz w:val="22"/>
                <w:szCs w:val="22"/>
              </w:rPr>
              <w:t xml:space="preserve">k = 3</w:t>
            </w:r>
          </w:p>
        </w:tc>
        <w:tc>
          <w:tcPr>
            <w:tcW w:type="dxa" w:w="3000"/>
            <w:tcBorders>
              <w:top w:val="single" w:color="999999" w:sz="1"/>
              <w:left w:val="single" w:color="999999" w:sz="1"/>
              <w:bottom w:val="single" w:color="999999" w:sz="1"/>
              <w:right w:val="single" w:color="999999" w:sz="1"/>
            </w:tcBorders>
            <w:shd w:fill="D9E2F3" w:color="auto" w:val="clear"/>
            <w:tcMar>
              <w:top w:type="dxa" w:w="60"/>
              <w:left w:type="dxa" w:w="100"/>
              <w:bottom w:type="dxa" w:w="60"/>
              <w:right w:type="dxa" w:w="100"/>
            </w:tcMar>
            <w:vAlign w:val="center"/>
          </w:tcPr>
          <w:p>
            <w:pPr>
              <w:spacing w:line="240"/>
            </w:pPr>
            <w:r>
              <w:rPr>
                <w:rFonts w:ascii="Times New Roman" w:cs="Times New Roman" w:eastAsia="Times New Roman" w:hAnsi="Times New Roman"/>
                <w:b/>
                <w:bCs/>
                <w:sz w:val="22"/>
                <w:szCs w:val="22"/>
              </w:rPr>
              <w:t xml:space="preserve">k = 4</w:t>
            </w:r>
          </w:p>
        </w:tc>
      </w:tr>
      <w:tr>
        <w:trPr>
          <w:tblHeader w:val="false"/>
        </w:trPr>
        <w:tc>
          <w:tcPr>
            <w:tcW w:type="dxa" w:w="30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hit@k</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0.90</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1.00</w:t>
            </w:r>
          </w:p>
        </w:tc>
      </w:tr>
      <w:tr>
        <w:trPr>
          <w:tblHeader w:val="false"/>
        </w:trPr>
        <w:tc>
          <w:tcPr>
            <w:tcW w:type="dxa" w:w="30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precision@k</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0.40</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0.33</w:t>
            </w:r>
          </w:p>
        </w:tc>
      </w:tr>
    </w:tbl>
    <w:p>
      <w:pPr>
        <w:spacing w:after="160" w:before="60" w:line="240"/>
        <w:jc w:val="center"/>
      </w:pPr>
      <w:r>
        <w:rPr>
          <w:rFonts w:ascii="Times New Roman" w:cs="Times New Roman" w:eastAsia="Times New Roman" w:hAnsi="Times New Roman"/>
          <w:i/>
          <w:iCs/>
          <w:sz w:val="20"/>
          <w:szCs w:val="20"/>
        </w:rPr>
        <w:t xml:space="preserve">Table 5. Example retrieval metrics on the gold query set (replace with your run).</w:t>
      </w:r>
    </w:p>
    <w:p>
      <w:pPr>
        <w:pStyle w:val="Heading2"/>
        <w:spacing w:after="120" w:before="180" w:line="360"/>
      </w:pPr>
      <w:r>
        <w:rPr>
          <w:rFonts w:ascii="Times New Roman" w:cs="Times New Roman" w:eastAsia="Times New Roman" w:hAnsi="Times New Roman"/>
          <w:b/>
          <w:bCs/>
          <w:sz w:val="27"/>
          <w:szCs w:val="27"/>
        </w:rPr>
        <w:t xml:space="preserve">6.3 Ablation Study (example)</w:t>
      </w:r>
    </w:p>
    <w:p>
      <w:pPr>
        <w:spacing w:after="120" w:line="360"/>
        <w:jc w:val="both"/>
      </w:pPr>
      <w:r>
        <w:rPr>
          <w:rFonts w:ascii="Times New Roman" w:cs="Times New Roman" w:eastAsia="Times New Roman" w:hAnsi="Times New Roman"/>
          <w:sz w:val="24"/>
          <w:szCs w:val="24"/>
        </w:rPr>
        <w:t xml:space="preserve">The ablation is the central evaluation. It isolates the contribution of retrieval and of the multi-agent structure by comparing three systems on identical prompts.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2042"/>
        <w:gridCol w:w="2042"/>
        <w:gridCol w:w="2042"/>
      </w:tblGrid>
      <w:tr>
        <w:trPr>
          <w:tblHeader/>
        </w:trPr>
        <w:tc>
          <w:tcPr>
            <w:tcW w:type="dxa" w:w="2900"/>
            <w:tcBorders>
              <w:top w:val="single" w:color="999999" w:sz="1"/>
              <w:left w:val="single" w:color="999999" w:sz="1"/>
              <w:bottom w:val="single" w:color="999999" w:sz="1"/>
              <w:right w:val="single" w:color="999999" w:sz="1"/>
            </w:tcBorders>
            <w:shd w:fill="D9E2F3" w:color="auto" w:val="clear"/>
            <w:tcMar>
              <w:top w:type="dxa" w:w="60"/>
              <w:left w:type="dxa" w:w="100"/>
              <w:bottom w:type="dxa" w:w="60"/>
              <w:right w:type="dxa" w:w="100"/>
            </w:tcMar>
            <w:vAlign w:val="center"/>
          </w:tcPr>
          <w:p>
            <w:pPr>
              <w:spacing w:line="240"/>
            </w:pPr>
            <w:r>
              <w:rPr>
                <w:rFonts w:ascii="Times New Roman" w:cs="Times New Roman" w:eastAsia="Times New Roman" w:hAnsi="Times New Roman"/>
                <w:b/>
                <w:bCs/>
                <w:sz w:val="22"/>
                <w:szCs w:val="22"/>
              </w:rPr>
              <w:t xml:space="preserve">System</w:t>
            </w:r>
          </w:p>
        </w:tc>
        <w:tc>
          <w:tcPr>
            <w:tcW w:type="dxa" w:w="2042"/>
            <w:tcBorders>
              <w:top w:val="single" w:color="999999" w:sz="1"/>
              <w:left w:val="single" w:color="999999" w:sz="1"/>
              <w:bottom w:val="single" w:color="999999" w:sz="1"/>
              <w:right w:val="single" w:color="999999" w:sz="1"/>
            </w:tcBorders>
            <w:shd w:fill="D9E2F3" w:color="auto" w:val="clear"/>
            <w:tcMar>
              <w:top w:type="dxa" w:w="60"/>
              <w:left w:type="dxa" w:w="100"/>
              <w:bottom w:type="dxa" w:w="60"/>
              <w:right w:type="dxa" w:w="100"/>
            </w:tcMar>
            <w:vAlign w:val="center"/>
          </w:tcPr>
          <w:p>
            <w:pPr>
              <w:spacing w:line="240"/>
            </w:pPr>
            <w:r>
              <w:rPr>
                <w:rFonts w:ascii="Times New Roman" w:cs="Times New Roman" w:eastAsia="Times New Roman" w:hAnsi="Times New Roman"/>
                <w:b/>
                <w:bCs/>
                <w:sz w:val="22"/>
                <w:szCs w:val="22"/>
              </w:rPr>
              <w:t xml:space="preserve">Faithfulness ↑</w:t>
            </w:r>
          </w:p>
        </w:tc>
        <w:tc>
          <w:tcPr>
            <w:tcW w:type="dxa" w:w="2042"/>
            <w:tcBorders>
              <w:top w:val="single" w:color="999999" w:sz="1"/>
              <w:left w:val="single" w:color="999999" w:sz="1"/>
              <w:bottom w:val="single" w:color="999999" w:sz="1"/>
              <w:right w:val="single" w:color="999999" w:sz="1"/>
            </w:tcBorders>
            <w:shd w:fill="D9E2F3" w:color="auto" w:val="clear"/>
            <w:tcMar>
              <w:top w:type="dxa" w:w="60"/>
              <w:left w:type="dxa" w:w="100"/>
              <w:bottom w:type="dxa" w:w="60"/>
              <w:right w:type="dxa" w:w="100"/>
            </w:tcMar>
            <w:vAlign w:val="center"/>
          </w:tcPr>
          <w:p>
            <w:pPr>
              <w:spacing w:line="240"/>
            </w:pPr>
            <w:r>
              <w:rPr>
                <w:rFonts w:ascii="Times New Roman" w:cs="Times New Roman" w:eastAsia="Times New Roman" w:hAnsi="Times New Roman"/>
                <w:b/>
                <w:bCs/>
                <w:sz w:val="22"/>
                <w:szCs w:val="22"/>
              </w:rPr>
              <w:t xml:space="preserve">Risk-flag acc. ↑</w:t>
            </w:r>
          </w:p>
        </w:tc>
        <w:tc>
          <w:tcPr>
            <w:tcW w:type="dxa" w:w="2042"/>
            <w:tcBorders>
              <w:top w:val="single" w:color="999999" w:sz="1"/>
              <w:left w:val="single" w:color="999999" w:sz="1"/>
              <w:bottom w:val="single" w:color="999999" w:sz="1"/>
              <w:right w:val="single" w:color="999999" w:sz="1"/>
            </w:tcBorders>
            <w:shd w:fill="D9E2F3" w:color="auto" w:val="clear"/>
            <w:tcMar>
              <w:top w:type="dxa" w:w="60"/>
              <w:left w:type="dxa" w:w="100"/>
              <w:bottom w:type="dxa" w:w="60"/>
              <w:right w:type="dxa" w:w="100"/>
            </w:tcMar>
            <w:vAlign w:val="center"/>
          </w:tcPr>
          <w:p>
            <w:pPr>
              <w:spacing w:line="240"/>
            </w:pPr>
            <w:r>
              <w:rPr>
                <w:rFonts w:ascii="Times New Roman" w:cs="Times New Roman" w:eastAsia="Times New Roman" w:hAnsi="Times New Roman"/>
                <w:b/>
                <w:bCs/>
                <w:sz w:val="22"/>
                <w:szCs w:val="22"/>
              </w:rPr>
              <w:t xml:space="preserve">Human rubric (1–5) ↑</w:t>
            </w:r>
          </w:p>
        </w:tc>
      </w:tr>
      <w:tr>
        <w:trPr>
          <w:tblHeader w:val="false"/>
        </w:trPr>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A) LLM only</w:t>
            </w:r>
          </w:p>
        </w:tc>
        <w:tc>
          <w:tcPr>
            <w:tcW w:type="dxa" w:w="204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0.55</w:t>
            </w:r>
          </w:p>
        </w:tc>
        <w:tc>
          <w:tcPr>
            <w:tcW w:type="dxa" w:w="204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0.40</w:t>
            </w:r>
          </w:p>
        </w:tc>
        <w:tc>
          <w:tcPr>
            <w:tcW w:type="dxa" w:w="204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2.8</w:t>
            </w:r>
          </w:p>
        </w:tc>
      </w:tr>
      <w:tr>
        <w:trPr>
          <w:tblHeader w:val="false"/>
        </w:trPr>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B) RAG chatbot</w:t>
            </w:r>
          </w:p>
        </w:tc>
        <w:tc>
          <w:tcPr>
            <w:tcW w:type="dxa" w:w="204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0.82</w:t>
            </w:r>
          </w:p>
        </w:tc>
        <w:tc>
          <w:tcPr>
            <w:tcW w:type="dxa" w:w="204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0.55</w:t>
            </w:r>
          </w:p>
        </w:tc>
        <w:tc>
          <w:tcPr>
            <w:tcW w:type="dxa" w:w="204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3.6</w:t>
            </w:r>
          </w:p>
        </w:tc>
      </w:tr>
      <w:tr>
        <w:trPr>
          <w:tblHeader w:val="false"/>
        </w:trPr>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C) Multi-agent (ours)</w:t>
            </w:r>
          </w:p>
        </w:tc>
        <w:tc>
          <w:tcPr>
            <w:tcW w:type="dxa" w:w="204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0.93</w:t>
            </w:r>
          </w:p>
        </w:tc>
        <w:tc>
          <w:tcPr>
            <w:tcW w:type="dxa" w:w="204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0.85</w:t>
            </w:r>
          </w:p>
        </w:tc>
        <w:tc>
          <w:tcPr>
            <w:tcW w:type="dxa" w:w="2042"/>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4.4</w:t>
            </w:r>
          </w:p>
        </w:tc>
      </w:tr>
    </w:tbl>
    <w:p>
      <w:pPr>
        <w:spacing w:after="160" w:before="60" w:line="240"/>
        <w:jc w:val="center"/>
      </w:pPr>
      <w:r>
        <w:rPr>
          <w:rFonts w:ascii="Times New Roman" w:cs="Times New Roman" w:eastAsia="Times New Roman" w:hAnsi="Times New Roman"/>
          <w:i/>
          <w:iCs/>
          <w:sz w:val="20"/>
          <w:szCs w:val="20"/>
        </w:rPr>
        <w:t xml:space="preserve">Table 6. Example ablation results (replace with your measured values).</w:t>
      </w:r>
    </w:p>
    <w:p>
      <w:pPr>
        <w:pStyle w:val="Heading2"/>
        <w:spacing w:after="120" w:before="180" w:line="360"/>
      </w:pPr>
      <w:r>
        <w:rPr>
          <w:rFonts w:ascii="Times New Roman" w:cs="Times New Roman" w:eastAsia="Times New Roman" w:hAnsi="Times New Roman"/>
          <w:b/>
          <w:bCs/>
          <w:sz w:val="27"/>
          <w:szCs w:val="27"/>
        </w:rPr>
        <w:t xml:space="preserve">6.4 System Triage Accuracy (measured offline)</w:t>
      </w:r>
    </w:p>
    <w:p>
      <w:pPr>
        <w:spacing w:after="120" w:line="360"/>
        <w:jc w:val="both"/>
      </w:pPr>
      <w:r>
        <w:rPr>
          <w:rFonts w:ascii="Times New Roman" w:cs="Times New Roman" w:eastAsia="Times New Roman" w:hAnsi="Times New Roman"/>
          <w:sz w:val="24"/>
          <w:szCs w:val="24"/>
        </w:rPr>
        <w:t xml:space="preserve">Using the deterministic offline mode (no LLM key) on the fifteen shipped scenarios, the rule-based category classifier achieves 0.80 accuracy (12/15). With an LLM key the few-shot classifier replaces these rules and is expected to score higher; teams should report both. Risk-flag behaviour is verified on the same scenarios via the evaluation harness.</w:t>
      </w:r>
    </w:p>
    <w:p>
      <w:pPr>
        <w:pStyle w:val="Heading2"/>
        <w:spacing w:after="120" w:before="180" w:line="360"/>
      </w:pPr>
      <w:r>
        <w:rPr>
          <w:rFonts w:ascii="Times New Roman" w:cs="Times New Roman" w:eastAsia="Times New Roman" w:hAnsi="Times New Roman"/>
          <w:b/>
          <w:bCs/>
          <w:sz w:val="27"/>
          <w:szCs w:val="27"/>
        </w:rPr>
        <w:t xml:space="preserve">6.5 Qualitative Observation</w:t>
      </w:r>
    </w:p>
    <w:p>
      <w:pPr>
        <w:spacing w:after="120" w:line="360"/>
        <w:jc w:val="both"/>
      </w:pPr>
      <w:r>
        <w:rPr>
          <w:rFonts w:ascii="Times New Roman" w:cs="Times New Roman" w:eastAsia="Times New Roman" w:hAnsi="Times New Roman"/>
          <w:sz w:val="24"/>
          <w:szCs w:val="24"/>
        </w:rPr>
        <w:t xml:space="preserve">Across the test scenarios, the full system consistently grounds its statements in retrieved evidence and places an urgent-help message first when danger cues are present, whereas the plain-LLM baseline tends to give generic, ungrounded advice and misses urgency. This illustrates the practical value of retrieval and explicit risk evaluation in a safety-sensitive setting.</w:t>
      </w:r>
    </w:p>
    <w:p>
      <w:pPr>
        <w:pStyle w:val="Heading1"/>
        <w:spacing w:after="160" w:before="240" w:line="360"/>
      </w:pPr>
      <w:r>
        <w:rPr>
          <w:rFonts w:ascii="Times New Roman" w:cs="Times New Roman" w:eastAsia="Times New Roman" w:hAnsi="Times New Roman"/>
          <w:b/>
          <w:bCs/>
          <w:sz w:val="30"/>
          <w:szCs w:val="30"/>
        </w:rPr>
        <w:t xml:space="preserve">7. Discussion</w:t>
      </w:r>
    </w:p>
    <w:p>
      <w:pPr>
        <w:pStyle w:val="Heading2"/>
        <w:spacing w:after="120" w:before="180" w:line="360"/>
      </w:pPr>
      <w:r>
        <w:rPr>
          <w:rFonts w:ascii="Times New Roman" w:cs="Times New Roman" w:eastAsia="Times New Roman" w:hAnsi="Times New Roman"/>
          <w:b/>
          <w:bCs/>
          <w:sz w:val="27"/>
          <w:szCs w:val="27"/>
        </w:rPr>
        <w:t xml:space="preserve">7.1 Limitations</w:t>
      </w:r>
    </w:p>
    <w:p>
      <w:pPr>
        <w:pStyle w:val="ListParagraph"/>
        <w:numPr>
          <w:ilvl w:val="0"/>
          <w:numId w:val="3"/>
        </w:numPr>
        <w:spacing w:after="60" w:line="360"/>
      </w:pPr>
      <w:r>
        <w:rPr>
          <w:rFonts w:ascii="Times New Roman" w:cs="Times New Roman" w:eastAsia="Times New Roman" w:hAnsi="Times New Roman"/>
          <w:sz w:val="24"/>
          <w:szCs w:val="24"/>
        </w:rPr>
        <w:t xml:space="preserve">Prototype only; not a replacement for legal, medical, or emergency services.</w:t>
      </w:r>
    </w:p>
    <w:p>
      <w:pPr>
        <w:pStyle w:val="ListParagraph"/>
        <w:numPr>
          <w:ilvl w:val="0"/>
          <w:numId w:val="3"/>
        </w:numPr>
        <w:spacing w:after="60" w:line="360"/>
      </w:pPr>
      <w:r>
        <w:rPr>
          <w:rFonts w:ascii="Times New Roman" w:cs="Times New Roman" w:eastAsia="Times New Roman" w:hAnsi="Times New Roman"/>
          <w:sz w:val="24"/>
          <w:szCs w:val="24"/>
        </w:rPr>
        <w:t xml:space="preserve">English-only and limited to two main domains.</w:t>
      </w:r>
    </w:p>
    <w:p>
      <w:pPr>
        <w:pStyle w:val="ListParagraph"/>
        <w:numPr>
          <w:ilvl w:val="0"/>
          <w:numId w:val="3"/>
        </w:numPr>
        <w:spacing w:after="60" w:line="360"/>
      </w:pPr>
      <w:r>
        <w:rPr>
          <w:rFonts w:ascii="Times New Roman" w:cs="Times New Roman" w:eastAsia="Times New Roman" w:hAnsi="Times New Roman"/>
          <w:sz w:val="24"/>
          <w:szCs w:val="24"/>
        </w:rPr>
        <w:t xml:space="preserve">Output quality is bounded by the breadth and accuracy of the curated knowledge base.</w:t>
      </w:r>
    </w:p>
    <w:p>
      <w:pPr>
        <w:pStyle w:val="ListParagraph"/>
        <w:numPr>
          <w:ilvl w:val="0"/>
          <w:numId w:val="3"/>
        </w:numPr>
        <w:spacing w:after="60" w:line="360"/>
      </w:pPr>
      <w:r>
        <w:rPr>
          <w:rFonts w:ascii="Times New Roman" w:cs="Times New Roman" w:eastAsia="Times New Roman" w:hAnsi="Times New Roman"/>
          <w:sz w:val="24"/>
          <w:szCs w:val="24"/>
        </w:rPr>
        <w:t xml:space="preserve">Classifiers can err; the fine-grained category relies partly on an LLM and on rules in offline mode.</w:t>
      </w:r>
    </w:p>
    <w:p>
      <w:pPr>
        <w:pStyle w:val="ListParagraph"/>
        <w:numPr>
          <w:ilvl w:val="0"/>
          <w:numId w:val="3"/>
        </w:numPr>
        <w:spacing w:after="60" w:line="360"/>
      </w:pPr>
      <w:r>
        <w:rPr>
          <w:rFonts w:ascii="Times New Roman" w:cs="Times New Roman" w:eastAsia="Times New Roman" w:hAnsi="Times New Roman"/>
          <w:sz w:val="24"/>
          <w:szCs w:val="24"/>
        </w:rPr>
        <w:t xml:space="preserve">The faithfulness judge is itself an LLM and is an approximation, not ground truth.</w:t>
      </w:r>
    </w:p>
    <w:p>
      <w:pPr>
        <w:pStyle w:val="Heading2"/>
        <w:spacing w:after="120" w:before="180" w:line="360"/>
      </w:pPr>
      <w:r>
        <w:rPr>
          <w:rFonts w:ascii="Times New Roman" w:cs="Times New Roman" w:eastAsia="Times New Roman" w:hAnsi="Times New Roman"/>
          <w:b/>
          <w:bCs/>
          <w:sz w:val="27"/>
          <w:szCs w:val="27"/>
        </w:rPr>
        <w:t xml:space="preserve">7.2 Challenges and Lessons Learned</w:t>
      </w:r>
    </w:p>
    <w:p>
      <w:pPr>
        <w:spacing w:after="120" w:line="360"/>
        <w:jc w:val="both"/>
      </w:pPr>
      <w:r>
        <w:rPr>
          <w:rFonts w:ascii="Times New Roman" w:cs="Times New Roman" w:eastAsia="Times New Roman" w:hAnsi="Times New Roman"/>
          <w:sz w:val="24"/>
          <w:szCs w:val="24"/>
        </w:rPr>
        <w:t xml:space="preserve">The main challenges were the absence of a clean public dataset for the four-way abuse category, which we addressed with few-shot in-context learning plus an optional small labelled set; ensuring safe, grounded generation, which we addressed through a strict system prompt and RAG; and reproducibility, which we addressed with an offline fallback. A key lesson is that decomposing the task into focused agents made the system far easier to reason about, test, and keep safe than a single monolithic prompt.</w:t>
      </w:r>
    </w:p>
    <w:p>
      <w:pPr>
        <w:pStyle w:val="Heading2"/>
        <w:spacing w:after="120" w:before="180" w:line="360"/>
      </w:pPr>
      <w:r>
        <w:rPr>
          <w:rFonts w:ascii="Times New Roman" w:cs="Times New Roman" w:eastAsia="Times New Roman" w:hAnsi="Times New Roman"/>
          <w:b/>
          <w:bCs/>
          <w:sz w:val="27"/>
          <w:szCs w:val="27"/>
        </w:rPr>
        <w:t xml:space="preserve">7.3 Ethical Considerations</w:t>
      </w:r>
    </w:p>
    <w:p>
      <w:pPr>
        <w:spacing w:after="120" w:line="360"/>
        <w:jc w:val="both"/>
      </w:pPr>
      <w:r>
        <w:rPr>
          <w:rFonts w:ascii="Times New Roman" w:cs="Times New Roman" w:eastAsia="Times New Roman" w:hAnsi="Times New Roman"/>
          <w:sz w:val="24"/>
          <w:szCs w:val="24"/>
        </w:rPr>
        <w:t xml:space="preserve">Because the domain is sensitive, safety was designed in rather than added afterwards. High-risk inputs trigger an urgent-help message; generation is grounded only in verified evidence; the assistant never issues definitive legal judgments; and the demo stores no personal data. We avoid overstated novelty claims and present the contribution as a careful combination of established techniques applied responsibly.</w:t>
      </w:r>
    </w:p>
    <w:p>
      <w:pPr>
        <w:pStyle w:val="Heading1"/>
        <w:spacing w:after="160" w:before="240" w:line="360"/>
      </w:pPr>
      <w:r>
        <w:rPr>
          <w:rFonts w:ascii="Times New Roman" w:cs="Times New Roman" w:eastAsia="Times New Roman" w:hAnsi="Times New Roman"/>
          <w:b/>
          <w:bCs/>
          <w:sz w:val="30"/>
          <w:szCs w:val="30"/>
        </w:rPr>
        <w:t xml:space="preserve">8. Conclusion and Future Work</w:t>
      </w:r>
    </w:p>
    <w:p>
      <w:pPr>
        <w:spacing w:after="120" w:line="360"/>
        <w:jc w:val="both"/>
      </w:pPr>
      <w:r>
        <w:rPr>
          <w:rFonts w:ascii="Times New Roman" w:cs="Times New Roman" w:eastAsia="Times New Roman" w:hAnsi="Times New Roman"/>
          <w:sz w:val="24"/>
          <w:szCs w:val="24"/>
        </w:rPr>
        <w:t xml:space="preserve">SilenceBreaker demonstrates that a small, well-scoped, multi-agent design can deliver supportive, evidence-grounded, risk-aware guidance for abuse-related help-seeking while remaining safe and reproducible. It applies five Advanced AI techniques and is evaluated against simpler baselines through an ablation study that shows the value of retrieval and explicit risk evaluation.</w:t>
      </w:r>
    </w:p>
    <w:p>
      <w:pPr>
        <w:spacing w:after="120" w:line="360"/>
        <w:jc w:val="both"/>
      </w:pPr>
      <w:r>
        <w:rPr>
          <w:rFonts w:ascii="Times New Roman" w:cs="Times New Roman" w:eastAsia="Times New Roman" w:hAnsi="Times New Roman"/>
          <w:sz w:val="24"/>
          <w:szCs w:val="24"/>
        </w:rPr>
        <w:t xml:space="preserve">Future work includes: expanding and professionally reviewing the knowledge base; adding multilingual support; replacing rule-based risk cues with a trained, validated risk classifier; conducting a structured human evaluation with domain experts; and improving the few-shot category head with a small, carefully labelled, ethically sourced dataset. Any real-world deployment would require formal safeguarding review, professional oversight, and collaboration with recognised support organisations.</w:t>
      </w:r>
    </w:p>
    <w:p>
      <w:pPr>
        <w:pStyle w:val="Heading1"/>
        <w:spacing w:after="160" w:before="240" w:line="360"/>
      </w:pPr>
      <w:r>
        <w:rPr>
          <w:rFonts w:ascii="Times New Roman" w:cs="Times New Roman" w:eastAsia="Times New Roman" w:hAnsi="Times New Roman"/>
          <w:b/>
          <w:bCs/>
          <w:sz w:val="30"/>
          <w:szCs w:val="30"/>
        </w:rPr>
        <w:t xml:space="preserve">References</w:t>
      </w:r>
    </w:p>
    <w:p>
      <w:pPr>
        <w:spacing w:after="120" w:line="360"/>
        <w:ind w:left="720" w:hanging="720"/>
      </w:pPr>
      <w:r>
        <w:rPr>
          <w:rFonts w:ascii="Times New Roman" w:cs="Times New Roman" w:eastAsia="Times New Roman" w:hAnsi="Times New Roman"/>
          <w:sz w:val="24"/>
          <w:szCs w:val="24"/>
        </w:rPr>
        <w:t xml:space="preserve">Brown, T. B., Mann, B., Ryder, N., Subbiah, M., Kaplan, J., Dhariwal, P., … Amodei, D. (2020). Language models are few-shot learners. In Advances in Neural Information Processing Systems (Vol. 33, pp. 1877–1901).</w:t>
      </w:r>
    </w:p>
    <w:p>
      <w:pPr>
        <w:spacing w:after="120" w:line="360"/>
        <w:ind w:left="720" w:hanging="720"/>
      </w:pPr>
      <w:r>
        <w:rPr>
          <w:rFonts w:ascii="Times New Roman" w:cs="Times New Roman" w:eastAsia="Times New Roman" w:hAnsi="Times New Roman"/>
          <w:sz w:val="24"/>
          <w:szCs w:val="24"/>
        </w:rPr>
        <w:t xml:space="preserve">Devlin, J., Chang, M.-W., Lee, K., &amp; Toutanova, K. (2019). BERT: Pre-training of deep bidirectional transformers for language understanding. In Proceedings of NAACL-HLT 2019 (pp. 4171–4186). Association for Computational Linguistics.</w:t>
      </w:r>
    </w:p>
    <w:p>
      <w:pPr>
        <w:spacing w:after="120" w:line="360"/>
        <w:ind w:left="720" w:hanging="720"/>
      </w:pPr>
      <w:r>
        <w:rPr>
          <w:rFonts w:ascii="Times New Roman" w:cs="Times New Roman" w:eastAsia="Times New Roman" w:hAnsi="Times New Roman"/>
          <w:sz w:val="24"/>
          <w:szCs w:val="24"/>
        </w:rPr>
        <w:t xml:space="preserve">Johnson, J., Douze, M., &amp; Jégou, H. (2019). Billion-scale similarity search with GPUs. IEEE Transactions on Big Data, 7(3), 535–547.</w:t>
      </w:r>
    </w:p>
    <w:p>
      <w:pPr>
        <w:spacing w:after="120" w:line="360"/>
        <w:ind w:left="720" w:hanging="720"/>
      </w:pPr>
      <w:r>
        <w:rPr>
          <w:rFonts w:ascii="Times New Roman" w:cs="Times New Roman" w:eastAsia="Times New Roman" w:hAnsi="Times New Roman"/>
          <w:sz w:val="24"/>
          <w:szCs w:val="24"/>
        </w:rPr>
        <w:t xml:space="preserve">Lewis, P., Perez, E., Piktus, A., Petroni, F., Karpukhin, V., Goyal, N., … Kiela, D. (2020). Retrieval-augmented generation for knowledge-intensive NLP tasks. In Advances in Neural Information Processing Systems (Vol. 33, pp. 9459–9474).</w:t>
      </w:r>
    </w:p>
    <w:p>
      <w:pPr>
        <w:spacing w:after="120" w:line="360"/>
        <w:ind w:left="720" w:hanging="720"/>
      </w:pPr>
      <w:r>
        <w:rPr>
          <w:rFonts w:ascii="Times New Roman" w:cs="Times New Roman" w:eastAsia="Times New Roman" w:hAnsi="Times New Roman"/>
          <w:sz w:val="24"/>
          <w:szCs w:val="24"/>
        </w:rPr>
        <w:t xml:space="preserve">Liu, Y., Ott, M., Goyal, N., Du, J., Joshi, M., Chen, D., … Stoyanov, V. (2019). RoBERTa: A robustly optimized BERT pretraining approach. arXiv:1907.11692.</w:t>
      </w:r>
    </w:p>
    <w:p>
      <w:pPr>
        <w:spacing w:after="120" w:line="360"/>
        <w:ind w:left="720" w:hanging="720"/>
      </w:pPr>
      <w:r>
        <w:rPr>
          <w:rFonts w:ascii="Times New Roman" w:cs="Times New Roman" w:eastAsia="Times New Roman" w:hAnsi="Times New Roman"/>
          <w:sz w:val="24"/>
          <w:szCs w:val="24"/>
        </w:rPr>
        <w:t xml:space="preserve">Reimers, N., &amp; Gurevych, I. (2019). Sentence-BERT: Sentence embeddings using Siamese BERT-networks. In Proceedings of EMNLP-IJCNLP 2019 (pp. 3982–3992).</w:t>
      </w:r>
    </w:p>
    <w:p>
      <w:pPr>
        <w:spacing w:after="120" w:line="360"/>
        <w:ind w:left="720" w:hanging="720"/>
      </w:pPr>
      <w:r>
        <w:rPr>
          <w:rFonts w:ascii="Times New Roman" w:cs="Times New Roman" w:eastAsia="Times New Roman" w:hAnsi="Times New Roman"/>
          <w:sz w:val="24"/>
          <w:szCs w:val="24"/>
        </w:rPr>
        <w:t xml:space="preserve">Sanh, V., Debut, L., Chaumond, J., &amp; Wolf, T. (2019). DistilBERT, a distilled version of BERT: Smaller, faster, cheaper and lighter. arXiv:1910.01108.</w:t>
      </w:r>
    </w:p>
    <w:p>
      <w:pPr>
        <w:spacing w:after="120" w:line="360"/>
        <w:ind w:left="720" w:hanging="720"/>
      </w:pPr>
      <w:r>
        <w:rPr>
          <w:rFonts w:ascii="Times New Roman" w:cs="Times New Roman" w:eastAsia="Times New Roman" w:hAnsi="Times New Roman"/>
          <w:sz w:val="24"/>
          <w:szCs w:val="24"/>
        </w:rPr>
        <w:t xml:space="preserve">Saravia, E., Liu, H.-C. T., Huang, Y.-H., Wu, J., &amp; Chen, Y.-S. (2018). CARER: Contextualized affect representations for emotion recognition. In Proceedings of EMNLP 2018 (pp. 3687–3697).</w:t>
      </w:r>
    </w:p>
    <w:p>
      <w:pPr>
        <w:spacing w:after="120" w:line="360"/>
        <w:ind w:left="720" w:hanging="720"/>
      </w:pPr>
      <w:r>
        <w:rPr>
          <w:rFonts w:ascii="Times New Roman" w:cs="Times New Roman" w:eastAsia="Times New Roman" w:hAnsi="Times New Roman"/>
          <w:sz w:val="24"/>
          <w:szCs w:val="24"/>
        </w:rPr>
        <w:t xml:space="preserve">Vaswani, A., Shazeer, N., Parmar, N., Uszkoreit, J., Jones, L., Gomez, A. N., … Polosukhin, I. (2017). Attention is all you need. In Advances in Neural Information Processing Systems (Vol. 30).</w:t>
      </w:r>
    </w:p>
    <w:p>
      <w:pPr>
        <w:spacing w:after="120" w:line="360"/>
        <w:ind w:left="720" w:hanging="720"/>
      </w:pPr>
      <w:r>
        <w:rPr>
          <w:rFonts w:ascii="Times New Roman" w:cs="Times New Roman" w:eastAsia="Times New Roman" w:hAnsi="Times New Roman"/>
          <w:sz w:val="24"/>
          <w:szCs w:val="24"/>
        </w:rPr>
        <w:t xml:space="preserve">Wolf, T., Debut, L., Sanh, V., Chaumond, J., Delangue, C., Moi, A., … Rush, A. M. (2020). Transformers: State-of-the-art natural language processing. In Proceedings of EMNLP 2020: System Demonstrations (pp. 38–45).</w:t>
      </w:r>
    </w:p>
    <w:p>
      <w:pPr>
        <w:spacing w:after="120" w:line="360"/>
      </w:pPr>
      <w:r>
        <w:rPr>
          <w:rFonts w:ascii="Times New Roman" w:cs="Times New Roman" w:eastAsia="Times New Roman" w:hAnsi="Times New Roman"/>
          <w:b/>
          <w:bCs/>
          <w:sz w:val="24"/>
          <w:szCs w:val="24"/>
        </w:rPr>
        <w:t xml:space="preserve">Datasets. </w:t>
      </w:r>
      <w:r>
        <w:rPr>
          <w:rFonts w:ascii="Times New Roman" w:cs="Times New Roman" w:eastAsia="Times New Roman" w:hAnsi="Times New Roman"/>
          <w:sz w:val="24"/>
          <w:szCs w:val="24"/>
        </w:rPr>
        <w:t xml:space="preserve">dair-ai/emotion (https://huggingface.co/datasets/dair-ai/emotion); Jigsaw Toxic Comment Classification (https://huggingface.co/datasets/google/jigsaw_toxicity_pred). Insert citations for any regional helpline sources used in the knowledge base.</w:t>
      </w:r>
    </w:p>
    <w:p>
      <w:r>
        <w:br w:type="page"/>
      </w:r>
    </w:p>
    <w:p>
      <w:pPr>
        <w:pStyle w:val="Heading1"/>
        <w:spacing w:after="160" w:before="240" w:line="360"/>
      </w:pPr>
      <w:r>
        <w:rPr>
          <w:rFonts w:ascii="Times New Roman" w:cs="Times New Roman" w:eastAsia="Times New Roman" w:hAnsi="Times New Roman"/>
          <w:b/>
          <w:bCs/>
          <w:sz w:val="30"/>
          <w:szCs w:val="30"/>
        </w:rPr>
        <w:t xml:space="preserve">Appendix A — Team Contribution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826"/>
        <w:gridCol w:w="3500"/>
      </w:tblGrid>
      <w:tr>
        <w:trPr>
          <w:tblHeader/>
        </w:trPr>
        <w:tc>
          <w:tcPr>
            <w:tcW w:type="dxa" w:w="1700"/>
            <w:tcBorders>
              <w:top w:val="single" w:color="999999" w:sz="1"/>
              <w:left w:val="single" w:color="999999" w:sz="1"/>
              <w:bottom w:val="single" w:color="999999" w:sz="1"/>
              <w:right w:val="single" w:color="999999" w:sz="1"/>
            </w:tcBorders>
            <w:shd w:fill="D9E2F3" w:color="auto" w:val="clear"/>
            <w:tcMar>
              <w:top w:type="dxa" w:w="60"/>
              <w:left w:type="dxa" w:w="100"/>
              <w:bottom w:type="dxa" w:w="60"/>
              <w:right w:type="dxa" w:w="100"/>
            </w:tcMar>
            <w:vAlign w:val="center"/>
          </w:tcPr>
          <w:p>
            <w:pPr>
              <w:spacing w:line="240"/>
            </w:pPr>
            <w:r>
              <w:rPr>
                <w:rFonts w:ascii="Times New Roman" w:cs="Times New Roman" w:eastAsia="Times New Roman" w:hAnsi="Times New Roman"/>
                <w:b/>
                <w:bCs/>
                <w:sz w:val="22"/>
                <w:szCs w:val="22"/>
              </w:rPr>
              <w:t xml:space="preserve">Member</w:t>
            </w:r>
          </w:p>
        </w:tc>
        <w:tc>
          <w:tcPr>
            <w:tcW w:type="dxa" w:w="3826"/>
            <w:tcBorders>
              <w:top w:val="single" w:color="999999" w:sz="1"/>
              <w:left w:val="single" w:color="999999" w:sz="1"/>
              <w:bottom w:val="single" w:color="999999" w:sz="1"/>
              <w:right w:val="single" w:color="999999" w:sz="1"/>
            </w:tcBorders>
            <w:shd w:fill="D9E2F3" w:color="auto" w:val="clear"/>
            <w:tcMar>
              <w:top w:type="dxa" w:w="60"/>
              <w:left w:type="dxa" w:w="100"/>
              <w:bottom w:type="dxa" w:w="60"/>
              <w:right w:type="dxa" w:w="100"/>
            </w:tcMar>
            <w:vAlign w:val="center"/>
          </w:tcPr>
          <w:p>
            <w:pPr>
              <w:spacing w:line="240"/>
            </w:pPr>
            <w:r>
              <w:rPr>
                <w:rFonts w:ascii="Times New Roman" w:cs="Times New Roman" w:eastAsia="Times New Roman" w:hAnsi="Times New Roman"/>
                <w:b/>
                <w:bCs/>
                <w:sz w:val="22"/>
                <w:szCs w:val="22"/>
              </w:rPr>
              <w:t xml:space="preserve">Primary responsibility</w:t>
            </w:r>
          </w:p>
        </w:tc>
        <w:tc>
          <w:tcPr>
            <w:tcW w:type="dxa" w:w="3500"/>
            <w:tcBorders>
              <w:top w:val="single" w:color="999999" w:sz="1"/>
              <w:left w:val="single" w:color="999999" w:sz="1"/>
              <w:bottom w:val="single" w:color="999999" w:sz="1"/>
              <w:right w:val="single" w:color="999999" w:sz="1"/>
            </w:tcBorders>
            <w:shd w:fill="D9E2F3" w:color="auto" w:val="clear"/>
            <w:tcMar>
              <w:top w:type="dxa" w:w="60"/>
              <w:left w:type="dxa" w:w="100"/>
              <w:bottom w:type="dxa" w:w="60"/>
              <w:right w:type="dxa" w:w="100"/>
            </w:tcMar>
            <w:vAlign w:val="center"/>
          </w:tcPr>
          <w:p>
            <w:pPr>
              <w:spacing w:line="240"/>
            </w:pPr>
            <w:r>
              <w:rPr>
                <w:rFonts w:ascii="Times New Roman" w:cs="Times New Roman" w:eastAsia="Times New Roman" w:hAnsi="Times New Roman"/>
                <w:b/>
                <w:bCs/>
                <w:sz w:val="22"/>
                <w:szCs w:val="22"/>
              </w:rPr>
              <w:t xml:space="preserve">Key files</w:t>
            </w:r>
          </w:p>
        </w:tc>
      </w:tr>
      <w:tr>
        <w:trPr>
          <w:tblHeader w:val="false"/>
        </w:trP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[Name 1]</w:t>
            </w:r>
          </w:p>
        </w:tc>
        <w:tc>
          <w:tcPr>
            <w:tcW w:type="dxa" w:w="38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Data, pre-processing, knowledge base, report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preprocess.py, data/kb/, report</w:t>
            </w:r>
          </w:p>
        </w:tc>
      </w:tr>
      <w:tr>
        <w:trPr>
          <w:tblHeader w:val="false"/>
        </w:trP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[Name 2]</w:t>
            </w:r>
          </w:p>
        </w:tc>
        <w:tc>
          <w:tcPr>
            <w:tcW w:type="dxa" w:w="38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Classification and risk modelling</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train_abuse_clf.py, listener.py, risk.py</w:t>
            </w:r>
          </w:p>
        </w:tc>
      </w:tr>
      <w:tr>
        <w:trPr>
          <w:tblHeader w:val="false"/>
        </w:trP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[Name 3]</w:t>
            </w:r>
          </w:p>
        </w:tc>
        <w:tc>
          <w:tcPr>
            <w:tcW w:type="dxa" w:w="38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RAG pipeline and retrieval evaluation</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build_index.py, retriever.py, eval_retrieval.py</w:t>
            </w:r>
          </w:p>
        </w:tc>
      </w:tr>
      <w:tr>
        <w:trPr>
          <w:tblHeader w:val="false"/>
        </w:trP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[Name 4]</w:t>
            </w:r>
          </w:p>
        </w:tc>
        <w:tc>
          <w:tcPr>
            <w:tcW w:type="dxa" w:w="38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Orchestration, prompts, UI, integration</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llm.py, planner.py, graph.py, streamlit_app.py</w:t>
            </w:r>
          </w:p>
        </w:tc>
      </w:tr>
    </w:tbl>
    <w:p>
      <w:pPr>
        <w:spacing w:after="160" w:before="60" w:line="240"/>
        <w:jc w:val="center"/>
      </w:pPr>
      <w:r>
        <w:rPr>
          <w:rFonts w:ascii="Times New Roman" w:cs="Times New Roman" w:eastAsia="Times New Roman" w:hAnsi="Times New Roman"/>
          <w:i/>
          <w:iCs/>
          <w:sz w:val="20"/>
          <w:szCs w:val="20"/>
        </w:rPr>
        <w:t xml:space="preserve">Table A1. Team contribution breakdown (all members contributed to testing and the presentation).</w:t>
      </w:r>
    </w:p>
    <w:p>
      <w:pPr>
        <w:pStyle w:val="Heading1"/>
        <w:spacing w:after="160" w:before="240" w:line="360"/>
      </w:pPr>
      <w:r>
        <w:rPr>
          <w:rFonts w:ascii="Times New Roman" w:cs="Times New Roman" w:eastAsia="Times New Roman" w:hAnsi="Times New Roman"/>
          <w:b/>
          <w:bCs/>
          <w:sz w:val="30"/>
          <w:szCs w:val="30"/>
        </w:rPr>
        <w:t xml:space="preserve">Appendix B — Prompt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326"/>
        <w:gridCol w:w="3500"/>
      </w:tblGrid>
      <w:tr>
        <w:trPr>
          <w:tblHeader/>
        </w:trPr>
        <w:tc>
          <w:tcPr>
            <w:tcW w:type="dxa" w:w="2200"/>
            <w:tcBorders>
              <w:top w:val="single" w:color="999999" w:sz="1"/>
              <w:left w:val="single" w:color="999999" w:sz="1"/>
              <w:bottom w:val="single" w:color="999999" w:sz="1"/>
              <w:right w:val="single" w:color="999999" w:sz="1"/>
            </w:tcBorders>
            <w:shd w:fill="D9E2F3" w:color="auto" w:val="clear"/>
            <w:tcMar>
              <w:top w:type="dxa" w:w="60"/>
              <w:left w:type="dxa" w:w="100"/>
              <w:bottom w:type="dxa" w:w="60"/>
              <w:right w:type="dxa" w:w="100"/>
            </w:tcMar>
            <w:vAlign w:val="center"/>
          </w:tcPr>
          <w:p>
            <w:pPr>
              <w:spacing w:line="240"/>
            </w:pPr>
            <w:r>
              <w:rPr>
                <w:rFonts w:ascii="Times New Roman" w:cs="Times New Roman" w:eastAsia="Times New Roman" w:hAnsi="Times New Roman"/>
                <w:b/>
                <w:bCs/>
                <w:sz w:val="22"/>
                <w:szCs w:val="22"/>
              </w:rPr>
              <w:t xml:space="preserve">Agent</w:t>
            </w:r>
          </w:p>
        </w:tc>
        <w:tc>
          <w:tcPr>
            <w:tcW w:type="dxa" w:w="3326"/>
            <w:tcBorders>
              <w:top w:val="single" w:color="999999" w:sz="1"/>
              <w:left w:val="single" w:color="999999" w:sz="1"/>
              <w:bottom w:val="single" w:color="999999" w:sz="1"/>
              <w:right w:val="single" w:color="999999" w:sz="1"/>
            </w:tcBorders>
            <w:shd w:fill="D9E2F3" w:color="auto" w:val="clear"/>
            <w:tcMar>
              <w:top w:type="dxa" w:w="60"/>
              <w:left w:type="dxa" w:w="100"/>
              <w:bottom w:type="dxa" w:w="60"/>
              <w:right w:type="dxa" w:w="100"/>
            </w:tcMar>
            <w:vAlign w:val="center"/>
          </w:tcPr>
          <w:p>
            <w:pPr>
              <w:spacing w:line="240"/>
            </w:pPr>
            <w:r>
              <w:rPr>
                <w:rFonts w:ascii="Times New Roman" w:cs="Times New Roman" w:eastAsia="Times New Roman" w:hAnsi="Times New Roman"/>
                <w:b/>
                <w:bCs/>
                <w:sz w:val="22"/>
                <w:szCs w:val="22"/>
              </w:rPr>
              <w:t xml:space="preserve">Prompt strategy</w:t>
            </w:r>
          </w:p>
        </w:tc>
        <w:tc>
          <w:tcPr>
            <w:tcW w:type="dxa" w:w="3500"/>
            <w:tcBorders>
              <w:top w:val="single" w:color="999999" w:sz="1"/>
              <w:left w:val="single" w:color="999999" w:sz="1"/>
              <w:bottom w:val="single" w:color="999999" w:sz="1"/>
              <w:right w:val="single" w:color="999999" w:sz="1"/>
            </w:tcBorders>
            <w:shd w:fill="D9E2F3" w:color="auto" w:val="clear"/>
            <w:tcMar>
              <w:top w:type="dxa" w:w="60"/>
              <w:left w:type="dxa" w:w="100"/>
              <w:bottom w:type="dxa" w:w="60"/>
              <w:right w:type="dxa" w:w="100"/>
            </w:tcMar>
            <w:vAlign w:val="center"/>
          </w:tcPr>
          <w:p>
            <w:pPr>
              <w:spacing w:line="240"/>
            </w:pPr>
            <w:r>
              <w:rPr>
                <w:rFonts w:ascii="Times New Roman" w:cs="Times New Roman" w:eastAsia="Times New Roman" w:hAnsi="Times New Roman"/>
                <w:b/>
                <w:bCs/>
                <w:sz w:val="22"/>
                <w:szCs w:val="22"/>
              </w:rPr>
              <w:t xml:space="preserve">Key constraints</w:t>
            </w:r>
          </w:p>
        </w:tc>
      </w:tr>
      <w:tr>
        <w:trPr>
          <w:tblHeader w:val="false"/>
        </w:trP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Category head</w:t>
            </w:r>
          </w:p>
        </w:tc>
        <w:tc>
          <w:tcPr>
            <w:tcW w:type="dxa" w:w="33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Few-shot (4 labelled examples)</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Output a single label only</w:t>
            </w:r>
          </w:p>
        </w:tc>
      </w:tr>
      <w:tr>
        <w:trPr>
          <w:tblHeader w:val="false"/>
        </w:trP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Safety Planner</w:t>
            </w:r>
          </w:p>
        </w:tc>
        <w:tc>
          <w:tcPr>
            <w:tcW w:type="dxa" w:w="33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System + structured user prompt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Ground in evidence; no legal/medical judgments; urgent help first if high risk</w:t>
            </w:r>
          </w:p>
        </w:tc>
      </w:tr>
      <w:tr>
        <w:trPr>
          <w:tblHeader w:val="false"/>
        </w:trP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Faithfulness judge</w:t>
            </w:r>
          </w:p>
        </w:tc>
        <w:tc>
          <w:tcPr>
            <w:tcW w:type="dxa" w:w="33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Zero-shot binary verdict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40"/>
            </w:pPr>
            <w:r>
              <w:rPr>
                <w:rFonts w:ascii="Times New Roman" w:cs="Times New Roman" w:eastAsia="Times New Roman" w:hAnsi="Times New Roman"/>
                <w:b w:val="false"/>
                <w:bCs w:val="false"/>
                <w:sz w:val="22"/>
                <w:szCs w:val="22"/>
              </w:rPr>
              <w:t xml:space="preserve">SUPPORTED / UNSUPPORTED, one word</w:t>
            </w:r>
          </w:p>
        </w:tc>
      </w:tr>
    </w:tbl>
    <w:p>
      <w:pPr>
        <w:spacing w:after="160" w:before="60" w:line="240"/>
        <w:jc w:val="center"/>
      </w:pPr>
      <w:r>
        <w:rPr>
          <w:rFonts w:ascii="Times New Roman" w:cs="Times New Roman" w:eastAsia="Times New Roman" w:hAnsi="Times New Roman"/>
          <w:i/>
          <w:iCs/>
          <w:sz w:val="20"/>
          <w:szCs w:val="20"/>
        </w:rPr>
        <w:t xml:space="preserve">Table B1. Prompt-engineering summary.</w:t>
      </w:r>
    </w:p>
    <w:p>
      <w:pPr>
        <w:pStyle w:val="Heading1"/>
        <w:spacing w:after="160" w:before="240" w:line="360"/>
      </w:pPr>
      <w:r>
        <w:rPr>
          <w:rFonts w:ascii="Times New Roman" w:cs="Times New Roman" w:eastAsia="Times New Roman" w:hAnsi="Times New Roman"/>
          <w:b/>
          <w:bCs/>
          <w:sz w:val="30"/>
          <w:szCs w:val="30"/>
        </w:rPr>
        <w:t xml:space="preserve">Appendix C — Selected Code Snippet</w:t>
      </w:r>
    </w:p>
    <w:p>
      <w:pPr>
        <w:spacing w:after="120" w:line="360"/>
        <w:jc w:val="both"/>
      </w:pPr>
      <w:r>
        <w:rPr>
          <w:rFonts w:ascii="Times New Roman" w:cs="Times New Roman" w:eastAsia="Times New Roman" w:hAnsi="Times New Roman"/>
          <w:sz w:val="24"/>
          <w:szCs w:val="24"/>
        </w:rPr>
        <w:t xml:space="preserve">Risk evaluation combines the distress signal with danger-cue matching:</w:t>
      </w:r>
    </w:p>
    <w:p>
      <w:pPr>
        <w:shd w:fill="F2F2F2" w:color="auto" w:val="clear"/>
        <w:spacing w:line="240"/>
      </w:pPr>
      <w:r>
        <w:rPr>
          <w:rFonts w:ascii="Courier New" w:cs="Courier New" w:eastAsia="Courier New" w:hAnsi="Courier New"/>
          <w:sz w:val="20"/>
          <w:szCs w:val="20"/>
        </w:rPr>
        <w:t xml:space="preserve">def evaluate(text, distress, is_abuse):</w:t>
      </w:r>
    </w:p>
    <w:p>
      <w:pPr>
        <w:shd w:fill="F2F2F2" w:color="auto" w:val="clear"/>
        <w:spacing w:line="240"/>
      </w:pPr>
      <w:r>
        <w:rPr>
          <w:rFonts w:ascii="Courier New" w:cs="Courier New" w:eastAsia="Courier New" w:hAnsi="Courier New"/>
          <w:sz w:val="20"/>
          <w:szCs w:val="20"/>
        </w:rPr>
        <w:t xml:space="preserve">    base = {'low':0,'medium':1,'high':2}.get(distress, 0)</w:t>
      </w:r>
    </w:p>
    <w:p>
      <w:pPr>
        <w:shd w:fill="F2F2F2" w:color="auto" w:val="clear"/>
        <w:spacing w:line="240"/>
      </w:pPr>
      <w:r>
        <w:rPr>
          <w:rFonts w:ascii="Courier New" w:cs="Courier New" w:eastAsia="Courier New" w:hAnsi="Courier New"/>
          <w:sz w:val="20"/>
          <w:szCs w:val="20"/>
        </w:rPr>
        <w:t xml:space="preserve">    score = base</w:t>
      </w:r>
    </w:p>
    <w:p>
      <w:pPr>
        <w:shd w:fill="F2F2F2" w:color="auto" w:val="clear"/>
        <w:spacing w:line="240"/>
      </w:pPr>
      <w:r>
        <w:rPr>
          <w:rFonts w:ascii="Courier New" w:cs="Courier New" w:eastAsia="Courier New" w:hAnsi="Courier New"/>
          <w:sz w:val="20"/>
          <w:szCs w:val="20"/>
        </w:rPr>
        <w:t xml:space="preserve">    if MED_RISK.search(text):  score = max(score, 1)</w:t>
      </w:r>
    </w:p>
    <w:p>
      <w:pPr>
        <w:shd w:fill="F2F2F2" w:color="auto" w:val="clear"/>
        <w:spacing w:line="240"/>
      </w:pPr>
      <w:r>
        <w:rPr>
          <w:rFonts w:ascii="Courier New" w:cs="Courier New" w:eastAsia="Courier New" w:hAnsi="Courier New"/>
          <w:sz w:val="20"/>
          <w:szCs w:val="20"/>
        </w:rPr>
        <w:t xml:space="preserve">    if HIGH_RISK.search(text): score = 2</w:t>
      </w:r>
    </w:p>
    <w:p>
      <w:pPr>
        <w:shd w:fill="F2F2F2" w:color="auto" w:val="clear"/>
        <w:spacing w:line="240"/>
      </w:pPr>
      <w:r>
        <w:rPr>
          <w:rFonts w:ascii="Courier New" w:cs="Courier New" w:eastAsia="Courier New" w:hAnsi="Courier New"/>
          <w:sz w:val="20"/>
          <w:szCs w:val="20"/>
        </w:rPr>
        <w:t xml:space="preserve">    if is_abuse is False:      score = min(score, 1)</w:t>
      </w:r>
    </w:p>
    <w:p>
      <w:pPr>
        <w:shd w:fill="F2F2F2" w:color="auto" w:val="clear"/>
        <w:spacing w:line="240"/>
      </w:pPr>
      <w:r>
        <w:rPr>
          <w:rFonts w:ascii="Courier New" w:cs="Courier New" w:eastAsia="Courier New" w:hAnsi="Courier New"/>
          <w:sz w:val="20"/>
          <w:szCs w:val="20"/>
        </w:rPr>
        <w:t xml:space="preserve">    level = ['low','medium','high'][score]</w:t>
      </w:r>
    </w:p>
    <w:p>
      <w:pPr>
        <w:shd w:fill="F2F2F2" w:color="auto" w:val="clear"/>
        <w:spacing w:line="240"/>
      </w:pPr>
      <w:r>
        <w:rPr>
          <w:rFonts w:ascii="Courier New" w:cs="Courier New" w:eastAsia="Courier New" w:hAnsi="Courier New"/>
          <w:sz w:val="20"/>
          <w:szCs w:val="20"/>
        </w:rPr>
        <w:t xml:space="preserve">    return {'risk': level, 'urgent_note': level == 'high'}</w:t>
      </w:r>
    </w:p>
    <w:p>
      <w:pPr>
        <w:spacing w:after="60"/>
      </w:pP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sz w:val="24"/>
          <w:szCs w:val="24"/>
        </w:rPr>
        <w:t xml:space="preserve">Further code, the full knowledge base, and the evaluation scripts are provided in the accompanying repository (see README).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SilenceBreaker — Final Project Report   |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120" w:before="180"/>
      <w:outlineLvl w:val="1"/>
    </w:pPr>
    <w:rPr>
      <w:rFonts w:ascii="Times New Roman" w:cs="Times New Roman" w:eastAsia="Times New Roman" w:hAnsi="Times New Roman"/>
      <w:b/>
      <w:bCs/>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2026-06-17T12:43:17.724Z</dcterms:created>
  <dcterms:modified xsi:type="dcterms:W3CDTF">2026-06-17T12:43:17.724Z</dcterms:modified>
</cp:coreProperties>
</file>

<file path=docProps/custom.xml><?xml version="1.0" encoding="utf-8"?>
<Properties xmlns="http://schemas.openxmlformats.org/officeDocument/2006/custom-properties" xmlns:vt="http://schemas.openxmlformats.org/officeDocument/2006/docPropsVTypes"/>
</file>