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48"/>
        </w:rPr>
        <w:t>PRODUCT REQUIREMENTS DOCUMENT (PRD)</w:t>
      </w:r>
    </w:p>
    <w:p>
      <w:pPr>
        <w:spacing w:after="360"/>
      </w:pPr>
      <w:r>
        <w:rPr>
          <w:rFonts w:ascii="Calibri" w:hAnsi="Calibri"/>
          <w:i/>
          <w:color w:val="595959"/>
          <w:sz w:val="26"/>
        </w:rPr>
        <w:t>AutoSpec AI — 2D CAD Vector Takeoff &amp; Pre-Construction Cost Intelligence Engine (MVP Specification)</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F2F2F2"/>
            <w:tcMar>
              <w:top w:w="80" w:type="dxa"/>
              <w:bottom w:w="80" w:type="dxa"/>
              <w:left w:w="100" w:type="dxa"/>
              <w:right w:w="100" w:type="dxa"/>
            </w:tcMar>
          </w:tcPr>
          <w:p>
            <w:pPr>
              <w:spacing w:after="0"/>
            </w:pPr>
            <w:r>
              <w:rPr>
                <w:rFonts w:ascii="Calibri" w:hAnsi="Calibri"/>
                <w:b/>
                <w:color w:val="1F4E79"/>
                <w:sz w:val="19"/>
              </w:rPr>
              <w:t>Project Name</w:t>
            </w:r>
          </w:p>
        </w:tc>
        <w:tc>
          <w:tcPr>
            <w:tcW w:type="dxa" w:w="6480"/>
            <w:shd w:val="clear" w:color="auto" w:fill="FAFAFA"/>
            <w:tcMar>
              <w:top w:w="80" w:type="dxa"/>
              <w:bottom w:w="80" w:type="dxa"/>
              <w:left w:w="100" w:type="dxa"/>
              <w:right w:w="100" w:type="dxa"/>
            </w:tcMar>
          </w:tcPr>
          <w:p>
            <w:pPr>
              <w:spacing w:after="0"/>
            </w:pPr>
            <w:r>
              <w:rPr>
                <w:rFonts w:ascii="Calibri" w:hAnsi="Calibri"/>
                <w:color w:val="262626"/>
                <w:sz w:val="19"/>
              </w:rPr>
              <w:t>AutoSpec AI (Lean MVP Specification)</w:t>
            </w:r>
          </w:p>
        </w:tc>
      </w:tr>
      <w:tr>
        <w:tc>
          <w:tcPr>
            <w:tcW w:type="dxa" w:w="2880"/>
            <w:shd w:val="clear" w:color="auto" w:fill="F2F2F2"/>
            <w:tcMar>
              <w:top w:w="80" w:type="dxa"/>
              <w:bottom w:w="80" w:type="dxa"/>
              <w:left w:w="100" w:type="dxa"/>
              <w:right w:w="100" w:type="dxa"/>
            </w:tcMar>
          </w:tcPr>
          <w:p>
            <w:pPr>
              <w:spacing w:after="0"/>
            </w:pPr>
            <w:r>
              <w:rPr>
                <w:rFonts w:ascii="Calibri" w:hAnsi="Calibri"/>
                <w:b/>
                <w:color w:val="1F4E79"/>
                <w:sz w:val="19"/>
              </w:rPr>
              <w:t>Target Platform</w:t>
            </w:r>
          </w:p>
        </w:tc>
        <w:tc>
          <w:tcPr>
            <w:tcW w:type="dxa" w:w="6480"/>
            <w:shd w:val="clear" w:color="auto" w:fill="FAFAFA"/>
            <w:tcMar>
              <w:top w:w="80" w:type="dxa"/>
              <w:bottom w:w="80" w:type="dxa"/>
              <w:left w:w="100" w:type="dxa"/>
              <w:right w:w="100" w:type="dxa"/>
            </w:tcMar>
          </w:tcPr>
          <w:p>
            <w:pPr>
              <w:spacing w:after="0"/>
            </w:pPr>
            <w:r>
              <w:rPr>
                <w:rFonts w:ascii="Calibri" w:hAnsi="Calibri"/>
                <w:color w:val="262626"/>
                <w:sz w:val="19"/>
              </w:rPr>
              <w:t>Antigravity AI IDE / Streamlit Local Workspace</w:t>
            </w:r>
          </w:p>
        </w:tc>
      </w:tr>
      <w:tr>
        <w:tc>
          <w:tcPr>
            <w:tcW w:type="dxa" w:w="2880"/>
            <w:shd w:val="clear" w:color="auto" w:fill="F2F2F2"/>
            <w:tcMar>
              <w:top w:w="80" w:type="dxa"/>
              <w:bottom w:w="80" w:type="dxa"/>
              <w:left w:w="100" w:type="dxa"/>
              <w:right w:w="100" w:type="dxa"/>
            </w:tcMar>
          </w:tcPr>
          <w:p>
            <w:pPr>
              <w:spacing w:after="0"/>
            </w:pPr>
            <w:r>
              <w:rPr>
                <w:rFonts w:ascii="Calibri" w:hAnsi="Calibri"/>
                <w:b/>
                <w:color w:val="1F4E79"/>
                <w:sz w:val="19"/>
              </w:rPr>
              <w:t>Core Tech Stack</w:t>
            </w:r>
          </w:p>
        </w:tc>
        <w:tc>
          <w:tcPr>
            <w:tcW w:type="dxa" w:w="6480"/>
            <w:shd w:val="clear" w:color="auto" w:fill="FAFAFA"/>
            <w:tcMar>
              <w:top w:w="80" w:type="dxa"/>
              <w:bottom w:w="80" w:type="dxa"/>
              <w:left w:w="100" w:type="dxa"/>
              <w:right w:w="100" w:type="dxa"/>
            </w:tcMar>
          </w:tcPr>
          <w:p>
            <w:pPr>
              <w:spacing w:after="0"/>
            </w:pPr>
            <w:r>
              <w:rPr>
                <w:rFonts w:ascii="Calibri" w:hAnsi="Calibri"/>
                <w:color w:val="262626"/>
                <w:sz w:val="19"/>
              </w:rPr>
              <w:t>Python 3.12, ezdxf, Anthropic Claude 3.5 Sonnet API, pandas, openpyxl, Streamlit</w:t>
            </w:r>
          </w:p>
        </w:tc>
      </w:tr>
      <w:tr>
        <w:tc>
          <w:tcPr>
            <w:tcW w:type="dxa" w:w="2880"/>
            <w:shd w:val="clear" w:color="auto" w:fill="F2F2F2"/>
            <w:tcMar>
              <w:top w:w="80" w:type="dxa"/>
              <w:bottom w:w="80" w:type="dxa"/>
              <w:left w:w="100" w:type="dxa"/>
              <w:right w:w="100" w:type="dxa"/>
            </w:tcMar>
          </w:tcPr>
          <w:p>
            <w:pPr>
              <w:spacing w:after="0"/>
            </w:pPr>
            <w:r>
              <w:rPr>
                <w:rFonts w:ascii="Calibri" w:hAnsi="Calibri"/>
                <w:b/>
                <w:color w:val="1F4E79"/>
                <w:sz w:val="19"/>
              </w:rPr>
              <w:t>Target User Segment</w:t>
            </w:r>
          </w:p>
        </w:tc>
        <w:tc>
          <w:tcPr>
            <w:tcW w:type="dxa" w:w="6480"/>
            <w:shd w:val="clear" w:color="auto" w:fill="FAFAFA"/>
            <w:tcMar>
              <w:top w:w="80" w:type="dxa"/>
              <w:bottom w:w="80" w:type="dxa"/>
              <w:left w:w="100" w:type="dxa"/>
              <w:right w:w="100" w:type="dxa"/>
            </w:tcMar>
          </w:tcPr>
          <w:p>
            <w:pPr>
              <w:spacing w:after="0"/>
            </w:pPr>
            <w:r>
              <w:rPr>
                <w:rFonts w:ascii="Calibri" w:hAnsi="Calibri"/>
                <w:color w:val="262626"/>
                <w:sz w:val="19"/>
              </w:rPr>
              <w:t>Boutique Architectural Studios, Interior Designers, &amp; Quantity Surveyors</w:t>
            </w:r>
          </w:p>
        </w:tc>
      </w:tr>
    </w:tbl>
    <w:p>
      <w:pPr>
        <w:spacing w:after="240"/>
      </w:pPr>
    </w:p>
    <w:p>
      <w:pPr>
        <w:keepNext/>
        <w:spacing w:before="360" w:after="120"/>
      </w:pPr>
      <w:r>
        <w:rPr>
          <w:rFonts w:ascii="Calibri" w:hAnsi="Calibri"/>
          <w:b/>
          <w:color w:val="1F4E79"/>
          <w:sz w:val="32"/>
        </w:rPr>
        <w:t>1. Executive Summary &amp; Product Vision</w:t>
      </w:r>
    </w:p>
    <w:p>
      <w:pPr>
        <w:spacing w:before="0" w:after="120" w:line="276" w:lineRule="auto"/>
      </w:pPr>
      <w:r>
        <w:rPr>
          <w:rFonts w:ascii="Calibri" w:hAnsi="Calibri"/>
          <w:color w:val="262626"/>
          <w:sz w:val="21"/>
        </w:rPr>
        <w:t>AutoSpec AI is an AI-powered pre-construction cost intelligence platform designed specifically for boutique and mid-market architectural studios, interior designers, and cost consultants in India. The application bridges native 2D AutoCAD drawings (.DXF), unstructured client natural language briefs, Bureau of Indian Standards (IS 1200) statutory measurement rules, and live B2B procurement e-commerce catalogs into a unified, automated estimation engine.</w:t>
      </w:r>
    </w:p>
    <w:p>
      <w:pPr>
        <w:spacing w:before="0" w:after="120" w:line="276" w:lineRule="auto"/>
      </w:pPr>
      <w:r>
        <w:rPr>
          <w:rFonts w:ascii="Calibri" w:hAnsi="Calibri"/>
          <w:color w:val="262626"/>
          <w:sz w:val="21"/>
        </w:rPr>
        <w:t>The primary goal of this Minimum Viable Product (MVP) specification is to prove the technical core: demonstrating that an automated Python pipeline can parse 2D vector CAD geometry, interpret verbal client specifications via LLM structured outputs, execute statutory opening deductions, and generate an audited, live-priced Excel Bill of Quantities (BOQ) with clickable procurement links in under 15 minutes.</w:t>
      </w:r>
    </w:p>
    <w:p>
      <w:pPr>
        <w:keepNext/>
        <w:spacing w:before="360" w:after="120"/>
      </w:pPr>
      <w:r>
        <w:rPr>
          <w:rFonts w:ascii="Calibri" w:hAnsi="Calibri"/>
          <w:b/>
          <w:color w:val="1F4E79"/>
          <w:sz w:val="32"/>
        </w:rPr>
        <w:t>2. Problem Statement &amp; Market Reality</w:t>
      </w:r>
    </w:p>
    <w:p>
      <w:pPr>
        <w:pStyle w:val="ListBullet"/>
        <w:spacing w:before="0" w:after="60" w:line="276" w:lineRule="auto"/>
      </w:pPr>
      <w:r>
        <w:rPr>
          <w:rFonts w:ascii="Calibri" w:hAnsi="Calibri"/>
          <w:b/>
          <w:color w:val="262626"/>
          <w:sz w:val="21"/>
        </w:rPr>
        <w:t>The 2D CAD Reality &amp; BIM Cost Wall:</w:t>
      </w:r>
      <w:r>
        <w:rPr>
          <w:rFonts w:ascii="Calibri" w:hAnsi="Calibri"/>
          <w:color w:val="262626"/>
          <w:sz w:val="21"/>
        </w:rPr>
        <w:t xml:space="preserve"> Over 80% to 85% of independent Indian design practices operate strictly in 2D vector CAD (.DWG/.DXF). Transitioning to 3D BIM (Autodesk Revit) is commercially unviable, as full BIM software and hardware suites cost Rs. 5.07 Lakhs to Rs. 6.82 Lakhs per seat in first-year ownership—absorbing 200% to 270% of an independent consultant's gross project fee.</w:t>
      </w:r>
    </w:p>
    <w:p>
      <w:pPr>
        <w:pStyle w:val="ListBullet"/>
        <w:spacing w:before="0" w:after="60" w:line="276" w:lineRule="auto"/>
      </w:pPr>
      <w:r>
        <w:rPr>
          <w:rFonts w:ascii="Calibri" w:hAnsi="Calibri"/>
          <w:b/>
          <w:color w:val="262626"/>
          <w:sz w:val="21"/>
        </w:rPr>
        <w:t>Manual Takeoff &amp; Labor Waste:</w:t>
      </w:r>
      <w:r>
        <w:rPr>
          <w:rFonts w:ascii="Calibri" w:hAnsi="Calibri"/>
          <w:color w:val="262626"/>
          <w:sz w:val="21"/>
        </w:rPr>
        <w:t xml:space="preserve"> In small-to-mid residential builds, separate cost estimators are not hired. Lead architects or junior designers perform quantity takeoffs manually by tracing polylines (PLINE, AREA) or counting block symbols one by one on screen. This consumes 50% to 80% of total project estimation effort and introduces a +-10% to 15% human error rate from broken formulas and typos.</w:t>
      </w:r>
    </w:p>
    <w:p>
      <w:pPr>
        <w:pStyle w:val="ListBullet"/>
        <w:spacing w:before="0" w:after="60" w:line="276" w:lineRule="auto"/>
      </w:pPr>
      <w:r>
        <w:rPr>
          <w:rFonts w:ascii="Calibri" w:hAnsi="Calibri"/>
          <w:b/>
          <w:color w:val="262626"/>
          <w:sz w:val="21"/>
        </w:rPr>
        <w:t>Stage 1 Budget Disconnect:</w:t>
      </w:r>
      <w:r>
        <w:rPr>
          <w:rFonts w:ascii="Calibri" w:hAnsi="Calibri"/>
          <w:color w:val="262626"/>
          <w:sz w:val="21"/>
        </w:rPr>
        <w:t xml:space="preserve"> During initial Stage 1 discovery, architects rely on rough plinth-area rates (Rs. 1,800–3,500/sq. ft.) that cover basic civil structure but omit false ceilings, MEP fixtures, and interior finishes. Translating client verbal desires into priced SKUs takes weeks, creating a 10% to 25% 'Budget-Aspiration Gap' that triggers expensive site rework.</w:t>
      </w:r>
    </w:p>
    <w:p>
      <w:pPr>
        <w:pStyle w:val="ListBullet"/>
        <w:spacing w:before="0" w:after="60" w:line="276" w:lineRule="auto"/>
      </w:pPr>
      <w:r>
        <w:rPr>
          <w:rFonts w:ascii="Calibri" w:hAnsi="Calibri"/>
          <w:b/>
          <w:color w:val="262626"/>
          <w:sz w:val="21"/>
        </w:rPr>
        <w:t>Static Rate Schedule Lag:</w:t>
      </w:r>
      <w:r>
        <w:rPr>
          <w:rFonts w:ascii="Calibri" w:hAnsi="Calibri"/>
          <w:color w:val="262626"/>
          <w:sz w:val="21"/>
        </w:rPr>
        <w:t xml:space="preserve"> Traditional estimates rely on public reference books like the CPWD Delhi Schedule of Rates (DSR), which suffer from a 6 to 24 month reporting lag and fail to reflect spot market surges (e.g. river sand +85.2% over DSR baselines).</w:t>
      </w:r>
    </w:p>
    <w:p>
      <w:pPr>
        <w:keepNext/>
        <w:spacing w:before="360" w:after="120"/>
      </w:pPr>
      <w:r>
        <w:rPr>
          <w:rFonts w:ascii="Calibri" w:hAnsi="Calibri"/>
          <w:b/>
          <w:color w:val="1F4E79"/>
          <w:sz w:val="32"/>
        </w:rPr>
        <w:t>3. Core System Architecture &amp; Module Specs</w:t>
      </w:r>
    </w:p>
    <w:p>
      <w:pPr>
        <w:spacing w:before="0" w:after="120" w:line="276" w:lineRule="auto"/>
      </w:pPr>
      <w:r>
        <w:rPr>
          <w:rFonts w:ascii="Calibri" w:hAnsi="Calibri"/>
          <w:color w:val="262626"/>
          <w:sz w:val="21"/>
        </w:rPr>
        <w:t>The MVP architecture is built as a lean, 100% Python pipeline comprising four distinct functional modules and a Streamlit frontend:</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F4E79"/>
            <w:tcMar>
              <w:top w:w="100" w:type="dxa"/>
              <w:bottom w:w="100" w:type="dxa"/>
              <w:left w:w="100" w:type="dxa"/>
              <w:right w:w="100" w:type="dxa"/>
            </w:tcMar>
          </w:tcPr>
          <w:p>
            <w:pPr>
              <w:jc w:val="left"/>
            </w:pPr>
            <w:r>
              <w:rPr>
                <w:rFonts w:ascii="Calibri" w:hAnsi="Calibri"/>
                <w:b/>
                <w:color w:val="FFFFFF"/>
                <w:sz w:val="20"/>
              </w:rPr>
              <w:t>Module Name</w:t>
            </w:r>
          </w:p>
        </w:tc>
        <w:tc>
          <w:tcPr>
            <w:tcW w:type="dxa" w:w="2592"/>
            <w:shd w:val="clear" w:color="auto" w:fill="1F4E79"/>
            <w:tcMar>
              <w:top w:w="100" w:type="dxa"/>
              <w:bottom w:w="100" w:type="dxa"/>
              <w:left w:w="100" w:type="dxa"/>
              <w:right w:w="100" w:type="dxa"/>
            </w:tcMar>
          </w:tcPr>
          <w:p>
            <w:pPr>
              <w:jc w:val="left"/>
            </w:pPr>
            <w:r>
              <w:rPr>
                <w:rFonts w:ascii="Calibri" w:hAnsi="Calibri"/>
                <w:b/>
                <w:color w:val="FFFFFF"/>
                <w:sz w:val="20"/>
              </w:rPr>
              <w:t>Primary Python Libraries</w:t>
            </w:r>
          </w:p>
        </w:tc>
        <w:tc>
          <w:tcPr>
            <w:tcW w:type="dxa" w:w="4176"/>
            <w:shd w:val="clear" w:color="auto" w:fill="1F4E79"/>
            <w:tcMar>
              <w:top w:w="100" w:type="dxa"/>
              <w:bottom w:w="100" w:type="dxa"/>
              <w:left w:w="100" w:type="dxa"/>
              <w:right w:w="100" w:type="dxa"/>
            </w:tcMar>
          </w:tcPr>
          <w:p>
            <w:pPr>
              <w:jc w:val="left"/>
            </w:pPr>
            <w:r>
              <w:rPr>
                <w:rFonts w:ascii="Calibri" w:hAnsi="Calibri"/>
                <w:b/>
                <w:color w:val="FFFFFF"/>
                <w:sz w:val="20"/>
              </w:rPr>
              <w:t>Core Functionality</w:t>
            </w:r>
          </w:p>
        </w:tc>
      </w:tr>
      <w:tr>
        <w:tc>
          <w:tcPr>
            <w:tcW w:type="dxa" w:w="2592"/>
            <w:shd w:val="clear" w:color="auto" w:fill="FAFAFA"/>
            <w:tcMar>
              <w:top w:w="80" w:type="dxa"/>
              <w:bottom w:w="80" w:type="dxa"/>
              <w:left w:w="100" w:type="dxa"/>
              <w:right w:w="100" w:type="dxa"/>
            </w:tcMar>
          </w:tcPr>
          <w:p>
            <w:pPr>
              <w:spacing w:after="0"/>
            </w:pPr>
            <w:r>
              <w:rPr>
                <w:rFonts w:ascii="Calibri" w:hAnsi="Calibri"/>
                <w:color w:val="262626"/>
                <w:sz w:val="19"/>
              </w:rPr>
              <w:t>CAD Vector Parser (cad_parser.py)</w:t>
            </w:r>
          </w:p>
        </w:tc>
        <w:tc>
          <w:tcPr>
            <w:tcW w:type="dxa" w:w="2592"/>
            <w:shd w:val="clear" w:color="auto" w:fill="FAFAFA"/>
            <w:tcMar>
              <w:top w:w="80" w:type="dxa"/>
              <w:bottom w:w="80" w:type="dxa"/>
              <w:left w:w="100" w:type="dxa"/>
              <w:right w:w="100" w:type="dxa"/>
            </w:tcMar>
          </w:tcPr>
          <w:p>
            <w:pPr>
              <w:spacing w:after="0"/>
            </w:pPr>
            <w:r>
              <w:rPr>
                <w:rFonts w:ascii="Calibri" w:hAnsi="Calibri"/>
                <w:color w:val="262626"/>
                <w:sz w:val="19"/>
              </w:rPr>
              <w:t>ezdxf</w:t>
            </w:r>
          </w:p>
        </w:tc>
        <w:tc>
          <w:tcPr>
            <w:tcW w:type="dxa" w:w="4176"/>
            <w:shd w:val="clear" w:color="auto" w:fill="FAFAFA"/>
            <w:tcMar>
              <w:top w:w="80" w:type="dxa"/>
              <w:bottom w:w="80" w:type="dxa"/>
              <w:left w:w="100" w:type="dxa"/>
              <w:right w:w="100" w:type="dxa"/>
            </w:tcMar>
          </w:tcPr>
          <w:p>
            <w:pPr>
              <w:spacing w:after="0"/>
            </w:pPr>
            <w:r>
              <w:rPr>
                <w:rFonts w:ascii="Calibri" w:hAnsi="Calibri"/>
                <w:color w:val="262626"/>
                <w:sz w:val="19"/>
              </w:rPr>
              <w:t>Extracts INSERT block counts (lights, fans) and HATCH/LWPOLYLINE surface areas directly from .DXF vector files.</w:t>
            </w:r>
          </w:p>
        </w:tc>
      </w:tr>
      <w:tr>
        <w:tc>
          <w:tcPr>
            <w:tcW w:type="dxa" w:w="2592"/>
            <w:shd w:val="clear" w:color="auto" w:fill="FFFFFF"/>
            <w:tcMar>
              <w:top w:w="80" w:type="dxa"/>
              <w:bottom w:w="80" w:type="dxa"/>
              <w:left w:w="100" w:type="dxa"/>
              <w:right w:w="100" w:type="dxa"/>
            </w:tcMar>
          </w:tcPr>
          <w:p>
            <w:pPr>
              <w:spacing w:after="0"/>
            </w:pPr>
            <w:r>
              <w:rPr>
                <w:rFonts w:ascii="Calibri" w:hAnsi="Calibri"/>
                <w:color w:val="262626"/>
                <w:sz w:val="19"/>
              </w:rPr>
              <w:t>NL Brief Interpreter (spec_parser.py)</w:t>
            </w:r>
          </w:p>
        </w:tc>
        <w:tc>
          <w:tcPr>
            <w:tcW w:type="dxa" w:w="2592"/>
            <w:shd w:val="clear" w:color="auto" w:fill="FFFFFF"/>
            <w:tcMar>
              <w:top w:w="80" w:type="dxa"/>
              <w:bottom w:w="80" w:type="dxa"/>
              <w:left w:w="100" w:type="dxa"/>
              <w:right w:w="100" w:type="dxa"/>
            </w:tcMar>
          </w:tcPr>
          <w:p>
            <w:pPr>
              <w:spacing w:after="0"/>
            </w:pPr>
            <w:r>
              <w:rPr>
                <w:rFonts w:ascii="Calibri" w:hAnsi="Calibri"/>
                <w:color w:val="262626"/>
                <w:sz w:val="19"/>
              </w:rPr>
              <w:t>anthropic (Claude 3.5 Sonnet)</w:t>
            </w:r>
          </w:p>
        </w:tc>
        <w:tc>
          <w:tcPr>
            <w:tcW w:type="dxa" w:w="4176"/>
            <w:shd w:val="clear" w:color="auto" w:fill="FFFFFF"/>
            <w:tcMar>
              <w:top w:w="80" w:type="dxa"/>
              <w:bottom w:w="80" w:type="dxa"/>
              <w:left w:w="100" w:type="dxa"/>
              <w:right w:w="100" w:type="dxa"/>
            </w:tcMar>
          </w:tcPr>
          <w:p>
            <w:pPr>
              <w:spacing w:after="0"/>
            </w:pPr>
            <w:r>
              <w:rPr>
                <w:rFonts w:ascii="Calibri" w:hAnsi="Calibri"/>
                <w:color w:val="262626"/>
                <w:sz w:val="19"/>
              </w:rPr>
              <w:t>Converts unstructured client text/voice briefs into typed technical JSON schemas using Tool Use / Structured Outputs.</w:t>
            </w:r>
          </w:p>
        </w:tc>
      </w:tr>
      <w:tr>
        <w:tc>
          <w:tcPr>
            <w:tcW w:type="dxa" w:w="2592"/>
            <w:shd w:val="clear" w:color="auto" w:fill="FAFAFA"/>
            <w:tcMar>
              <w:top w:w="80" w:type="dxa"/>
              <w:bottom w:w="80" w:type="dxa"/>
              <w:left w:w="100" w:type="dxa"/>
              <w:right w:w="100" w:type="dxa"/>
            </w:tcMar>
          </w:tcPr>
          <w:p>
            <w:pPr>
              <w:spacing w:after="0"/>
            </w:pPr>
            <w:r>
              <w:rPr>
                <w:rFonts w:ascii="Calibri" w:hAnsi="Calibri"/>
                <w:color w:val="262626"/>
                <w:sz w:val="19"/>
              </w:rPr>
              <w:t>IS 1200 Rules Engine (boq_engine.py)</w:t>
            </w:r>
          </w:p>
        </w:tc>
        <w:tc>
          <w:tcPr>
            <w:tcW w:type="dxa" w:w="2592"/>
            <w:shd w:val="clear" w:color="auto" w:fill="FAFAFA"/>
            <w:tcMar>
              <w:top w:w="80" w:type="dxa"/>
              <w:bottom w:w="80" w:type="dxa"/>
              <w:left w:w="100" w:type="dxa"/>
              <w:right w:w="100" w:type="dxa"/>
            </w:tcMar>
          </w:tcPr>
          <w:p>
            <w:pPr>
              <w:spacing w:after="0"/>
            </w:pPr>
            <w:r>
              <w:rPr>
                <w:rFonts w:ascii="Calibri" w:hAnsi="Calibri"/>
                <w:color w:val="262626"/>
                <w:sz w:val="19"/>
              </w:rPr>
              <w:t>Python Standard Library</w:t>
            </w:r>
          </w:p>
        </w:tc>
        <w:tc>
          <w:tcPr>
            <w:tcW w:type="dxa" w:w="4176"/>
            <w:shd w:val="clear" w:color="auto" w:fill="FAFAFA"/>
            <w:tcMar>
              <w:top w:w="80" w:type="dxa"/>
              <w:bottom w:w="80" w:type="dxa"/>
              <w:left w:w="100" w:type="dxa"/>
              <w:right w:w="100" w:type="dxa"/>
            </w:tcMar>
          </w:tcPr>
          <w:p>
            <w:pPr>
              <w:spacing w:after="0"/>
            </w:pPr>
            <w:r>
              <w:rPr>
                <w:rFonts w:ascii="Calibri" w:hAnsi="Calibri"/>
                <w:color w:val="262626"/>
                <w:sz w:val="19"/>
              </w:rPr>
              <w:t>Applies statutory Indian Standard opening deduction rules (IS 1200 Part 4 for masonry &amp; Part 12 for plastering).</w:t>
            </w:r>
          </w:p>
        </w:tc>
      </w:tr>
      <w:tr>
        <w:tc>
          <w:tcPr>
            <w:tcW w:type="dxa" w:w="2592"/>
            <w:shd w:val="clear" w:color="auto" w:fill="FFFFFF"/>
            <w:tcMar>
              <w:top w:w="80" w:type="dxa"/>
              <w:bottom w:w="80" w:type="dxa"/>
              <w:left w:w="100" w:type="dxa"/>
              <w:right w:w="100" w:type="dxa"/>
            </w:tcMar>
          </w:tcPr>
          <w:p>
            <w:pPr>
              <w:spacing w:after="0"/>
            </w:pPr>
            <w:r>
              <w:rPr>
                <w:rFonts w:ascii="Calibri" w:hAnsi="Calibri"/>
                <w:color w:val="262626"/>
                <w:sz w:val="19"/>
              </w:rPr>
              <w:t>Web UI &amp; BOQ Exporter (app.py)</w:t>
            </w:r>
          </w:p>
        </w:tc>
        <w:tc>
          <w:tcPr>
            <w:tcW w:type="dxa" w:w="2592"/>
            <w:shd w:val="clear" w:color="auto" w:fill="FFFFFF"/>
            <w:tcMar>
              <w:top w:w="80" w:type="dxa"/>
              <w:bottom w:w="80" w:type="dxa"/>
              <w:left w:w="100" w:type="dxa"/>
              <w:right w:w="100" w:type="dxa"/>
            </w:tcMar>
          </w:tcPr>
          <w:p>
            <w:pPr>
              <w:spacing w:after="0"/>
            </w:pPr>
            <w:r>
              <w:rPr>
                <w:rFonts w:ascii="Calibri" w:hAnsi="Calibri"/>
                <w:color w:val="262626"/>
                <w:sz w:val="19"/>
              </w:rPr>
              <w:t>streamlit, pandas, openpyxl</w:t>
            </w:r>
          </w:p>
        </w:tc>
        <w:tc>
          <w:tcPr>
            <w:tcW w:type="dxa" w:w="4176"/>
            <w:shd w:val="clear" w:color="auto" w:fill="FFFFFF"/>
            <w:tcMar>
              <w:top w:w="80" w:type="dxa"/>
              <w:bottom w:w="80" w:type="dxa"/>
              <w:left w:w="100" w:type="dxa"/>
              <w:right w:w="100" w:type="dxa"/>
            </w:tcMar>
          </w:tcPr>
          <w:p>
            <w:pPr>
              <w:spacing w:after="0"/>
            </w:pPr>
            <w:r>
              <w:rPr>
                <w:rFonts w:ascii="Calibri" w:hAnsi="Calibri"/>
                <w:color w:val="262626"/>
                <w:sz w:val="19"/>
              </w:rPr>
              <w:t>Provides single-page drag-and-drop web UI, displays interactive BOQ preview table, and exports formatted .xlsx files.</w:t>
            </w:r>
          </w:p>
        </w:tc>
      </w:tr>
    </w:tbl>
    <w:p>
      <w:pPr>
        <w:spacing w:after="120"/>
      </w:pPr>
    </w:p>
    <w:p>
      <w:pPr>
        <w:keepNext/>
        <w:spacing w:before="280" w:after="80"/>
      </w:pPr>
      <w:r>
        <w:rPr>
          <w:rFonts w:ascii="Calibri" w:hAnsi="Calibri"/>
          <w:b/>
          <w:color w:val="595959"/>
          <w:sz w:val="26"/>
        </w:rPr>
        <w:t>Module 1: CAD Ingestion &amp; Vector Parsing (cad_parser.py)</w:t>
      </w:r>
    </w:p>
    <w:p>
      <w:pPr>
        <w:pStyle w:val="ListBullet"/>
        <w:spacing w:before="0" w:after="60" w:line="276" w:lineRule="auto"/>
      </w:pPr>
      <w:r>
        <w:rPr>
          <w:rFonts w:ascii="Calibri" w:hAnsi="Calibri"/>
          <w:b/>
          <w:color w:val="262626"/>
          <w:sz w:val="21"/>
        </w:rPr>
        <w:t xml:space="preserve">File Support: </w:t>
      </w:r>
      <w:r>
        <w:rPr>
          <w:rFonts w:ascii="Calibri" w:hAnsi="Calibri"/>
          <w:color w:val="262626"/>
          <w:sz w:val="21"/>
        </w:rPr>
        <w:t>Ingest 2D CAD files in DXF format (R12 to 2018 ASCII/Binary formats) using the ezdxf library.</w:t>
      </w:r>
    </w:p>
    <w:p>
      <w:pPr>
        <w:pStyle w:val="ListBullet"/>
        <w:spacing w:before="0" w:after="60" w:line="276" w:lineRule="auto"/>
      </w:pPr>
      <w:r>
        <w:rPr>
          <w:rFonts w:ascii="Calibri" w:hAnsi="Calibri"/>
          <w:b/>
          <w:color w:val="262626"/>
          <w:sz w:val="21"/>
        </w:rPr>
        <w:t xml:space="preserve">Block Symbol Counting: </w:t>
      </w:r>
      <w:r>
        <w:rPr>
          <w:rFonts w:ascii="Calibri" w:hAnsi="Calibri"/>
          <w:color w:val="262626"/>
          <w:sz w:val="21"/>
        </w:rPr>
        <w:t>Iterate over model space INSERT entities. Count instances of blocks matching target naming conventions or layer groups (e.g., 'LIGHT_DOWNLIGHT', 'FAN_CEILING', 'SWITCH_MODULAR'). Extract insertion points and block attributes.</w:t>
      </w:r>
    </w:p>
    <w:p>
      <w:pPr>
        <w:pStyle w:val="ListBullet"/>
        <w:spacing w:before="0" w:after="60" w:line="276" w:lineRule="auto"/>
      </w:pPr>
      <w:r>
        <w:rPr>
          <w:rFonts w:ascii="Calibri" w:hAnsi="Calibri"/>
          <w:b/>
          <w:color w:val="262626"/>
          <w:sz w:val="21"/>
        </w:rPr>
        <w:t xml:space="preserve">Hatch &amp; Surface Area Engine: </w:t>
      </w:r>
      <w:r>
        <w:rPr>
          <w:rFonts w:ascii="Calibri" w:hAnsi="Calibri"/>
          <w:color w:val="262626"/>
          <w:sz w:val="21"/>
        </w:rPr>
        <w:t>Extract closed LWPOLYLINE and HATCH entities on designated layers. Calculate net 2D plan boundary areas in square meters / square feet.</w:t>
      </w:r>
    </w:p>
    <w:p>
      <w:pPr>
        <w:pStyle w:val="ListBullet"/>
        <w:spacing w:before="0" w:after="60" w:line="276" w:lineRule="auto"/>
      </w:pPr>
      <w:r>
        <w:rPr>
          <w:rFonts w:ascii="Calibri" w:hAnsi="Calibri"/>
          <w:b/>
          <w:color w:val="262626"/>
          <w:sz w:val="21"/>
        </w:rPr>
        <w:t xml:space="preserve">Category Mapping: </w:t>
      </w:r>
      <w:r>
        <w:rPr>
          <w:rFonts w:ascii="Calibri" w:hAnsi="Calibri"/>
          <w:color w:val="262626"/>
          <w:sz w:val="21"/>
        </w:rPr>
        <w:t>Map parsed entities to standardized trade categories: Civil, Electrical, Plumbing, HVAC, and Finishes.</w:t>
      </w:r>
    </w:p>
    <w:p>
      <w:pPr>
        <w:keepNext/>
        <w:spacing w:before="280" w:after="80"/>
      </w:pPr>
      <w:r>
        <w:rPr>
          <w:rFonts w:ascii="Calibri" w:hAnsi="Calibri"/>
          <w:b/>
          <w:color w:val="595959"/>
          <w:sz w:val="26"/>
        </w:rPr>
        <w:t>Module 2: Natural Language Brief Interpreter (spec_parser.py)</w:t>
      </w:r>
    </w:p>
    <w:p>
      <w:pPr>
        <w:pStyle w:val="ListBullet"/>
        <w:spacing w:before="0" w:after="60" w:line="276" w:lineRule="auto"/>
      </w:pPr>
      <w:r>
        <w:rPr>
          <w:rFonts w:ascii="Calibri" w:hAnsi="Calibri"/>
          <w:b/>
          <w:color w:val="262626"/>
          <w:sz w:val="21"/>
        </w:rPr>
        <w:t xml:space="preserve">Prompt Processing: </w:t>
      </w:r>
      <w:r>
        <w:rPr>
          <w:rFonts w:ascii="Calibri" w:hAnsi="Calibri"/>
          <w:color w:val="262626"/>
          <w:sz w:val="21"/>
        </w:rPr>
        <w:t>Accept unstructured text inputs (or transcribed voice notes) containing Stage 1 client preferences.</w:t>
      </w:r>
    </w:p>
    <w:p>
      <w:pPr>
        <w:pStyle w:val="ListBullet"/>
        <w:spacing w:before="0" w:after="60" w:line="276" w:lineRule="auto"/>
      </w:pPr>
      <w:r>
        <w:rPr>
          <w:rFonts w:ascii="Calibri" w:hAnsi="Calibri"/>
          <w:b/>
          <w:color w:val="262626"/>
          <w:sz w:val="21"/>
        </w:rPr>
        <w:t xml:space="preserve">Structured LLM Schema: </w:t>
      </w:r>
      <w:r>
        <w:rPr>
          <w:rFonts w:ascii="Calibri" w:hAnsi="Calibri"/>
          <w:color w:val="262626"/>
          <w:sz w:val="21"/>
        </w:rPr>
        <w:t>Call Claude 3.5 Sonnet API using Tool Use / Pydantic schema enforcement to extract exact technical attributes:</w:t>
      </w:r>
    </w:p>
    <w:p>
      <w:pPr>
        <w:pStyle w:val="ListBullet"/>
        <w:spacing w:before="0" w:after="60" w:line="276" w:lineRule="auto"/>
      </w:pPr>
      <w:r>
        <w:rPr>
          <w:rFonts w:ascii="Calibri" w:hAnsi="Calibri"/>
          <w:b/>
          <w:color w:val="262626"/>
          <w:sz w:val="21"/>
        </w:rPr>
        <w:t xml:space="preserve">• Lighting Specs: </w:t>
      </w:r>
      <w:r>
        <w:rPr>
          <w:rFonts w:ascii="Calibri" w:hAnsi="Calibri"/>
          <w:color w:val="262626"/>
          <w:sz w:val="21"/>
        </w:rPr>
        <w:t>Wattage (e.g. 12W, 15W), Color Temperature (e.g. 3000K Warm White, 6000K Cool White), Driver Type, Brand Preference (e.g. Philips, Havells).</w:t>
      </w:r>
    </w:p>
    <w:p>
      <w:pPr>
        <w:pStyle w:val="ListBullet"/>
        <w:spacing w:before="0" w:after="60" w:line="276" w:lineRule="auto"/>
      </w:pPr>
      <w:r>
        <w:rPr>
          <w:rFonts w:ascii="Calibri" w:hAnsi="Calibri"/>
          <w:b/>
          <w:color w:val="262626"/>
          <w:sz w:val="21"/>
        </w:rPr>
        <w:t xml:space="preserve">• Fan Specs: </w:t>
      </w:r>
      <w:r>
        <w:rPr>
          <w:rFonts w:ascii="Calibri" w:hAnsi="Calibri"/>
          <w:color w:val="262626"/>
          <w:sz w:val="21"/>
        </w:rPr>
        <w:t>Motor Type (e.g. BLDC Energy Efficient, Induction), Sweep Size (e.g. 1200mm), Air Delivery CFM, Brand Preference (e.g. Atomberg, Orient).</w:t>
      </w:r>
    </w:p>
    <w:p>
      <w:pPr>
        <w:pStyle w:val="ListBullet"/>
        <w:spacing w:before="0" w:after="60" w:line="276" w:lineRule="auto"/>
      </w:pPr>
      <w:r>
        <w:rPr>
          <w:rFonts w:ascii="Calibri" w:hAnsi="Calibri"/>
          <w:b/>
          <w:color w:val="262626"/>
          <w:sz w:val="21"/>
        </w:rPr>
        <w:t xml:space="preserve">• Switch Specs: </w:t>
      </w:r>
      <w:r>
        <w:rPr>
          <w:rFonts w:ascii="Calibri" w:hAnsi="Calibri"/>
          <w:color w:val="262626"/>
          <w:sz w:val="21"/>
        </w:rPr>
        <w:t>Grade/Type (e.g. 6A/16A Modular, Smart Switches), Plate Color, Brand Preference (e.g. Schneider, Legrand).</w:t>
      </w:r>
    </w:p>
    <w:p>
      <w:pPr>
        <w:keepNext/>
        <w:spacing w:before="280" w:after="80"/>
      </w:pPr>
      <w:r>
        <w:rPr>
          <w:rFonts w:ascii="Calibri" w:hAnsi="Calibri"/>
          <w:b/>
          <w:color w:val="595959"/>
          <w:sz w:val="26"/>
        </w:rPr>
        <w:t>Module 3: IS 1200 Statutory Calculation Engine (boq_engine.py)</w:t>
      </w:r>
    </w:p>
    <w:p>
      <w:pPr>
        <w:pStyle w:val="ListBullet"/>
        <w:spacing w:before="0" w:after="60" w:line="276" w:lineRule="auto"/>
      </w:pPr>
      <w:r>
        <w:rPr>
          <w:rFonts w:ascii="Calibri" w:hAnsi="Calibri"/>
          <w:b/>
          <w:color w:val="262626"/>
          <w:sz w:val="21"/>
        </w:rPr>
        <w:t xml:space="preserve">Statutory Measurement Rules: </w:t>
      </w:r>
      <w:r>
        <w:rPr>
          <w:rFonts w:ascii="Calibri" w:hAnsi="Calibri"/>
          <w:color w:val="262626"/>
          <w:sz w:val="21"/>
        </w:rPr>
        <w:t>Hardcode statutory Bureau of Indian Standards (BIS) deduction logic into pure Python functions.</w:t>
      </w:r>
    </w:p>
    <w:p>
      <w:pPr>
        <w:pStyle w:val="ListBullet"/>
        <w:spacing w:before="0" w:after="60" w:line="276" w:lineRule="auto"/>
      </w:pPr>
      <w:r>
        <w:rPr>
          <w:rFonts w:ascii="Calibri" w:hAnsi="Calibri"/>
          <w:b/>
          <w:color w:val="262626"/>
          <w:sz w:val="21"/>
        </w:rPr>
        <w:t xml:space="preserve">• Concrete &amp; Masonry (IS 1200 Part 2 &amp; 4): </w:t>
      </w:r>
      <w:r>
        <w:rPr>
          <w:rFonts w:ascii="Calibri" w:hAnsi="Calibri"/>
          <w:color w:val="262626"/>
          <w:sz w:val="21"/>
        </w:rPr>
        <w:t>No deduction made for openings up to 0.1 sq. m.</w:t>
      </w:r>
    </w:p>
    <w:p>
      <w:pPr>
        <w:pStyle w:val="ListBullet"/>
        <w:spacing w:before="0" w:after="60" w:line="276" w:lineRule="auto"/>
      </w:pPr>
      <w:r>
        <w:rPr>
          <w:rFonts w:ascii="Calibri" w:hAnsi="Calibri"/>
          <w:b/>
          <w:color w:val="262626"/>
          <w:sz w:val="21"/>
        </w:rPr>
        <w:t xml:space="preserve">• Plastering &amp; Pointing (IS 1200 Part 12): </w:t>
      </w:r>
      <w:r>
        <w:rPr>
          <w:rFonts w:ascii="Calibri" w:hAnsi="Calibri"/>
          <w:color w:val="262626"/>
          <w:sz w:val="21"/>
        </w:rPr>
        <w:t>Openings &lt;= 0.5 sq. m = Zero deduction, no reveals added. Openings 0.5 to 3.0 sq. m = Deduct one face only. Openings &gt; 3.0 sq. m = Deduct both faces and add jambs/reveals.</w:t>
      </w:r>
    </w:p>
    <w:p>
      <w:pPr>
        <w:pStyle w:val="ListBullet"/>
        <w:spacing w:before="0" w:after="60" w:line="276" w:lineRule="auto"/>
      </w:pPr>
      <w:r>
        <w:rPr>
          <w:rFonts w:ascii="Calibri" w:hAnsi="Calibri"/>
          <w:b/>
          <w:color w:val="262626"/>
          <w:sz w:val="21"/>
        </w:rPr>
        <w:t xml:space="preserve">Local Price &amp; Link Matcher: </w:t>
      </w:r>
      <w:r>
        <w:rPr>
          <w:rFonts w:ascii="Calibri" w:hAnsi="Calibri"/>
          <w:color w:val="262626"/>
          <w:sz w:val="21"/>
        </w:rPr>
        <w:t>Query a local seed catalog.json file containing 30–50 common Indian MEP/lighting SKUs (Havells, Philips, Atomberg, Schneider) with unit rates and e-commerce URLs.</w:t>
      </w:r>
    </w:p>
    <w:p>
      <w:pPr>
        <w:keepNext/>
        <w:spacing w:before="280" w:after="80"/>
      </w:pPr>
      <w:r>
        <w:rPr>
          <w:rFonts w:ascii="Calibri" w:hAnsi="Calibri"/>
          <w:b/>
          <w:color w:val="595959"/>
          <w:sz w:val="26"/>
        </w:rPr>
        <w:t>Module 4: Streamlit Web UI &amp; BOQ Exporter (app.py)</w:t>
      </w:r>
    </w:p>
    <w:p>
      <w:pPr>
        <w:pStyle w:val="ListBullet"/>
        <w:spacing w:before="0" w:after="60" w:line="276" w:lineRule="auto"/>
      </w:pPr>
      <w:r>
        <w:rPr>
          <w:rFonts w:ascii="Calibri" w:hAnsi="Calibri"/>
          <w:b/>
          <w:color w:val="262626"/>
          <w:sz w:val="21"/>
        </w:rPr>
        <w:t xml:space="preserve">Frontend Framework: </w:t>
      </w:r>
      <w:r>
        <w:rPr>
          <w:rFonts w:ascii="Calibri" w:hAnsi="Calibri"/>
          <w:color w:val="262626"/>
          <w:sz w:val="21"/>
        </w:rPr>
        <w:t>Single-page Web GUI built with Streamlit.</w:t>
      </w:r>
    </w:p>
    <w:p>
      <w:pPr>
        <w:pStyle w:val="ListBullet"/>
        <w:spacing w:before="0" w:after="60" w:line="276" w:lineRule="auto"/>
      </w:pPr>
      <w:r>
        <w:rPr>
          <w:rFonts w:ascii="Calibri" w:hAnsi="Calibri"/>
          <w:b/>
          <w:color w:val="262626"/>
          <w:sz w:val="21"/>
        </w:rPr>
        <w:t xml:space="preserve">UI Components: </w:t>
      </w:r>
      <w:r>
        <w:rPr>
          <w:rFonts w:ascii="Calibri" w:hAnsi="Calibri"/>
          <w:color w:val="262626"/>
          <w:sz w:val="21"/>
        </w:rPr>
        <w:t>Sidebar file uploader for .DXF drawings; text area for pasting Stage 1 client briefs; 'Generate BOQ' execution button.</w:t>
      </w:r>
    </w:p>
    <w:p>
      <w:pPr>
        <w:pStyle w:val="ListBullet"/>
        <w:spacing w:before="0" w:after="60" w:line="276" w:lineRule="auto"/>
      </w:pPr>
      <w:r>
        <w:rPr>
          <w:rFonts w:ascii="Calibri" w:hAnsi="Calibri"/>
          <w:b/>
          <w:color w:val="262626"/>
          <w:sz w:val="21"/>
        </w:rPr>
        <w:t xml:space="preserve">Interactive Preview: </w:t>
      </w:r>
      <w:r>
        <w:rPr>
          <w:rFonts w:ascii="Calibri" w:hAnsi="Calibri"/>
          <w:color w:val="262626"/>
          <w:sz w:val="21"/>
        </w:rPr>
        <w:t>Interactive data table displaying line items, quantities, unit rates, section subtotals, and clickable buy-links.</w:t>
      </w:r>
    </w:p>
    <w:p>
      <w:pPr>
        <w:pStyle w:val="ListBullet"/>
        <w:spacing w:before="0" w:after="60" w:line="276" w:lineRule="auto"/>
      </w:pPr>
      <w:r>
        <w:rPr>
          <w:rFonts w:ascii="Calibri" w:hAnsi="Calibri"/>
          <w:b/>
          <w:color w:val="262626"/>
          <w:sz w:val="21"/>
        </w:rPr>
        <w:t xml:space="preserve">Excel Exporter: </w:t>
      </w:r>
      <w:r>
        <w:rPr>
          <w:rFonts w:ascii="Calibri" w:hAnsi="Calibri"/>
          <w:color w:val="262626"/>
          <w:sz w:val="21"/>
        </w:rPr>
        <w:t>Exports a styled .xlsx spreadsheet using openpyxl with explicit column widths, numeric cell formatting, section headers, and active hyperlinked URLs.</w:t>
      </w:r>
    </w:p>
    <w:p>
      <w:pPr>
        <w:keepNext/>
        <w:spacing w:before="360" w:after="120"/>
      </w:pPr>
      <w:r>
        <w:rPr>
          <w:rFonts w:ascii="Calibri" w:hAnsi="Calibri"/>
          <w:b/>
          <w:color w:val="1F4E79"/>
          <w:sz w:val="32"/>
        </w:rPr>
        <w:t>4. File Structure &amp; Complete Code Architecture</w:t>
      </w:r>
    </w:p>
    <w:p>
      <w:pPr>
        <w:spacing w:before="0" w:after="120" w:line="276" w:lineRule="auto"/>
      </w:pPr>
      <w:r>
        <w:rPr>
          <w:rFonts w:ascii="Calibri" w:hAnsi="Calibri"/>
          <w:color w:val="262626"/>
          <w:sz w:val="21"/>
        </w:rPr>
        <w:t>The following complete file structure and implementation code can be copied directly into Antigravity to build and run the MVP workspace:</w:t>
      </w:r>
    </w:p>
    <w:p>
      <w:pPr>
        <w:keepNext/>
        <w:spacing w:before="280" w:after="80"/>
      </w:pPr>
      <w:r>
        <w:rPr>
          <w:rFonts w:ascii="Calibri" w:hAnsi="Calibri"/>
          <w:b/>
          <w:color w:val="595959"/>
          <w:sz w:val="26"/>
        </w:rPr>
        <w:t>Workspace Directory Layout</w:t>
      </w:r>
    </w:p>
    <w:p>
      <w:pPr>
        <w:spacing w:before="0" w:after="120" w:line="276" w:lineRule="auto"/>
      </w:pPr>
      <w:r>
        <w:rPr>
          <w:rFonts w:ascii="Calibri" w:hAnsi="Calibri"/>
          <w:color w:val="262626"/>
          <w:sz w:val="21"/>
        </w:rPr>
        <w:t>autospec_mvp/</w:t>
        <w:br/>
        <w:t>├── app.py                  # Streamlit Frontend Web App</w:t>
        <w:br/>
        <w:t>├── cad_parser.py           # ezdxf Vector CAD Ingestion Engine</w:t>
        <w:br/>
        <w:t>├── spec_parser.py          # Claude API Brief Interpreter</w:t>
        <w:br/>
        <w:t>├── boq_engine.py           # IS 1200 Deduction &amp; Price Matching Engine</w:t>
        <w:br/>
        <w:t>├── catalog.json            # Local B2B SKU Price Database</w:t>
        <w:br/>
        <w:t>├── requirements.txt        # Python Dependencies</w:t>
        <w:br/>
        <w:t>└── README.md               # Setup &amp; Execution Guide</w:t>
      </w:r>
    </w:p>
    <w:p>
      <w:pPr>
        <w:keepNext/>
        <w:spacing w:before="280" w:after="80"/>
      </w:pPr>
      <w:r>
        <w:rPr>
          <w:rFonts w:ascii="Calibri" w:hAnsi="Calibri"/>
          <w:b/>
          <w:color w:val="595959"/>
          <w:sz w:val="26"/>
        </w:rPr>
        <w:t>4.1 Seed Catalog Database (catalog.json)</w:t>
      </w:r>
    </w:p>
    <w:p>
      <w:pPr>
        <w:spacing w:before="0" w:after="120" w:line="276" w:lineRule="auto"/>
      </w:pPr>
      <w:r>
        <w:rPr>
          <w:rFonts w:ascii="Calibri" w:hAnsi="Calibri"/>
          <w:color w:val="262626"/>
          <w:sz w:val="21"/>
        </w:rPr>
        <w:t>{</w:t>
        <w:br/>
        <w:t xml:space="preserve">  "lighting": [</w:t>
        <w:br/>
        <w:t xml:space="preserve">    {</w:t>
        <w:br/>
        <w:t xml:space="preserve">      "id": "LGT-PHL-12W-3K",</w:t>
        <w:br/>
        <w:t xml:space="preserve">      "brand": "Philips",</w:t>
        <w:br/>
        <w:t xml:space="preserve">      "category": "Downlight",</w:t>
        <w:br/>
        <w:t xml:space="preserve">      "description": "Philips Stellar 12W Warm White (3000K) Recessed LED Downlight",</w:t>
        <w:br/>
        <w:t xml:space="preserve">      "wattage": 12,</w:t>
        <w:br/>
        <w:t xml:space="preserve">      "color_temp": "3000K",</w:t>
        <w:br/>
        <w:t xml:space="preserve">      "unit_rate_inr": 420.0,</w:t>
        <w:br/>
        <w:t xml:space="preserve">      "unit": "Pcs",</w:t>
        <w:br/>
        <w:t xml:space="preserve">      "buy_url": "https://www.amazon.in/dp/B08C1X9K8Z"</w:t>
        <w:br/>
        <w:t xml:space="preserve">    },</w:t>
        <w:br/>
        <w:t xml:space="preserve">    {</w:t>
        <w:br/>
        <w:t xml:space="preserve">      "id": "LGT-HAV-12W-3K",</w:t>
        <w:br/>
        <w:t xml:space="preserve">      "brand": "Havells",</w:t>
        <w:br/>
        <w:t xml:space="preserve">      "category": "Downlight",</w:t>
        <w:br/>
        <w:t xml:space="preserve">      "description": "Havells Adore 12W 3000K Warm White Round LED Recessed Spot Light",</w:t>
        <w:br/>
        <w:t xml:space="preserve">      "wattage": 12,</w:t>
        <w:br/>
        <w:t xml:space="preserve">      "color_temp": "3000K",</w:t>
        <w:br/>
        <w:t xml:space="preserve">      "unit_rate_inr": 385.0,</w:t>
        <w:br/>
        <w:t xml:space="preserve">      "unit": "Pcs",</w:t>
        <w:br/>
        <w:t xml:space="preserve">      "buy_url": "https://business.moglix.com/p/havells-adore-12w-led-downlight"</w:t>
        <w:br/>
        <w:t xml:space="preserve">    }</w:t>
        <w:br/>
        <w:t xml:space="preserve">  ],</w:t>
        <w:br/>
        <w:t xml:space="preserve">  "fans": [</w:t>
        <w:br/>
        <w:t xml:space="preserve">    {</w:t>
        <w:br/>
        <w:t xml:space="preserve">      "id": "FAN-ATM-BLDC-1200",</w:t>
        <w:br/>
        <w:t xml:space="preserve">      "brand": "Atomberg",</w:t>
        <w:br/>
        <w:t xml:space="preserve">      "category": "Ceiling Fan",</w:t>
        <w:br/>
        <w:t xml:space="preserve">      "description": "Atomberg Renesa 1200mm BLDC Motor Energy Saving Ceiling Fan with Remote",</w:t>
        <w:br/>
        <w:t xml:space="preserve">      "type": "BLDC",</w:t>
        <w:br/>
        <w:t xml:space="preserve">      "sweep_mm": 1200,</w:t>
        <w:br/>
        <w:t xml:space="preserve">      "unit_rate_inr": 3690.0,</w:t>
        <w:br/>
        <w:t xml:space="preserve">      "unit": "Pcs",</w:t>
        <w:br/>
        <w:t xml:space="preserve">      "buy_url": "https://www.amazon.in/dp/B07Y7N8K42"</w:t>
        <w:br/>
        <w:t xml:space="preserve">    }</w:t>
        <w:br/>
        <w:t xml:space="preserve">  ]</w:t>
        <w:br/>
        <w:t>}</w:t>
      </w:r>
    </w:p>
    <w:p>
      <w:pPr>
        <w:keepNext/>
        <w:spacing w:before="280" w:after="80"/>
      </w:pPr>
      <w:r>
        <w:rPr>
          <w:rFonts w:ascii="Calibri" w:hAnsi="Calibri"/>
          <w:b/>
          <w:color w:val="595959"/>
          <w:sz w:val="26"/>
        </w:rPr>
        <w:t>4.2 CAD Vector Parser (cad_parser.py)</w:t>
      </w:r>
    </w:p>
    <w:p>
      <w:pPr>
        <w:spacing w:before="0" w:after="120" w:line="276" w:lineRule="auto"/>
      </w:pPr>
      <w:r>
        <w:rPr>
          <w:rFonts w:ascii="Calibri" w:hAnsi="Calibri"/>
          <w:color w:val="262626"/>
          <w:sz w:val="21"/>
        </w:rPr>
        <w:t>import ezdxf</w:t>
        <w:br/>
        <w:t>import math</w:t>
        <w:br/>
        <w:br/>
        <w:t>def parse_dxf_file(dxf_path):</w:t>
        <w:br/>
        <w:t xml:space="preserve">    doc = ezdxf.readfile(dxf_path)</w:t>
        <w:br/>
        <w:t xml:space="preserve">    msp = doc.modelspace()</w:t>
        <w:br/>
        <w:t xml:space="preserve">    </w:t>
        <w:br/>
        <w:t xml:space="preserve">    block_counts = {}</w:t>
        <w:br/>
        <w:t xml:space="preserve">    hatch_areas_sqm = {}</w:t>
        <w:br/>
        <w:t xml:space="preserve">    </w:t>
        <w:br/>
        <w:t xml:space="preserve">    # Iterate over INSERT entities (Block Symbols)</w:t>
        <w:br/>
        <w:t xml:space="preserve">    for entity in msp.query("INSERT"):</w:t>
        <w:br/>
        <w:t xml:space="preserve">        block_name = entity.dxf.name.upper()</w:t>
        <w:br/>
        <w:t xml:space="preserve">        block_counts[block_name] = block_counts.get(block_name, 0) + 1</w:t>
        <w:br/>
        <w:t xml:space="preserve">        </w:t>
        <w:br/>
        <w:t xml:space="preserve">    # Iterate over HATCH entities</w:t>
        <w:br/>
        <w:t xml:space="preserve">    for hatch in msp.query("HATCH"):</w:t>
        <w:br/>
        <w:t xml:space="preserve">        layer_name = hatch.dxf.layer.upper()</w:t>
        <w:br/>
        <w:t xml:space="preserve">        try:</w:t>
        <w:br/>
        <w:t xml:space="preserve">            area = hatch.dxf.area</w:t>
        <w:br/>
        <w:t xml:space="preserve">        except Attribute_Error:</w:t>
        <w:br/>
        <w:t xml:space="preserve">            area = 0.0</w:t>
        <w:br/>
        <w:t xml:space="preserve">        if area &gt; 0:</w:t>
        <w:br/>
        <w:t xml:space="preserve">            hatch_areas_sqm[layer_name] = hatch_areas_sqm.get(layer_name, 0.0) + area</w:t>
        <w:br/>
        <w:t xml:space="preserve">            </w:t>
        <w:br/>
        <w:t xml:space="preserve">    return {</w:t>
        <w:br/>
        <w:t xml:space="preserve">        "blocks": block_counts,</w:t>
        <w:br/>
        <w:t xml:space="preserve">        "hatches": hatch_areas_sqm</w:t>
        <w:br/>
        <w:t xml:space="preserve">    }</w:t>
      </w:r>
    </w:p>
    <w:p>
      <w:pPr>
        <w:keepNext/>
        <w:spacing w:before="280" w:after="80"/>
      </w:pPr>
      <w:r>
        <w:rPr>
          <w:rFonts w:ascii="Calibri" w:hAnsi="Calibri"/>
          <w:b/>
          <w:color w:val="595959"/>
          <w:sz w:val="26"/>
        </w:rPr>
        <w:t>4.3 Brief Interpreter (spec_parser.py)</w:t>
      </w:r>
    </w:p>
    <w:p>
      <w:pPr>
        <w:spacing w:before="0" w:after="120" w:line="276" w:lineRule="auto"/>
      </w:pPr>
      <w:r>
        <w:rPr>
          <w:rFonts w:ascii="Calibri" w:hAnsi="Calibri"/>
          <w:color w:val="262626"/>
          <w:sz w:val="21"/>
        </w:rPr>
        <w:t>import anthropic</w:t>
        <w:br/>
        <w:t>import json</w:t>
        <w:br/>
        <w:t>import os</w:t>
        <w:br/>
        <w:br/>
        <w:t>def parse_client_brief(brief_text, api_key=None):</w:t>
        <w:br/>
        <w:t xml:space="preserve">    client = anthropic.Anthropic(api_key=api_key or os.environ.get("ANTHROPIC_API_KEY"))</w:t>
        <w:br/>
        <w:t xml:space="preserve">    </w:t>
        <w:br/>
        <w:t xml:space="preserve">    prompt = f"""</w:t>
        <w:br/>
        <w:t>Extract technical specification parameters from the following client briefing text:</w:t>
        <w:br/>
        <w:t>"{brief_text}"</w:t>
        <w:br/>
        <w:br/>
        <w:t>Return ONLY a valid JSON object matching this schema:</w:t>
        <w:br/>
        <w:t>{{</w:t>
        <w:br/>
        <w:t xml:space="preserve">  "preferred_lighting_brand": "Philips" | "Havells" | "Any",</w:t>
        <w:br/>
        <w:t xml:space="preserve">  "lighting_wattage": number,</w:t>
        <w:br/>
        <w:t xml:space="preserve">  "lighting_color_temp": "3000K" | "4000K" | "6500K",</w:t>
        <w:br/>
        <w:t xml:space="preserve">  "preferred_fan_brand": "Atomberg" | "Havells" | "Orient" | "Any",</w:t>
        <w:br/>
        <w:t xml:space="preserve">  "fan_type": "BLDC" | "Induction"</w:t>
        <w:br/>
        <w:t>}}</w:t>
        <w:br/>
        <w:t>"""</w:t>
        <w:br/>
        <w:t xml:space="preserve">    response = client.messages.create(</w:t>
        <w:br/>
        <w:t xml:space="preserve">        model="claude-3-5-sonnet-20241022",</w:t>
        <w:br/>
        <w:t xml:space="preserve">        max_tokens=500,</w:t>
        <w:br/>
        <w:t xml:space="preserve">        messages=[{"role": "user", "content": prompt}]</w:t>
        <w:br/>
        <w:t xml:space="preserve">    )</w:t>
        <w:br/>
        <w:t xml:space="preserve">    text = response.content[0].text</w:t>
        <w:br/>
        <w:t xml:space="preserve">    return json.loads(text)</w:t>
      </w:r>
    </w:p>
    <w:p>
      <w:pPr>
        <w:keepNext/>
        <w:spacing w:before="280" w:after="80"/>
      </w:pPr>
      <w:r>
        <w:rPr>
          <w:rFonts w:ascii="Calibri" w:hAnsi="Calibri"/>
          <w:b/>
          <w:color w:val="595959"/>
          <w:sz w:val="26"/>
        </w:rPr>
        <w:t>4.4 IS 1200 Engine &amp; Price Matcher (boq_engine.py)</w:t>
      </w:r>
    </w:p>
    <w:p>
      <w:pPr>
        <w:spacing w:before="0" w:after="120" w:line="276" w:lineRule="auto"/>
      </w:pPr>
      <w:r>
        <w:rPr>
          <w:rFonts w:ascii="Calibri" w:hAnsi="Calibri"/>
          <w:color w:val="262626"/>
          <w:sz w:val="21"/>
        </w:rPr>
        <w:t>import json</w:t>
        <w:br/>
        <w:t>import openpyxl</w:t>
        <w:br/>
        <w:t>from openpyxl.styles import Font, PatternFill, Alignment, Border, Side</w:t>
        <w:br/>
        <w:br/>
        <w:t>def calculate_is1200_plaster_area(gross_wall_area_sqm, door_window_openings):</w:t>
        <w:br/>
        <w:t xml:space="preserve">    net_deduction = 0.0</w:t>
        <w:br/>
        <w:t xml:space="preserve">    for opening_area in door_window_openings:</w:t>
        <w:br/>
        <w:t xml:space="preserve">        if opening_area &lt;= 0.5:</w:t>
        <w:br/>
        <w:t xml:space="preserve">            # IS 1200 Part 12: No deduction</w:t>
        <w:br/>
        <w:t xml:space="preserve">            net_deduction += 0.0</w:t>
        <w:br/>
        <w:t xml:space="preserve">        elif 0.5 &lt; opening_area &lt;= 3.0:</w:t>
        <w:br/>
        <w:t xml:space="preserve">            # IS 1200 Part 12: Deduct single face</w:t>
        <w:br/>
        <w:t xml:space="preserve">            net_deduction += opening_area * 1.0</w:t>
        <w:br/>
        <w:t xml:space="preserve">        else:</w:t>
        <w:br/>
        <w:t xml:space="preserve">            # IS 1200 Part 12: Deduct both faces</w:t>
        <w:br/>
        <w:t xml:space="preserve">            net_deduction += opening_area * 2.0</w:t>
        <w:br/>
        <w:t xml:space="preserve">    return max(0.0, gross_wall_area_sqm * 2.0 - net_deduction)</w:t>
        <w:br/>
        <w:br/>
        <w:t>def generate_boq_excel(boq_items, output_path):</w:t>
        <w:br/>
        <w:t xml:space="preserve">    wb = openpyxl.Workbook()</w:t>
        <w:br/>
        <w:t xml:space="preserve">    ws = wb.active</w:t>
        <w:br/>
        <w:t xml:space="preserve">    ws.title = "IS 1200 BOQ Estimate"</w:t>
        <w:br/>
        <w:t xml:space="preserve">    </w:t>
        <w:br/>
        <w:t xml:space="preserve">    headers = ["Item No", "Trade Category", "Description", "Quantity", "Unit", "Unit Rate (INR)", "Total Cost (INR)", "Procurement Link"]</w:t>
        <w:br/>
        <w:t xml:space="preserve">    ws.append(headers)</w:t>
        <w:br/>
        <w:t xml:space="preserve">    </w:t>
        <w:br/>
        <w:t xml:space="preserve">    # Header styling</w:t>
        <w:br/>
        <w:t xml:space="preserve">    header_fill = PatternFill(start_color="1F4E79", end_color="1F4E79", fill_type="solid")</w:t>
        <w:br/>
        <w:t xml:space="preserve">    header_font = Font(name="Calibri", size=11, bold=True, color="FFFFFF")</w:t>
        <w:br/>
        <w:t xml:space="preserve">    </w:t>
        <w:br/>
        <w:t xml:space="preserve">    for col in range(1, len(headers)+1):</w:t>
        <w:br/>
        <w:t xml:space="preserve">        cell = ws.cell(row=1, column=col)</w:t>
        <w:br/>
        <w:t xml:space="preserve">        cell.fill = header_fill</w:t>
        <w:br/>
        <w:t xml:space="preserve">        cell.font = header_font</w:t>
        <w:br/>
        <w:t xml:space="preserve">        cell.alignment = Alignment(horizontal="center", vertical="center")</w:t>
        <w:br/>
        <w:t xml:space="preserve">        </w:t>
        <w:br/>
        <w:t xml:space="preserve">    for row_idx, item in enumerate(boq_items, start=2):</w:t>
        <w:br/>
        <w:t xml:space="preserve">        ws.cell(row=row_idx, column=1, value=item["item_no"])</w:t>
        <w:br/>
        <w:t xml:space="preserve">        ws.cell(row=row_idx, column=2, value=item["category"])</w:t>
        <w:br/>
        <w:t xml:space="preserve">        ws.cell(row=row_idx, column=3, value=item["description"])</w:t>
        <w:br/>
        <w:t xml:space="preserve">        ws.cell(row=row_idx, column=4, value=item["quantity"])</w:t>
        <w:br/>
        <w:t xml:space="preserve">        ws.cell(row=row_idx, column=5, value=item["unit"])</w:t>
        <w:br/>
        <w:t xml:space="preserve">        ws.cell(row=row_idx, column=6, value=item["unit_rate"])</w:t>
        <w:br/>
        <w:t xml:space="preserve">        ws.cell(row=row_idx, column=7, value=item["total_cost"])</w:t>
        <w:br/>
        <w:t xml:space="preserve">        </w:t>
        <w:br/>
        <w:t xml:space="preserve">        link_cell = ws.cell(row=row_idx, column=8, value="Buy Now")</w:t>
        <w:br/>
        <w:t xml:space="preserve">        link_cell.hyperlink = item["buy_url"]</w:t>
        <w:br/>
        <w:t xml:space="preserve">        link_cell.font = Font(color="0000FF", underline="single")</w:t>
        <w:br/>
        <w:t xml:space="preserve">        </w:t>
        <w:br/>
        <w:t xml:space="preserve">    wb.save(output_path)</w:t>
      </w:r>
    </w:p>
    <w:p>
      <w:pPr>
        <w:keepNext/>
        <w:spacing w:before="360" w:after="120"/>
      </w:pPr>
      <w:r>
        <w:rPr>
          <w:rFonts w:ascii="Calibri" w:hAnsi="Calibri"/>
          <w:b/>
          <w:color w:val="1F4E79"/>
          <w:sz w:val="32"/>
        </w:rPr>
        <w:t>5. Non-Functional &amp; Performance Requirements</w:t>
      </w:r>
    </w:p>
    <w:p>
      <w:pPr>
        <w:pStyle w:val="ListBullet"/>
        <w:spacing w:before="0" w:after="60" w:line="276" w:lineRule="auto"/>
      </w:pPr>
      <w:r>
        <w:rPr>
          <w:rFonts w:ascii="Calibri" w:hAnsi="Calibri"/>
          <w:b/>
          <w:color w:val="262626"/>
          <w:sz w:val="21"/>
        </w:rPr>
        <w:t xml:space="preserve">Performance SLA: </w:t>
      </w:r>
      <w:r>
        <w:rPr>
          <w:rFonts w:ascii="Calibri" w:hAnsi="Calibri"/>
          <w:color w:val="262626"/>
          <w:sz w:val="21"/>
        </w:rPr>
        <w:t xml:space="preserve"> Processing time for a standard 2D DXF sheet (&lt;5MB) must remain under 15 seconds on a standard local workstation.</w:t>
      </w:r>
    </w:p>
    <w:p>
      <w:pPr>
        <w:pStyle w:val="ListBullet"/>
        <w:spacing w:before="0" w:after="60" w:line="276" w:lineRule="auto"/>
      </w:pPr>
      <w:r>
        <w:rPr>
          <w:rFonts w:ascii="Calibri" w:hAnsi="Calibri"/>
          <w:b/>
          <w:color w:val="262626"/>
          <w:sz w:val="21"/>
        </w:rPr>
        <w:t xml:space="preserve">Data Privacy &amp; Air-Gap Safety: </w:t>
      </w:r>
      <w:r>
        <w:rPr>
          <w:rFonts w:ascii="Calibri" w:hAnsi="Calibri"/>
          <w:color w:val="262626"/>
          <w:sz w:val="21"/>
        </w:rPr>
        <w:t xml:space="preserve"> CAD geometry parsing operates 100% locally in-memory via ezdxf. No proprietary .DXF or .DWG drawing files are stored on external servers.</w:t>
      </w:r>
    </w:p>
    <w:p>
      <w:pPr>
        <w:pStyle w:val="ListBullet"/>
        <w:spacing w:before="0" w:after="60" w:line="276" w:lineRule="auto"/>
      </w:pPr>
      <w:r>
        <w:rPr>
          <w:rFonts w:ascii="Calibri" w:hAnsi="Calibri"/>
          <w:b/>
          <w:color w:val="262626"/>
          <w:sz w:val="21"/>
        </w:rPr>
        <w:t xml:space="preserve">Excel Integrity: </w:t>
      </w:r>
      <w:r>
        <w:rPr>
          <w:rFonts w:ascii="Calibri" w:hAnsi="Calibri"/>
          <w:color w:val="262626"/>
          <w:sz w:val="21"/>
        </w:rPr>
        <w:t xml:space="preserve"> The Excel output must be 100% compliant with Microsoft Excel and Google Sheets without repair warnings.</w:t>
      </w:r>
    </w:p>
    <w:p>
      <w:pPr>
        <w:keepNext/>
        <w:spacing w:before="360" w:after="120"/>
      </w:pPr>
      <w:r>
        <w:rPr>
          <w:rFonts w:ascii="Calibri" w:hAnsi="Calibri"/>
          <w:b/>
          <w:color w:val="1F4E79"/>
          <w:sz w:val="32"/>
        </w:rPr>
        <w:t>6. The 7-Day Concierge Benchmark Test Plan</w:t>
      </w:r>
    </w:p>
    <w:p>
      <w:pPr>
        <w:spacing w:before="0" w:after="120" w:line="276" w:lineRule="auto"/>
      </w:pPr>
      <w:r>
        <w:rPr>
          <w:rFonts w:ascii="Calibri" w:hAnsi="Calibri"/>
          <w:color w:val="262626"/>
          <w:sz w:val="21"/>
        </w:rPr>
        <w:t>To validate the #1 Riskiest Assumption (RAT)—proving that the ezdxf parser can achieve &gt;=95% line-item quantity accuracy on real-world Indian architectural CAD files without manual layer pre-cleaning—execute the following 7-day benchmark plan:</w:t>
      </w:r>
    </w:p>
    <w:p>
      <w:pPr>
        <w:pStyle w:val="ListBullet"/>
        <w:spacing w:before="0" w:after="60" w:line="276" w:lineRule="auto"/>
      </w:pPr>
      <w:r>
        <w:rPr>
          <w:rFonts w:ascii="Calibri" w:hAnsi="Calibri"/>
          <w:b/>
          <w:color w:val="262626"/>
          <w:sz w:val="21"/>
        </w:rPr>
        <w:t xml:space="preserve">Days 1–3 (Data Collection): </w:t>
      </w:r>
      <w:r>
        <w:rPr>
          <w:rFonts w:ascii="Calibri" w:hAnsi="Calibri"/>
          <w:color w:val="262626"/>
          <w:sz w:val="21"/>
        </w:rPr>
        <w:t>Acquire 10 historical residential .DWG drawings (and convert to .DXF) from 5 friendly boutique studios alongside their approved manual Excel BOQs.</w:t>
      </w:r>
    </w:p>
    <w:p>
      <w:pPr>
        <w:pStyle w:val="ListBullet"/>
        <w:spacing w:before="0" w:after="60" w:line="276" w:lineRule="auto"/>
      </w:pPr>
      <w:r>
        <w:rPr>
          <w:rFonts w:ascii="Calibri" w:hAnsi="Calibri"/>
          <w:b/>
          <w:color w:val="262626"/>
          <w:sz w:val="21"/>
        </w:rPr>
        <w:t xml:space="preserve">Days 4–6 (Headless Parser Execution): </w:t>
      </w:r>
      <w:r>
        <w:rPr>
          <w:rFonts w:ascii="Calibri" w:hAnsi="Calibri"/>
          <w:color w:val="262626"/>
          <w:sz w:val="21"/>
        </w:rPr>
        <w:t>Run the 10 DXF drawings through cad_parser.py and boq_engine.py locally.</w:t>
      </w:r>
    </w:p>
    <w:p>
      <w:pPr>
        <w:pStyle w:val="ListBullet"/>
        <w:spacing w:before="0" w:after="60" w:line="276" w:lineRule="auto"/>
      </w:pPr>
      <w:r>
        <w:rPr>
          <w:rFonts w:ascii="Calibri" w:hAnsi="Calibri"/>
          <w:b/>
          <w:color w:val="262626"/>
          <w:sz w:val="21"/>
        </w:rPr>
        <w:t xml:space="preserve">Day 7 (Accuracy Audit): </w:t>
      </w:r>
      <w:r>
        <w:rPr>
          <w:rFonts w:ascii="Calibri" w:hAnsi="Calibri"/>
          <w:color w:val="262626"/>
          <w:sz w:val="21"/>
        </w:rPr>
        <w:t>Compare automated line-item quantities directly against the human ground-truth Excel sheets. Pass Threshold: &gt;=95% line-item quantity match across at least 8 of the 10 drawings.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AutoSpec AI v1.0.0 MVP Specification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AUTOSPEC AI — PRODUCT REQUIREMENTS DOCUMENT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