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w3q8ds1yh2b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The following resources are included to support your implementation of power optimization, fault recovery, and final integration testing on the ESP8266-based EcoWatt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6u8pb0j7i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ESP8266 Power Optimization Guidelines &amp; Script Support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expected to implement as many relevant power-saving techniques as possible to achieve measurable energy reductions. The table below outlines possible approaches and implementation suggestions. Some methods are optional or may be deprecated; select those that are compatible with your build and document your choices.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6755"/>
        <w:tblGridChange w:id="0">
          <w:tblGrid>
            <w:gridCol w:w="2465"/>
            <w:gridCol w:w="6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&amp; Tip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 CPU 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delay()</w:t>
            </w:r>
            <w:r w:rsidDel="00000000" w:rsidR="00000000" w:rsidRPr="00000000">
              <w:rPr>
                <w:rtl w:val="0"/>
              </w:rPr>
              <w:t xml:space="preserve"> in polling loops to reduce active power.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Clock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system_update_cpu_freq()</w:t>
            </w:r>
            <w:r w:rsidDel="00000000" w:rsidR="00000000" w:rsidRPr="00000000">
              <w:rPr>
                <w:rtl w:val="0"/>
              </w:rPr>
              <w:t xml:space="preserve"> to switch between 160 MHz and 80 MHz.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 Sleep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wifi_set_sleep_type(LIGHT_SLEEP_T)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WiFi.forceSleepBegin()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Peripheral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Power down peripherals (WiFi, UART, ADC) when not needed.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Sleep Mode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ESP.deepSleep()</w:t>
            </w:r>
            <w:r w:rsidDel="00000000" w:rsidR="00000000" w:rsidRPr="00000000">
              <w:rPr>
                <w:rtl w:val="0"/>
              </w:rPr>
              <w:t xml:space="preserve"> for shutdown between cycles (requires GPIO16–RST jumper).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Note: Not all techniques are compatible simultaneously. Explore their trade-offs and compatibility via the ESP8266 Technical Reference Manual.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rnzy0p3j7tr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Included Script: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power_logger.py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sample script using a USB-based INA219 sensor to log power draw over time. This is only an example for you to get a clear picture of the expectations. You can decide what is possible based on the resources available to you.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estimation based on code profiling, simulation, or approximate methods is allowed if hardware is not available, but the methodology must be described and justified.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91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can be used with a USB-connected INA219 breakout board or similar. Connect in series with NodeMCU USB power supply.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cksgskd38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Fault Injection Utilities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resources allow you to simulate failures and validate your system's fault-handling and recovery features.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dp34ud0c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Inverter SIM Fault Samples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Malformed CRC frames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Truncated payloads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Buffer overflow triggers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byte garbage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“Inverter SIM cloud API endpoint and documentation” now includes these faults, allowing you to trigger and test your EcoWatt device with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9yjqse40r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FOTA Rollback Simulation Instructions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expected to simulate successful and failed firmware-over-the-air updates, including rollback scenarios.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y9uen06obz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Demo Instructions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with a known working firmware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a FOTA update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v1.1.0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a bad hash → verify rollback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Retry with correct hash → verify success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each stage in your video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 this as a template to create your own manifest files for different firmware builds. The hash must be calculated using SHA-256 of the raw binary.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67400" cy="1457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ph06njyig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Final System Integration Checklist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help you organize your final test video and ensure all required features are demonstrated, use the checklist below.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1770"/>
        <w:gridCol w:w="3120"/>
        <w:tblGridChange w:id="0">
          <w:tblGrid>
            <w:gridCol w:w="3945"/>
            <w:gridCol w:w="177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Demonstrated (Y/N)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acquisition and buffering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Secure transmission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Remote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Command execution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FOTA update (success)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FOTA update (failure + rollback)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Power optimization comparison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Fault injection (network error)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Fault injection (Inverter SIM)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