
<file path=[Content_Types].xml><?xml version="1.0" encoding="utf-8"?>
<Types xmlns="http://schemas.openxmlformats.org/package/2006/content-types">
  <Default Extension="xml" ContentType="application/xml"/>
  <Default Extension="emf" ContentType="image/x-e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3"/>
        <w:tblW w:w="0" w:type="auto"/>
        <w:tblInd w:w="-359" w:type="dxa"/>
        <w:tblLayout w:type="fixed"/>
        <w:tblCellMar>
          <w:top w:w="0" w:type="dxa"/>
          <w:left w:w="108" w:type="dxa"/>
          <w:bottom w:w="0" w:type="dxa"/>
          <w:right w:w="108" w:type="dxa"/>
        </w:tblCellMar>
      </w:tblPr>
      <w:tblGrid>
        <w:gridCol w:w="1300"/>
        <w:gridCol w:w="1929"/>
      </w:tblGrid>
      <w:tr w14:paraId="55391FAD">
        <w:trPr>
          <w:trHeight w:val="277" w:hRule="atLeast"/>
        </w:trPr>
        <w:tc>
          <w:tcPr>
            <w:tcW w:w="1300" w:type="dxa"/>
            <w:shd w:val="clear" w:color="auto" w:fill="auto"/>
            <w:vAlign w:val="bottom"/>
          </w:tcPr>
          <w:p w14:paraId="66E0CA4F">
            <w:pPr>
              <w:widowControl w:val="0"/>
              <w:spacing w:before="0" w:after="0" w:line="240" w:lineRule="auto"/>
              <w:ind w:firstLine="0"/>
              <w:jc w:val="center"/>
              <w:rPr>
                <w:sz w:val="18"/>
                <w:szCs w:val="18"/>
                <w:u w:val="single"/>
              </w:rPr>
            </w:pPr>
            <w:r>
              <w:rPr>
                <w:rFonts w:hint="eastAsia" w:asciiTheme="minorEastAsia" w:hAnsiTheme="minorEastAsia" w:eastAsiaTheme="minorEastAsia" w:cstheme="minorEastAsia"/>
                <w:spacing w:val="50"/>
                <w:w w:val="58"/>
                <w:kern w:val="0"/>
                <w:sz w:val="18"/>
                <w:szCs w:val="18"/>
                <w:lang w:eastAsia="zh-CN"/>
              </w:rPr>
              <w:t>学校代码：</w:t>
            </w:r>
          </w:p>
        </w:tc>
        <w:tc>
          <w:tcPr>
            <w:tcW w:w="1929" w:type="dxa"/>
            <w:tcBorders>
              <w:bottom w:val="single" w:color="auto" w:sz="4" w:space="0"/>
            </w:tcBorders>
            <w:shd w:val="clear" w:color="auto" w:fill="auto"/>
            <w:vAlign w:val="bottom"/>
          </w:tcPr>
          <w:p w14:paraId="195D35DD">
            <w:pPr>
              <w:widowControl w:val="0"/>
              <w:spacing w:before="0" w:after="0" w:line="240" w:lineRule="auto"/>
              <w:ind w:firstLine="0"/>
              <w:jc w:val="center"/>
              <w:rPr>
                <w:sz w:val="18"/>
                <w:szCs w:val="18"/>
              </w:rPr>
            </w:pPr>
            <w:r>
              <w:rPr>
                <w:rFonts w:asciiTheme="minorHAnsi" w:hAnsiTheme="minorHAnsi" w:eastAsiaTheme="minorEastAsia"/>
                <w:kern w:val="2"/>
                <w:sz w:val="18"/>
                <w:szCs w:val="18"/>
                <w:lang w:eastAsia="zh-CN"/>
              </w:rPr>
              <w:t>10284</w:t>
            </w:r>
          </w:p>
        </w:tc>
      </w:tr>
      <w:tr w14:paraId="55A325C6">
        <w:trPr>
          <w:trHeight w:val="296" w:hRule="atLeast"/>
        </w:trPr>
        <w:tc>
          <w:tcPr>
            <w:tcW w:w="1300" w:type="dxa"/>
            <w:shd w:val="clear" w:color="auto" w:fill="auto"/>
            <w:vAlign w:val="bottom"/>
          </w:tcPr>
          <w:p w14:paraId="4439C7F1">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分类号</w:t>
            </w:r>
            <w:r>
              <w:rPr>
                <w:rFonts w:asciiTheme="minorHAnsi" w:hAnsiTheme="minorHAnsi" w:eastAsiaTheme="minorEastAsia"/>
                <w:spacing w:val="50"/>
                <w:w w:val="58"/>
                <w:kern w:val="0"/>
                <w:sz w:val="18"/>
                <w:szCs w:val="18"/>
                <w:lang w:eastAsia="zh-CN"/>
              </w:rPr>
              <w:t>：</w:t>
            </w:r>
          </w:p>
        </w:tc>
        <w:tc>
          <w:tcPr>
            <w:tcW w:w="1929" w:type="dxa"/>
            <w:tcBorders>
              <w:top w:val="single" w:color="auto" w:sz="4" w:space="0"/>
              <w:bottom w:val="single" w:color="auto" w:sz="4" w:space="0"/>
            </w:tcBorders>
            <w:shd w:val="clear" w:color="auto" w:fill="auto"/>
            <w:vAlign w:val="bottom"/>
          </w:tcPr>
          <w:p w14:paraId="430A0AE5">
            <w:pPr>
              <w:jc w:val="center"/>
              <w:rPr>
                <w:spacing w:val="180"/>
                <w:kern w:val="0"/>
                <w:sz w:val="18"/>
                <w:szCs w:val="18"/>
              </w:rPr>
            </w:pPr>
          </w:p>
        </w:tc>
      </w:tr>
      <w:tr w14:paraId="10E5860A">
        <w:trPr>
          <w:trHeight w:val="277" w:hRule="atLeast"/>
        </w:trPr>
        <w:tc>
          <w:tcPr>
            <w:tcW w:w="1300" w:type="dxa"/>
            <w:shd w:val="clear" w:color="auto" w:fill="auto"/>
            <w:vAlign w:val="bottom"/>
          </w:tcPr>
          <w:p w14:paraId="06EFE38B">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密级：</w:t>
            </w:r>
          </w:p>
        </w:tc>
        <w:tc>
          <w:tcPr>
            <w:tcW w:w="1929" w:type="dxa"/>
            <w:tcBorders>
              <w:top w:val="single" w:color="auto" w:sz="4" w:space="0"/>
              <w:bottom w:val="single" w:color="auto" w:sz="4" w:space="0"/>
            </w:tcBorders>
            <w:shd w:val="clear" w:color="auto" w:fill="auto"/>
            <w:vAlign w:val="bottom"/>
          </w:tcPr>
          <w:p w14:paraId="386841FA">
            <w:pPr>
              <w:jc w:val="center"/>
              <w:rPr>
                <w:sz w:val="18"/>
                <w:szCs w:val="18"/>
                <w:u w:val="single"/>
              </w:rPr>
            </w:pPr>
          </w:p>
        </w:tc>
      </w:tr>
      <w:tr w14:paraId="62105447">
        <w:trPr>
          <w:trHeight w:val="277" w:hRule="atLeast"/>
        </w:trPr>
        <w:tc>
          <w:tcPr>
            <w:tcW w:w="1300" w:type="dxa"/>
            <w:shd w:val="clear" w:color="auto" w:fill="auto"/>
            <w:vAlign w:val="bottom"/>
          </w:tcPr>
          <w:p w14:paraId="4F013FA0">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UDC：</w:t>
            </w:r>
          </w:p>
        </w:tc>
        <w:tc>
          <w:tcPr>
            <w:tcW w:w="1929" w:type="dxa"/>
            <w:tcBorders>
              <w:top w:val="single" w:color="auto" w:sz="4" w:space="0"/>
              <w:bottom w:val="single" w:color="auto" w:sz="4" w:space="0"/>
            </w:tcBorders>
            <w:shd w:val="clear" w:color="auto" w:fill="auto"/>
            <w:vAlign w:val="bottom"/>
          </w:tcPr>
          <w:p w14:paraId="7440BBE2">
            <w:pPr>
              <w:jc w:val="center"/>
              <w:rPr>
                <w:sz w:val="18"/>
                <w:szCs w:val="18"/>
                <w:u w:val="single"/>
              </w:rPr>
            </w:pPr>
          </w:p>
        </w:tc>
      </w:tr>
      <w:tr w14:paraId="60290297">
        <w:trPr>
          <w:trHeight w:val="277" w:hRule="atLeast"/>
        </w:trPr>
        <w:tc>
          <w:tcPr>
            <w:tcW w:w="1300" w:type="dxa"/>
            <w:shd w:val="clear" w:color="auto" w:fill="auto"/>
            <w:vAlign w:val="bottom"/>
          </w:tcPr>
          <w:p w14:paraId="0AFCB7FC">
            <w:pPr>
              <w:widowControl w:val="0"/>
              <w:spacing w:before="0" w:after="0" w:line="240" w:lineRule="auto"/>
              <w:ind w:firstLine="0"/>
              <w:jc w:val="center"/>
              <w:rPr>
                <w:sz w:val="18"/>
                <w:szCs w:val="18"/>
                <w:u w:val="single"/>
              </w:rPr>
            </w:pPr>
            <w:r>
              <w:rPr>
                <w:rFonts w:hint="eastAsia" w:asciiTheme="minorHAnsi" w:hAnsiTheme="minorHAnsi" w:eastAsiaTheme="minorEastAsia"/>
                <w:spacing w:val="50"/>
                <w:w w:val="58"/>
                <w:kern w:val="0"/>
                <w:sz w:val="18"/>
                <w:szCs w:val="18"/>
                <w:lang w:eastAsia="zh-CN"/>
              </w:rPr>
              <w:t>学号：</w:t>
            </w:r>
          </w:p>
        </w:tc>
        <w:tc>
          <w:tcPr>
            <w:tcW w:w="1929" w:type="dxa"/>
            <w:tcBorders>
              <w:top w:val="single" w:color="auto" w:sz="4" w:space="0"/>
              <w:bottom w:val="single" w:color="auto" w:sz="4" w:space="0"/>
            </w:tcBorders>
            <w:shd w:val="clear" w:color="auto" w:fill="auto"/>
            <w:vAlign w:val="bottom"/>
          </w:tcPr>
          <w:p w14:paraId="469BD721">
            <w:pPr>
              <w:widowControl w:val="0"/>
              <w:spacing w:before="0" w:after="0" w:line="240" w:lineRule="auto"/>
              <w:ind w:firstLine="0"/>
              <w:jc w:val="center"/>
              <w:rPr>
                <w:rFonts w:hint="default" w:eastAsia="宋体"/>
                <w:sz w:val="18"/>
                <w:szCs w:val="18"/>
                <w:lang w:val="en-US" w:eastAsia="zh-CN"/>
              </w:rPr>
            </w:pPr>
            <w:r>
              <w:rPr>
                <w:rFonts w:asciiTheme="minorHAnsi" w:hAnsiTheme="minorHAnsi" w:eastAsiaTheme="minorEastAsia"/>
                <w:kern w:val="2"/>
                <w:sz w:val="18"/>
                <w:szCs w:val="18"/>
                <w:lang w:val="en-US" w:eastAsia="zh-CN"/>
              </w:rPr>
              <w:t>532024150155</w:t>
            </w:r>
          </w:p>
        </w:tc>
      </w:tr>
    </w:tbl>
    <w:p w14:paraId="6CCED3BA">
      <w:pPr>
        <w:spacing w:before="0" w:after="360"/>
        <w:jc w:val="center"/>
        <w:rPr>
          <w:b/>
          <w:spacing w:val="-20"/>
          <w:sz w:val="52"/>
        </w:rPr>
      </w:pPr>
      <w:r>
        <w:rPr>
          <w:b/>
          <w:spacing w:val="-20"/>
          <w:sz w:val="52"/>
        </w:rPr>
        <w:drawing>
          <wp:inline distT="0" distB="0" distL="114300" distR="114300">
            <wp:extent cx="1380490" cy="1243330"/>
            <wp:effectExtent l="0" t="0" r="16510" b="1270"/>
            <wp:docPr id="12" name="图片 1" descr="04校标，中文校名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descr="04校标，中文校名组合"/>
                    <pic:cNvPicPr>
                      <a:picLocks noChangeAspect="1"/>
                    </pic:cNvPicPr>
                  </pic:nvPicPr>
                  <pic:blipFill>
                    <a:blip r:embed="rId7"/>
                    <a:stretch>
                      <a:fillRect/>
                    </a:stretch>
                  </pic:blipFill>
                  <pic:spPr>
                    <a:xfrm>
                      <a:off x="0" y="0"/>
                      <a:ext cx="1380490" cy="1243330"/>
                    </a:xfrm>
                    <a:prstGeom prst="rect">
                      <a:avLst/>
                    </a:prstGeom>
                    <a:noFill/>
                    <a:ln>
                      <a:noFill/>
                    </a:ln>
                  </pic:spPr>
                </pic:pic>
              </a:graphicData>
            </a:graphic>
          </wp:inline>
        </w:drawing>
      </w:r>
    </w:p>
    <w:p w14:paraId="78EE35E2">
      <w:pPr>
        <w:jc w:val="center"/>
        <w:rPr>
          <w:rFonts w:ascii="华文中宋" w:hAnsi="华文中宋" w:eastAsia="华文中宋"/>
          <w:b/>
          <w:sz w:val="56"/>
        </w:rPr>
      </w:pPr>
      <w:r>
        <w:rPr>
          <w:rFonts w:hint="eastAsia" w:ascii="华文中宋" w:hAnsi="华文中宋" w:eastAsia="华文中宋"/>
          <w:b/>
          <w:sz w:val="56"/>
        </w:rPr>
        <w:t>硕 士 学 位 论 文</w:t>
      </w:r>
    </w:p>
    <w:p w14:paraId="00BAED98">
      <w:pPr>
        <w:tabs>
          <w:tab w:val="left" w:pos="1320"/>
        </w:tabs>
        <w:spacing w:line="360" w:lineRule="auto"/>
        <w:ind w:left="0" w:leftChars="0" w:firstLine="0" w:firstLineChars="0"/>
        <w:rPr>
          <w:rFonts w:eastAsia="楷体_GB2312"/>
          <w:b/>
          <w:sz w:val="52"/>
        </w:rPr>
      </w:pPr>
    </w:p>
    <w:tbl>
      <w:tblPr>
        <w:tblStyle w:val="33"/>
        <w:tblW w:w="7534" w:type="dxa"/>
        <w:tblInd w:w="1077" w:type="dxa"/>
        <w:tblLayout w:type="autofit"/>
        <w:tblCellMar>
          <w:top w:w="0" w:type="dxa"/>
          <w:left w:w="108" w:type="dxa"/>
          <w:bottom w:w="0" w:type="dxa"/>
          <w:right w:w="108" w:type="dxa"/>
        </w:tblCellMar>
      </w:tblPr>
      <w:tblGrid>
        <w:gridCol w:w="2466"/>
        <w:gridCol w:w="5068"/>
      </w:tblGrid>
      <w:tr w14:paraId="6F37C62B">
        <w:trPr>
          <w:trHeight w:val="663" w:hRule="atLeast"/>
        </w:trPr>
        <w:tc>
          <w:tcPr>
            <w:tcW w:w="2466" w:type="dxa"/>
            <w:shd w:val="clear" w:color="auto" w:fill="auto"/>
            <w:vAlign w:val="bottom"/>
          </w:tcPr>
          <w:p w14:paraId="71636939">
            <w:pPr>
              <w:rPr>
                <w:rFonts w:ascii="楷体" w:hAnsi="楷体" w:eastAsia="楷体"/>
                <w:b/>
                <w:spacing w:val="66"/>
                <w:sz w:val="32"/>
              </w:rPr>
            </w:pPr>
            <w:r>
              <w:rPr>
                <w:rFonts w:hint="eastAsia" w:ascii="楷体" w:hAnsi="楷体" w:eastAsia="楷体"/>
                <w:b/>
                <w:spacing w:val="66"/>
                <w:sz w:val="32"/>
              </w:rPr>
              <w:t>论文题目</w:t>
            </w:r>
          </w:p>
        </w:tc>
        <w:tc>
          <w:tcPr>
            <w:tcW w:w="5068" w:type="dxa"/>
            <w:tcBorders>
              <w:bottom w:val="single" w:color="auto" w:sz="4" w:space="0"/>
            </w:tcBorders>
            <w:shd w:val="clear" w:color="auto" w:fill="auto"/>
            <w:vAlign w:val="bottom"/>
          </w:tcPr>
          <w:p w14:paraId="161AF72A">
            <w:pPr>
              <w:ind w:left="0" w:leftChars="0" w:firstLine="0" w:firstLineChars="0"/>
              <w:jc w:val="center"/>
              <w:rPr>
                <w:rFonts w:eastAsia="楷体_GB2312"/>
                <w:spacing w:val="66"/>
                <w:sz w:val="32"/>
                <w:u w:val="single"/>
              </w:rPr>
            </w:pPr>
            <w:r>
              <w:rPr>
                <w:rFonts w:ascii="楷体" w:hAnsi="楷体" w:eastAsia="楷体" w:cs="Times New Roman"/>
                <w:b/>
                <w:sz w:val="32"/>
              </w:rPr>
              <w:t>C公司充电桩选址问题研究</w:t>
            </w:r>
          </w:p>
        </w:tc>
      </w:tr>
      <w:tr w14:paraId="7746482A">
        <w:trPr>
          <w:trHeight w:val="639" w:hRule="atLeast"/>
        </w:trPr>
        <w:tc>
          <w:tcPr>
            <w:tcW w:w="2466" w:type="dxa"/>
            <w:shd w:val="clear" w:color="auto" w:fill="auto"/>
            <w:vAlign w:val="bottom"/>
          </w:tcPr>
          <w:p w14:paraId="081DCC41">
            <w:pPr>
              <w:rPr>
                <w:rFonts w:ascii="楷体" w:hAnsi="楷体" w:eastAsia="楷体"/>
                <w:b/>
                <w:spacing w:val="66"/>
                <w:sz w:val="32"/>
              </w:rPr>
            </w:pPr>
            <w:r>
              <w:rPr>
                <w:rFonts w:hint="eastAsia" w:ascii="楷体" w:hAnsi="楷体" w:eastAsia="楷体"/>
                <w:b/>
                <w:spacing w:val="66"/>
                <w:sz w:val="32"/>
              </w:rPr>
              <w:t>作者姓名</w:t>
            </w:r>
          </w:p>
        </w:tc>
        <w:tc>
          <w:tcPr>
            <w:tcW w:w="5068" w:type="dxa"/>
            <w:tcBorders>
              <w:top w:val="single" w:color="auto" w:sz="4" w:space="0"/>
              <w:bottom w:val="single" w:color="auto" w:sz="4" w:space="0"/>
            </w:tcBorders>
            <w:shd w:val="clear" w:color="auto" w:fill="auto"/>
            <w:vAlign w:val="bottom"/>
          </w:tcPr>
          <w:p w14:paraId="4CCA9E8F">
            <w:pPr>
              <w:tabs>
                <w:tab w:val="center" w:pos="2755"/>
                <w:tab w:val="left" w:pos="3840"/>
              </w:tabs>
              <w:ind w:left="0" w:leftChars="0" w:firstLine="0" w:firstLineChars="0"/>
              <w:jc w:val="center"/>
              <w:rPr>
                <w:rFonts w:hint="eastAsia" w:eastAsia="楷体_GB2312"/>
                <w:b/>
                <w:spacing w:val="66"/>
                <w:sz w:val="32"/>
                <w:lang w:val="en-US" w:eastAsia="zh-CN"/>
              </w:rPr>
            </w:pPr>
            <w:r>
              <w:rPr>
                <w:rFonts w:hint="eastAsia" w:ascii="楷体" w:hAnsi="楷体" w:eastAsia="楷体" w:cs="Times New Roman"/>
                <w:b/>
                <w:sz w:val="32"/>
                <w:lang w:val="en-US" w:eastAsia="zh-CN"/>
              </w:rPr>
              <w:t>于琮源</w:t>
            </w:r>
          </w:p>
        </w:tc>
      </w:tr>
      <w:tr w14:paraId="36EC3B49">
        <w:trPr>
          <w:trHeight w:val="663" w:hRule="atLeast"/>
        </w:trPr>
        <w:tc>
          <w:tcPr>
            <w:tcW w:w="2466" w:type="dxa"/>
            <w:shd w:val="clear" w:color="auto" w:fill="auto"/>
            <w:tcFitText/>
            <w:vAlign w:val="bottom"/>
          </w:tcPr>
          <w:p w14:paraId="2AA6058F">
            <w:pPr>
              <w:jc w:val="both"/>
              <w:rPr>
                <w:rFonts w:ascii="楷体" w:hAnsi="楷体" w:eastAsia="楷体"/>
                <w:b/>
                <w:spacing w:val="0"/>
                <w:kern w:val="0"/>
                <w:sz w:val="32"/>
              </w:rPr>
            </w:pPr>
            <w:r>
              <w:rPr>
                <w:rFonts w:hint="eastAsia" w:ascii="楷体" w:hAnsi="楷体" w:eastAsia="楷体"/>
                <w:b/>
                <w:spacing w:val="63"/>
                <w:w w:val="39"/>
                <w:kern w:val="0"/>
                <w:sz w:val="32"/>
                <w:szCs w:val="24"/>
                <w:lang w:eastAsia="zh-CN"/>
              </w:rPr>
              <w:t>专业学位类别（领域</w:t>
            </w:r>
            <w:r>
              <w:rPr>
                <w:rFonts w:hint="eastAsia" w:ascii="楷体" w:hAnsi="楷体" w:eastAsia="楷体"/>
                <w:b/>
                <w:spacing w:val="0"/>
                <w:w w:val="39"/>
                <w:kern w:val="0"/>
                <w:sz w:val="32"/>
              </w:rPr>
              <w:t>）</w:t>
            </w:r>
          </w:p>
        </w:tc>
        <w:tc>
          <w:tcPr>
            <w:tcW w:w="5068" w:type="dxa"/>
            <w:tcBorders>
              <w:top w:val="single" w:color="auto" w:sz="4" w:space="0"/>
              <w:bottom w:val="single" w:color="auto" w:sz="4" w:space="0"/>
            </w:tcBorders>
            <w:shd w:val="clear" w:color="auto" w:fill="auto"/>
            <w:vAlign w:val="bottom"/>
          </w:tcPr>
          <w:p w14:paraId="674ECCE9">
            <w:pPr>
              <w:ind w:left="0" w:leftChars="0" w:firstLine="0" w:firstLineChars="0"/>
              <w:jc w:val="center"/>
              <w:rPr>
                <w:rFonts w:eastAsia="楷体_GB2312"/>
                <w:b/>
                <w:spacing w:val="66"/>
                <w:sz w:val="32"/>
              </w:rPr>
            </w:pPr>
            <w:r>
              <w:rPr>
                <w:rFonts w:ascii="楷体" w:hAnsi="楷体" w:eastAsia="楷体" w:cs="Times New Roman"/>
                <w:b/>
                <w:sz w:val="32"/>
              </w:rPr>
              <w:t>工程管理</w:t>
            </w:r>
          </w:p>
        </w:tc>
      </w:tr>
      <w:tr w14:paraId="6A8A423F">
        <w:trPr>
          <w:trHeight w:val="663" w:hRule="atLeast"/>
        </w:trPr>
        <w:tc>
          <w:tcPr>
            <w:tcW w:w="2466" w:type="dxa"/>
            <w:shd w:val="clear" w:color="auto" w:fill="auto"/>
            <w:vAlign w:val="bottom"/>
          </w:tcPr>
          <w:p w14:paraId="1766B774">
            <w:pPr>
              <w:rPr>
                <w:rFonts w:ascii="楷体" w:hAnsi="楷体" w:eastAsia="楷体"/>
                <w:b/>
                <w:spacing w:val="66"/>
                <w:sz w:val="32"/>
              </w:rPr>
            </w:pPr>
            <w:r>
              <w:rPr>
                <w:rFonts w:hint="eastAsia" w:ascii="楷体" w:hAnsi="楷体" w:eastAsia="楷体"/>
                <w:b/>
                <w:spacing w:val="66"/>
                <w:sz w:val="32"/>
              </w:rPr>
              <w:t>研究方向</w:t>
            </w:r>
          </w:p>
        </w:tc>
        <w:tc>
          <w:tcPr>
            <w:tcW w:w="5068" w:type="dxa"/>
            <w:tcBorders>
              <w:top w:val="single" w:color="auto" w:sz="4" w:space="0"/>
              <w:bottom w:val="single" w:color="auto" w:sz="4" w:space="0"/>
            </w:tcBorders>
            <w:shd w:val="clear" w:color="auto" w:fill="auto"/>
            <w:vAlign w:val="bottom"/>
          </w:tcPr>
          <w:p w14:paraId="418DC615">
            <w:pPr>
              <w:ind w:left="0" w:leftChars="0" w:firstLine="0" w:firstLineChars="0"/>
              <w:jc w:val="center"/>
              <w:rPr>
                <w:rFonts w:hint="default" w:eastAsia="楷体_GB2312"/>
                <w:b/>
                <w:spacing w:val="66"/>
                <w:sz w:val="32"/>
                <w:lang w:val="en-US" w:eastAsia="zh-CN"/>
              </w:rPr>
            </w:pPr>
            <w:r>
              <w:rPr>
                <w:rFonts w:hint="eastAsia" w:ascii="楷体" w:hAnsi="楷体" w:eastAsia="楷体" w:cs="Times New Roman"/>
                <w:b/>
                <w:sz w:val="32"/>
                <w:lang w:val="en-US" w:eastAsia="zh-CN"/>
              </w:rPr>
              <w:t>项目管理</w:t>
            </w:r>
          </w:p>
        </w:tc>
      </w:tr>
      <w:tr w14:paraId="384D45FF">
        <w:trPr>
          <w:trHeight w:val="663" w:hRule="atLeast"/>
        </w:trPr>
        <w:tc>
          <w:tcPr>
            <w:tcW w:w="2466" w:type="dxa"/>
            <w:shd w:val="clear" w:color="auto" w:fill="auto"/>
            <w:vAlign w:val="bottom"/>
          </w:tcPr>
          <w:p w14:paraId="7957578D">
            <w:pPr>
              <w:rPr>
                <w:rFonts w:ascii="楷体" w:hAnsi="楷体" w:eastAsia="楷体"/>
                <w:b/>
                <w:spacing w:val="66"/>
                <w:sz w:val="32"/>
              </w:rPr>
            </w:pPr>
            <w:r>
              <w:rPr>
                <w:rFonts w:hint="eastAsia" w:ascii="楷体" w:hAnsi="楷体" w:eastAsia="楷体"/>
                <w:b/>
                <w:spacing w:val="66"/>
                <w:sz w:val="32"/>
              </w:rPr>
              <w:t>导师姓名</w:t>
            </w:r>
          </w:p>
        </w:tc>
        <w:tc>
          <w:tcPr>
            <w:tcW w:w="5068" w:type="dxa"/>
            <w:tcBorders>
              <w:top w:val="single" w:color="auto" w:sz="4" w:space="0"/>
              <w:bottom w:val="single" w:color="auto" w:sz="4" w:space="0"/>
            </w:tcBorders>
            <w:shd w:val="clear" w:color="auto" w:fill="auto"/>
            <w:vAlign w:val="bottom"/>
          </w:tcPr>
          <w:p w14:paraId="45EC9CEF">
            <w:pPr>
              <w:ind w:left="0" w:leftChars="0" w:firstLine="0" w:firstLineChars="0"/>
              <w:jc w:val="center"/>
              <w:rPr>
                <w:rFonts w:hint="eastAsia" w:eastAsia="楷体_GB2312"/>
                <w:b/>
                <w:spacing w:val="66"/>
                <w:sz w:val="32"/>
                <w:lang w:val="en-US" w:eastAsia="zh-CN"/>
              </w:rPr>
            </w:pPr>
            <w:r>
              <w:rPr>
                <w:rFonts w:hint="eastAsia" w:ascii="楷体" w:hAnsi="楷体" w:eastAsia="楷体" w:cs="Times New Roman"/>
                <w:b/>
                <w:sz w:val="32"/>
                <w:lang w:val="en-US" w:eastAsia="zh-CN"/>
              </w:rPr>
              <w:t>赵佳宝</w:t>
            </w:r>
          </w:p>
        </w:tc>
      </w:tr>
    </w:tbl>
    <w:p w14:paraId="364AEACE">
      <w:pPr>
        <w:spacing w:before="0" w:after="360"/>
        <w:ind w:left="0" w:leftChars="0" w:firstLine="0" w:firstLineChars="0"/>
        <w:jc w:val="both"/>
        <w:rPr>
          <w:b/>
          <w:spacing w:val="-20"/>
          <w:sz w:val="52"/>
        </w:rPr>
      </w:pPr>
    </w:p>
    <w:p w14:paraId="0BD31E0D">
      <w:pPr>
        <w:spacing w:before="0" w:after="360"/>
        <w:ind w:left="0" w:leftChars="0" w:firstLine="0" w:firstLineChars="0"/>
        <w:jc w:val="both"/>
        <w:rPr>
          <w:b/>
          <w:spacing w:val="-20"/>
          <w:sz w:val="52"/>
        </w:rPr>
      </w:pPr>
    </w:p>
    <w:p w14:paraId="2F8E8FF7">
      <w:pPr>
        <w:jc w:val="center"/>
        <w:rPr>
          <w:rFonts w:ascii="楷体" w:hAnsi="楷体" w:eastAsia="楷体"/>
          <w:b/>
          <w:sz w:val="28"/>
        </w:rPr>
      </w:pPr>
      <w:r>
        <w:rPr>
          <w:rFonts w:hint="eastAsia" w:ascii="楷体" w:hAnsi="楷体" w:eastAsia="楷体"/>
          <w:b/>
          <w:bCs/>
          <w:sz w:val="28"/>
          <w:szCs w:val="28"/>
          <w:lang w:val="en-US" w:eastAsia="zh-CN"/>
        </w:rPr>
        <w:t>2026</w:t>
      </w:r>
      <w:r>
        <w:rPr>
          <w:rFonts w:hint="eastAsia" w:ascii="楷体" w:hAnsi="楷体" w:eastAsia="楷体"/>
          <w:b/>
          <w:sz w:val="28"/>
        </w:rPr>
        <w:t>年</w:t>
      </w:r>
      <w:r>
        <w:rPr>
          <w:rFonts w:hint="eastAsia" w:ascii="楷体" w:hAnsi="楷体" w:eastAsia="楷体"/>
          <w:b/>
          <w:sz w:val="28"/>
          <w:lang w:val="en-US" w:eastAsia="zh-CN"/>
        </w:rPr>
        <w:t>06</w:t>
      </w:r>
      <w:r>
        <w:rPr>
          <w:rFonts w:hint="eastAsia" w:ascii="楷体" w:hAnsi="楷体" w:eastAsia="楷体"/>
          <w:b/>
          <w:sz w:val="28"/>
        </w:rPr>
        <w:t xml:space="preserve"> 月</w:t>
      </w:r>
      <w:r>
        <w:rPr>
          <w:rFonts w:hint="eastAsia" w:ascii="楷体" w:hAnsi="楷体" w:eastAsia="楷体"/>
          <w:b/>
          <w:sz w:val="28"/>
          <w:lang w:val="en-US" w:eastAsia="zh-CN"/>
        </w:rPr>
        <w:t>07</w:t>
      </w:r>
      <w:r>
        <w:rPr>
          <w:rFonts w:hint="eastAsia" w:ascii="楷体" w:hAnsi="楷体" w:eastAsia="楷体"/>
          <w:b/>
          <w:sz w:val="28"/>
        </w:rPr>
        <w:t>日</w:t>
      </w:r>
    </w:p>
    <w:p w14:paraId="11A3FE0E">
      <w:pPr>
        <w:spacing w:before="0" w:after="360"/>
        <w:ind w:left="1440" w:leftChars="0" w:firstLine="720" w:firstLineChars="0"/>
        <w:jc w:val="both"/>
        <w:rPr>
          <w:b/>
          <w:spacing w:val="-20"/>
          <w:sz w:val="52"/>
        </w:rPr>
      </w:pPr>
    </w:p>
    <w:p w14:paraId="5CAAB16D">
      <w:pPr>
        <w:snapToGrid/>
        <w:spacing w:before="0" w:beforeAutospacing="0" w:after="0" w:afterAutospacing="0" w:line="360" w:lineRule="auto"/>
        <w:ind w:left="0" w:leftChars="0" w:right="0" w:rightChars="0" w:firstLine="0" w:firstLineChars="0"/>
        <w:jc w:val="center"/>
        <w:rPr>
          <w:rFonts w:ascii="Times New Roman" w:eastAsia="楷体_GB2312"/>
          <w:b/>
          <w:sz w:val="36"/>
        </w:rPr>
      </w:pPr>
      <w:r>
        <w:rPr>
          <w:rFonts w:ascii="Times New Roman" w:hAnsi="Times New Roman" w:eastAsia="楷体_GB2312"/>
          <w:b/>
          <w:sz w:val="36"/>
        </w:rPr>
        <w:t>C公司充电桩选址问题研究</w:t>
      </w:r>
    </w:p>
    <w:p w14:paraId="35F895B0">
      <w:pPr>
        <w:pStyle w:val="3"/>
        <w:snapToGrid/>
        <w:spacing w:before="0" w:beforeAutospacing="0" w:after="0" w:afterAutospacing="0" w:line="360" w:lineRule="auto"/>
        <w:ind w:left="0" w:leftChars="0" w:right="0" w:rightChars="0" w:firstLine="0" w:firstLineChars="0"/>
        <w:jc w:val="center"/>
        <w:rPr>
          <w:rFonts w:ascii="Times New Roman" w:eastAsia="黑体"/>
          <w:b w:val="0"/>
          <w:color w:val="auto"/>
          <w:sz w:val="28"/>
        </w:rPr>
      </w:pPr>
      <w:r>
        <w:rPr>
          <w:rFonts w:ascii="Times New Roman" w:eastAsia="黑体"/>
          <w:b w:val="0"/>
          <w:color w:val="auto"/>
          <w:sz w:val="28"/>
        </w:rPr>
        <w:t>摘要</w:t>
      </w:r>
    </w:p>
    <w:p w14:paraId="27FD4BF9">
      <w:pPr>
        <w:snapToGrid/>
        <w:spacing w:before="0" w:beforeAutospacing="0" w:after="0" w:afterAutospacing="0" w:line="360" w:lineRule="auto"/>
        <w:ind w:left="0" w:leftChars="0" w:right="0" w:rightChars="0" w:firstLine="480" w:firstLineChars="200"/>
        <w:jc w:val="both"/>
        <w:rPr>
          <w:rFonts w:ascii="楷体" w:eastAsia="楷体"/>
          <w:sz w:val="28"/>
        </w:rPr>
      </w:pPr>
      <w:r>
        <w:rPr>
          <w:rFonts w:ascii="楷体" w:eastAsia="楷体"/>
          <w:b w:val="0"/>
          <w:i w:val="0"/>
          <w:sz w:val="24"/>
        </w:rPr>
        <w:t>随着城市短途出行需求的持续增长，电动自行车已成为居民日常通勤的重要工具。与之相伴的是社区充电需求快速上升，但现有社区充电基础设施在布局合理性、建设成本控制和运营效率提升等方面仍存在明显不足。C公司作为社区电动自行车充电桩运营企业，已在南京、深圳、徐州等地开展业务布局。在实际扩张过程中，公司选址工作较多依赖经验判断，缺乏统一的评价模型和标准化的决策流程，导致不同城市和不同社区项目在安装成本、利用率、维护投入和投资回收周期等方面差异显著。基于此，本文以C公司为研究对象，围绕社区电动自行车充电桩选址问题，系统研究选址影响因素识别、成本结构分析以及综合评价模型构建问题。</w:t>
      </w:r>
    </w:p>
    <w:p w14:paraId="33535DE7">
      <w:pPr>
        <w:snapToGrid/>
        <w:spacing w:before="0" w:beforeAutospacing="0" w:after="0" w:afterAutospacing="0" w:line="360" w:lineRule="auto"/>
        <w:ind w:left="0" w:leftChars="0" w:right="0" w:rightChars="0" w:firstLine="480" w:firstLineChars="200"/>
        <w:jc w:val="both"/>
        <w:rPr>
          <w:rFonts w:ascii="楷体" w:eastAsia="楷体"/>
          <w:sz w:val="28"/>
        </w:rPr>
      </w:pPr>
      <w:r>
        <w:rPr>
          <w:rFonts w:ascii="楷体" w:eastAsia="楷体"/>
          <w:b w:val="0"/>
          <w:i w:val="0"/>
          <w:sz w:val="24"/>
        </w:rPr>
        <w:t>本文首先结合行业发展背景与企业实际需求，梳理社区电动自行车充电设施布局的研究意义与现实价值；其次在公共设施选址理论、消费者行为理论、成本收益理论和可持续发展理论基础上，对相关文献进行系统综述；随后基于C公司南京、深圳、徐州三地的运营数据和管理实践，对企业现有充电桩运营状况、选址流程及主要问题进行分析；在此基础上，从需求侧因素、供给侧因素、环境与政策因素、技术与运营因素四个维度构建选址影响因素体系，并采用AHP法与熵权法相结合的方式进行组合赋权，形成综合权重矩阵；进一步对C公司三地项目的安装成本、维护成本及其差异成因进行结构化分析，初步揭示选址方案对成本与收益的影响机制。</w:t>
      </w:r>
    </w:p>
    <w:p w14:paraId="08A1DDCF">
      <w:pPr>
        <w:snapToGrid/>
        <w:spacing w:before="0" w:beforeAutospacing="0" w:after="0" w:afterAutospacing="0" w:line="360" w:lineRule="auto"/>
        <w:ind w:left="0" w:leftChars="0" w:right="0" w:rightChars="0" w:firstLine="480" w:firstLineChars="200"/>
        <w:jc w:val="both"/>
        <w:rPr>
          <w:rFonts w:ascii="楷体" w:eastAsia="楷体"/>
          <w:sz w:val="28"/>
        </w:rPr>
      </w:pPr>
      <w:r>
        <w:rPr>
          <w:rFonts w:ascii="楷体" w:eastAsia="楷体"/>
          <w:b w:val="0"/>
          <w:i w:val="0"/>
          <w:sz w:val="24"/>
        </w:rPr>
        <w:t>阶段性研究结果表明：用户需求密度、电力接入条件和物业协同程度是影响社区充电桩选址效果的关键因素；C公司现有站点在跨城市扩张过程中，安装成本受人工费用、电力改造难度和市政施工条件影响显著，维护成本则呈现与设备使用强度和社区类型相关的差异化特征；基于选址影响因素和成本变量构建综合评价模型具有较强的可行性，可为企业后续项目布局提供量化支持。当前本文已完成绪论、理论基础与文献综述、企业运营现状分析、选址影响因素与成本结构分析，以及综合选址评价模型的指标体系与方法框架构建，约完成论文整体工作量的60%。后续将继续开展模型实证验证、布局优化策略提炼以及全文修改完善工作。</w:t>
      </w:r>
    </w:p>
    <w:p w14:paraId="16D6B70C">
      <w:pPr>
        <w:snapToGrid/>
        <w:spacing w:before="0" w:beforeAutospacing="0" w:after="0" w:afterAutospacing="0" w:line="360" w:lineRule="auto"/>
        <w:ind w:left="0" w:leftChars="0" w:right="0" w:rightChars="0" w:firstLine="480" w:firstLineChars="200"/>
        <w:jc w:val="both"/>
        <w:rPr>
          <w:rFonts w:ascii="楷体" w:eastAsia="楷体"/>
          <w:sz w:val="28"/>
        </w:rPr>
      </w:pPr>
      <w:r>
        <w:rPr>
          <w:rFonts w:ascii="楷体" w:eastAsia="楷体"/>
          <w:b w:val="0"/>
          <w:i w:val="0"/>
          <w:sz w:val="24"/>
        </w:rPr>
        <w:t>**关键词**：电动自行车充电桩；选址评价；成本结构；AHP；熵权法；TOPSIS；社区基础设施</w:t>
      </w:r>
      <w:r>
        <w:rPr>
          <w:rFonts w:ascii="楷体" w:eastAsia="楷体"/>
          <w:b w:val="0"/>
          <w:i w:val="0"/>
          <w:sz w:val="24"/>
        </w:rPr>
        <w:br w:type="page"/>
      </w:r>
    </w:p>
    <w:p w14:paraId="700946C3"/>
    <w:p w14:paraId="005CB078">
      <w:pPr>
        <w:pStyle w:val="3"/>
        <w:snapToGrid/>
        <w:spacing w:before="0" w:beforeAutospacing="0" w:after="0" w:afterAutospacing="0" w:line="360" w:lineRule="auto"/>
        <w:ind w:left="0" w:leftChars="0" w:right="0" w:rightChars="0" w:firstLine="0" w:firstLineChars="0"/>
        <w:jc w:val="center"/>
        <w:outlineLvl w:val="0"/>
        <w:rPr>
          <w:rFonts w:ascii="Times New Roman" w:eastAsia="黑体"/>
          <w:b w:val="0"/>
          <w:color w:val="auto"/>
          <w:sz w:val="28"/>
        </w:rPr>
      </w:pPr>
      <w:r>
        <w:rPr>
          <w:rFonts w:ascii="Times New Roman" w:eastAsia="黑体"/>
          <w:b w:val="0"/>
          <w:color w:val="auto"/>
          <w:sz w:val="28"/>
        </w:rPr>
        <w:t>第1章 绪论</w:t>
      </w:r>
    </w:p>
    <w:p w14:paraId="2BB33D56">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1.1 研究背景</w:t>
      </w:r>
    </w:p>
    <w:p w14:paraId="52326214">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1.1.1 行业发展背景</w:t>
      </w:r>
    </w:p>
    <w:p w14:paraId="6CBD1AB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近年来，随着我国城市化进程持续推进以及居民绿色出行意识不断增强，电动自行车因其购置成本低、通行灵活、停放便捷等优势，已成为城市短距离出行的重要交通工具。在大量居民日常通勤、生活购物和接驳地铁公交等场景中，电动自行车的使用频率不断提升，其保有量和使用强度也保持增长态势。与车辆保有量增长相对应的是社区充电需求的迅速扩大，尤其是在高密度居住社区、老旧小区以及外来人口聚集区域，充电设施供需矛盾日益突出。</w:t>
      </w:r>
    </w:p>
    <w:p w14:paraId="5FE4F82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与汽车充电设施相比，社区电动自行车充电设施具有使用频次高、单次充电金额低、分布场景分散、物业协调要求强等特点。其站点选址不仅关系到用户充电便利性和设备利用率，还与消防安全、场地改造难度、物业协同水平以及后续维护成本密切相关。因此，社区电动自行车充电设施并不是简单意义上的设备铺设问题，而是一个同时涉及公共安全、社区治理、居民服务和企业投资回报的综合管理问题。</w:t>
      </w:r>
    </w:p>
    <w:p w14:paraId="221AE7A0">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1.1.2 政策与安全背景</w:t>
      </w:r>
    </w:p>
    <w:p w14:paraId="13AAF53B">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近年来，多地因“飞线充电”“入户充电”等问题引发火灾事故，社区电动自行车充电安全问题受到社会高度关注。国家及地方政府不断强化对电动自行车停放和充电行为的规范管理，推动社区集中充电设施建设，将其纳入基层治理、消防整治和便民服务体系。政策导向为充电桩企业带来了较大的市场空间，但同时也提高了项目合规性、建设标准和运营管理的要求。</w:t>
      </w:r>
    </w:p>
    <w:p w14:paraId="420D682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在这一背景下，企业若仅依靠传统经验进行站点布局，很容易出现“建得出、用不好、收不回”的问题。一方面，若选址偏离真实需求区域，设备利用率不足，会直接影响项目收益；另一方面，若前期忽视电力接入、消防条件、物业态度和社区结构差异，则可能造成安装成本失控、后期维护压力加大甚至项目推进受阻。因此，如何构建适用于社区场景的科学选址方法，已经成为电动自行车充电运营企业提升扩张质量的关键。</w:t>
      </w:r>
    </w:p>
    <w:p w14:paraId="1FA15AA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1.1.3 企业实践背景</w:t>
      </w:r>
    </w:p>
    <w:p w14:paraId="4CF5DDC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C公司目前已在南京、深圳、徐州等城市开展社区电动自行车充电桩业务。作为一家处于扩张阶段的运营企业，C公司在前期项目开发中积累了一定实践经验，也暴露出明显问题：一是不同城市、不同社区站点的安装成本差异较大，成本管控难度高；二是站点利用率和收益水平波动明显，部分项目未能实现预期回报；三是现有选址决策较多依赖业务人员经验判断，缺乏统一的指标体系和量化评价工具，导致成功经验难以复制，扩张效率受到限制。</w:t>
      </w:r>
    </w:p>
    <w:p w14:paraId="074C3E5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因此，以C公司为样本研究社区电动自行车充电桩选址问题，不仅具有较强的实践针对性，也有助于从企业管理视角补充现有研究中关于社区细分场景、成本约束和多城市扩张问题的不足。</w:t>
      </w:r>
    </w:p>
    <w:p w14:paraId="151692A5">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1.2 研究目的与意义</w:t>
      </w:r>
    </w:p>
    <w:p w14:paraId="5695C27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1.2.1 研究目的</w:t>
      </w:r>
    </w:p>
    <w:p w14:paraId="25EC1DFC">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本文的总体目标是围绕C公司社区电动自行车充电桩业务，构建一套兼顾需求特征、建设约束与成本收益平衡的选址分析框架。具体而言，本文拟实现以下几个方面的研究目的：</w:t>
      </w:r>
    </w:p>
    <w:p w14:paraId="73C560B0">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第一，系统识别影响社区电动自行车充电桩选址效果的关键因素，构建结构化的选址影响因素体系。</w:t>
      </w:r>
    </w:p>
    <w:p w14:paraId="1B37F983">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第二，结合C公司三地运营数据，对安装成本与维护成本进行拆解，形成可比较、可迁移的成本结构分析框架。</w:t>
      </w:r>
    </w:p>
    <w:p w14:paraId="4653A25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第三，基于选址因素和成本变量，搭建综合评价模型，为后续站点优选和扩张决策提供方法基础。</w:t>
      </w:r>
    </w:p>
    <w:p w14:paraId="517F253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第四，总结C公司既有站点布局经验，为企业后续在新城市和新社区中开展标准化复制提供参考依据。</w:t>
      </w:r>
    </w:p>
    <w:p w14:paraId="454E0F7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1.2.2 理论意义</w:t>
      </w:r>
    </w:p>
    <w:p w14:paraId="08D0664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现有充电设施选址研究主要聚焦于新能源汽车充电站、城市级网络布局或一般公共设施优化模型，对于社区电动自行车充电桩这一细分场景的研究相对不足。尤其在选址因素识别、运维成本分析以及社区治理因素嵌入等方面，尚未形成成熟统一的研究框架。本文以C公司为案例，从社区运营场景出发，将需求、成本、物业协同和政策环境等因素纳入同一分析框架，有助于丰富社区微观场景下公共设施选址研究的内容。</w:t>
      </w:r>
    </w:p>
    <w:p w14:paraId="7A0B9C8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此外，本文尝试将AHP法、熵权法与综合评价方法结合，用于社区电动自行车充电桩选址分析，这对于拓展多准则决策方法在该领域中的应用也具有一定参考价值。</w:t>
      </w:r>
    </w:p>
    <w:p w14:paraId="5C3C1CAC">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1.2.3 实践意义</w:t>
      </w:r>
    </w:p>
    <w:p w14:paraId="1022DEB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企业实践角度看，本文的研究结果能够帮助C公司解决当前扩张中的三个核心问题：一是提高选址决策的标准化程度，减少过度依赖个人经验导致的判断偏差；二是增强成本测算和项目预估能力，为投资决策、预算管理和风险控制提供依据；三是总结可复制的选址规律，提升企业跨城市布局和规模扩张的效率。</w:t>
      </w:r>
    </w:p>
    <w:p w14:paraId="7AD751D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从社会治理角度看，社区充电设施的科学布局有助于改善居民充电便利性，降低私拉乱接带来的安全风险，提升社区公共服务水平。因此，本文研究也具有一定的公共价值。</w:t>
      </w:r>
    </w:p>
    <w:p w14:paraId="7E888E84">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1.3 国内外研究现状</w:t>
      </w:r>
    </w:p>
    <w:p w14:paraId="75D8B6FC">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1.3.1 充电设施选址研究现状</w:t>
      </w:r>
    </w:p>
    <w:p w14:paraId="1814E820">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国内外关于充电设施选址的研究，已经从早期的单因素判断逐步发展为多因素、多目标综合决策分析。已有研究普遍关注交通流量、人口密度、土地可获得性、电网接入条件、服务半径和政策约束等因素，并采用层次分析法、多目标规划、灰色关联分析、TOPSIS法以及启发式算法等构建选址模型。</w:t>
      </w:r>
    </w:p>
    <w:p w14:paraId="59195A6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研究对象看，现有成果以新能源汽车充电站为主，研究场景通常包括城市道路网、商业区、交通枢纽和区域级充电网络布局等。与之相比，电动自行车充电桩尤其是社区场景下的选址研究明显不足。社区场景具有高频分散、需求受居住结构影响显著、物业协调约束强、消防要求具体且刚性的特征，这使得汽车充电站的研究结论不能被直接照搬。</w:t>
      </w:r>
    </w:p>
    <w:p w14:paraId="4A9BFAD4">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1.3.2 成本建模研究现状</w:t>
      </w:r>
    </w:p>
    <w:p w14:paraId="117A1D2B">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成本研究方面，学者通常从建设成本、运营成本、维护成本和生命周期总成本等角度展开分析。生命周期成本理论为识别设施建设与运营全过程中的成本项提供了系统框架；部分研究采用回归分析、成本分解法和机器学习方法，对影响成本变化的关键变量进行识别；还有研究从项目管理角度关注预算偏差、运维效率和投资回收期等问题。</w:t>
      </w:r>
    </w:p>
    <w:p w14:paraId="274044B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但是，针对社区电动自行车充电设施的成本分析仍较为薄弱。现有研究普遍存在两个缺口：一是缺乏将选址因素与成本差异联系起来的系统分析；二是对不同城市、不同社区类型之间成本可比性的研究较少。对企业而言，这正是实际决策最为关注的问题。</w:t>
      </w:r>
    </w:p>
    <w:p w14:paraId="20774CC3">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1.3.3 多城市比较研究现状</w:t>
      </w:r>
    </w:p>
    <w:p w14:paraId="267EC08C">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多城市比较研究强调不同城市在人口结构、交通方式、政策环境、建设条件和物业管理模式等方面存在显著差异，这些差异会直接影响充电设施建设节奏、成本结构和运营收益。已有研究从宏观层面对车桩比、设施覆盖率、网络成熟度等进行了比较，但对企业微观项目层面的选址与成本问题研究相对有限。</w:t>
      </w:r>
    </w:p>
    <w:p w14:paraId="5EE016F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对于C公司这类处于扩张阶段的运营企业而言，真正需要解决的是“如何将已有城市的成功经验转化为新城市的可复制标准”，这不仅需要经验总结，更需要以数据和模型为支撑的量化分析。</w:t>
      </w:r>
    </w:p>
    <w:p w14:paraId="6CC74FF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1.3.4 研究评述</w:t>
      </w:r>
    </w:p>
    <w:p w14:paraId="605562F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总体来看，现有研究为本文提供了较好的理论和方法基础，但仍存在以下不足：第一，针对社区电动自行车充电桩场景的研究深度不够；第二，选址影响因素、成本结构和企业扩张决策三者尚未形成统一分析框架；第三，跨城市差异如何影响选址与成本的机制尚未得到充分解释。</w:t>
      </w:r>
    </w:p>
    <w:p w14:paraId="129ACAE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因此，本文将以C公司为案例，围绕社区场景、企业运营和多城市扩张三个关键词展开研究，力求使研究更加贴近企业真实决策问题。</w:t>
      </w:r>
    </w:p>
    <w:p w14:paraId="2684CA93">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1.4 研究内容、方法与技术路线</w:t>
      </w:r>
    </w:p>
    <w:p w14:paraId="7584E3BC">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1.4.1 研究内容</w:t>
      </w:r>
    </w:p>
    <w:p w14:paraId="0AD03C5B">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本文主要围绕以下四个方面开展研究：</w:t>
      </w:r>
    </w:p>
    <w:p w14:paraId="24FC26C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第一，分析行业背景与研究问题，明确社区电动自行车充电桩选址研究的现实意义。</w:t>
      </w:r>
    </w:p>
    <w:p w14:paraId="4284858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第二，基于相关理论和文献，对社区充电设施选址、成本分析与布局优化问题进行系统梳理。</w:t>
      </w:r>
    </w:p>
    <w:p w14:paraId="611B97B2">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第三，结合C公司南京、深圳、徐州三地运营实践，分析企业现有站点布局、选址流程、主要问题以及成本结构。</w:t>
      </w:r>
    </w:p>
    <w:p w14:paraId="10B317D9">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第四，构建选址影响因素体系和综合评价模型，为后续站点优选、成本控制和扩张复制提供方法基础。</w:t>
      </w:r>
    </w:p>
    <w:p w14:paraId="13BFAB84">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1.4.2 研究方法</w:t>
      </w:r>
    </w:p>
    <w:p w14:paraId="33B848B2">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本文主要采用以下研究方法：</w:t>
      </w:r>
    </w:p>
    <w:p w14:paraId="175FC8D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（1）文献研究法。通过梳理国内外相关研究成果，明确现有研究进展与不足，为本文构建理论基础和研究框架。</w:t>
      </w:r>
    </w:p>
    <w:p w14:paraId="34D4EE9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（2）案例分析法。以C公司为案例对象，结合企业在南京、深圳、徐州三地的真实运营数据和管理实践，开展针对性分析。</w:t>
      </w:r>
    </w:p>
    <w:p w14:paraId="4D21AE7C">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（3）数据分析法。对站点分布、利用率、安装成本、维护成本和用户反馈等数据进行整理与比较分析，识别主要影响因素。</w:t>
      </w:r>
    </w:p>
    <w:p w14:paraId="2C09E782">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（4）多准则决策方法。采用AHP法和熵权法进行组合赋权，后续结合TOPSIS法构建综合选址评价模型。</w:t>
      </w:r>
    </w:p>
    <w:p w14:paraId="2A3BA51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1.4.3 技术路线</w:t>
      </w:r>
    </w:p>
    <w:p w14:paraId="70D8C1F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文的技术路线可概括为：提出问题，梳理理论与文献；分析企业运营现状，识别管理痛点；构建选址影响因素体系并进行权重测算；对成本结构和差异成因进行分析；在此基础上建立综合评价模型，并为后续实证验证与策略优化提供基础。</w:t>
      </w:r>
    </w:p>
    <w:p w14:paraId="09675BDF">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1.5 研究创新点</w:t>
      </w:r>
    </w:p>
    <w:p w14:paraId="57A383C9">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结合当前研究进展与C公司实际需求，本文的创新点主要体现在以下三个方面：</w:t>
      </w:r>
    </w:p>
    <w:p w14:paraId="3D30188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第一，研究对象聚焦于社区电动自行车充电桩这一细分场景，与以往新能源汽车充电站研究形成区分，更贴近基层社区和企业运营实际。</w:t>
      </w:r>
    </w:p>
    <w:p w14:paraId="43B6E5E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第二，将选址影响因素、安装成本、维护成本和企业扩张复制问题纳入同一研究框架，突出“选址因素—成本结构—综合决策”的逻辑链条。</w:t>
      </w:r>
    </w:p>
    <w:p w14:paraId="2E8842D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第三，以企业真实运营数据为基础，尝试构建兼具可操作性和可推广性的评价模型，为企业跨城市扩张提供更具实务价值的管理工具。</w:t>
      </w:r>
    </w:p>
    <w:p w14:paraId="592B5854">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1.6 本章小结</w:t>
      </w:r>
    </w:p>
    <w:p w14:paraId="5803E36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章围绕研究背景、研究意义、国内外研究现状、研究内容与方法等方面展开论述，明确了本文的研究问题与基本思路。可以看出，社区电动自行车充电桩选址问题兼具公共治理属性和企业经营属性，既关系到居民充电安全与便利，也关系到企业成本控制和扩张效率。现有研究虽已形成一定基础，但仍难以直接解释C公司在社区场景下的实际管理问题。后续章节将在理论与案例结合的基础上，对企业运营现状、选址因素和成本结构展开进一步分析。</w:t>
      </w:r>
    </w:p>
    <w:p w14:paraId="0C6AABCB">
      <w:pPr>
        <w:pStyle w:val="3"/>
        <w:snapToGrid/>
        <w:spacing w:before="0" w:beforeAutospacing="0" w:after="0" w:afterAutospacing="0" w:line="360" w:lineRule="auto"/>
        <w:ind w:left="0" w:leftChars="0" w:right="0" w:rightChars="0" w:firstLine="0" w:firstLineChars="0"/>
        <w:jc w:val="center"/>
        <w:outlineLvl w:val="0"/>
        <w:rPr>
          <w:rFonts w:ascii="Times New Roman" w:eastAsia="黑体"/>
          <w:b w:val="0"/>
          <w:color w:val="auto"/>
          <w:sz w:val="28"/>
        </w:rPr>
      </w:pPr>
      <w:r>
        <w:rPr>
          <w:rFonts w:ascii="Times New Roman" w:eastAsia="黑体"/>
          <w:b w:val="0"/>
          <w:color w:val="auto"/>
          <w:sz w:val="28"/>
        </w:rPr>
        <w:t>第2章 理论基础与文献综述</w:t>
      </w:r>
    </w:p>
    <w:p w14:paraId="10CEB750">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2.1 核心概念界定</w:t>
      </w:r>
    </w:p>
    <w:p w14:paraId="4B7EAB48">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2.1.1 电动自行车充电桩</w:t>
      </w:r>
    </w:p>
    <w:p w14:paraId="0D69239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文所称电动自行车充电桩，主要指设置于居民社区、公共停车区域或其他高频使用场景中，面向电动自行车提供集中、安全、规范充电服务的基础设施。其形式包括集中式充电柜、简易充电端口和具备远程管理能力的智能充电设备。与汽车充电站相比，电动自行车充电桩在功率、单次收益、场地要求和运营频次方面具有明显差异。</w:t>
      </w:r>
    </w:p>
    <w:p w14:paraId="2FC77B8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2.1.2 选址评价</w:t>
      </w:r>
    </w:p>
    <w:p w14:paraId="610DF63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选址评价是指在多个备选位置中，围绕需求、成本、约束、安全、收益等因素建立评价指标体系，并运用定性与定量相结合的方法，对备选站点进行综合判断和排序的过程。对社区电动自行车充电桩而言，选址评价不仅是地理位置选择，更是对用户需求、物业协作、电力接入、消防条件和投资回报的综合平衡。</w:t>
      </w:r>
    </w:p>
    <w:p w14:paraId="4EF77138">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2.1.3 成本结构</w:t>
      </w:r>
    </w:p>
    <w:p w14:paraId="65457E1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成本结构是指项目在建设、运营和维护过程中各类成本构成及其比例关系。本文将C公司项目成本划分为安装成本和维护成本两大部分，并进一步拆解为设备采购、土建布线、电力接入、物业协调、故障维修、损耗件更换、巡检维护等具体子项，以分析不同城市和不同社区项目之间的差异来源。</w:t>
      </w:r>
    </w:p>
    <w:p w14:paraId="3DD526E4">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2.2 相关理论基础</w:t>
      </w:r>
    </w:p>
    <w:p w14:paraId="7FE8D2C6">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2.2.1 公共设施选址理论</w:t>
      </w:r>
    </w:p>
    <w:p w14:paraId="72C910B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公共设施选址理论是研究如何在空间范围内合理布设资源，以实现服务效率、覆盖公平和成本最优的理论基础。该理论强调设施选址应综合考虑需求分布、服务半径、建设成本、可达性与外部约束等因素。对于社区电动自行车充电设施而言，其服务对象具有明显的居民集聚特征，因此公共设施选址理论能够为站点布局的空间合理性提供解释框架。</w:t>
      </w:r>
    </w:p>
    <w:p w14:paraId="1A072128">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2.2.2 消费者行为理论</w:t>
      </w:r>
    </w:p>
    <w:p w14:paraId="3511031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消费者行为理论强调用户的购买与使用决策会受到便利性、价格感知、习惯、风险认知和替代选择等因素影响。社区居民是否愿意使用集中充电设施，不仅取决于设施是否存在，更取决于位置是否方便、等待成本是否可接受、价格是否合理以及使用体验是否稳定。引入消费者行为理论，有助于解释为什么同样数量的设备在不同社区会出现利用率差异。</w:t>
      </w:r>
    </w:p>
    <w:p w14:paraId="0F89D9A4">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2.2.3 成本收益理论</w:t>
      </w:r>
    </w:p>
    <w:p w14:paraId="7278135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成本收益理论强调在资源配置和投资决策中，需要对投入与产出进行系统比较。对C公司而言，选址方案的优劣不应只看建成与否，还应综合考虑安装成本、维护支出、利用率、收入水平和投资回收周期。将成本收益理论引入研究，有助于建立兼顾经济性与可行性的评价框架。</w:t>
      </w:r>
    </w:p>
    <w:p w14:paraId="150AF19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2.2.4 可持续发展理论</w:t>
      </w:r>
    </w:p>
    <w:p w14:paraId="77E12E6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社区电动自行车充电设施的建设不仅具有企业盈利属性，还具有公共安全治理、绿色低碳出行保障和社区服务改善等社会功能。可持续发展理论强调经济、社会和环境效益的统一，能够为本文从更广阔视角理解充电设施布局问题提供支持。</w:t>
      </w:r>
    </w:p>
    <w:p w14:paraId="01079857">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2.3 国内外研究综述</w:t>
      </w:r>
    </w:p>
    <w:p w14:paraId="7BC26286">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2.3.1 选址影响因素研究</w:t>
      </w:r>
    </w:p>
    <w:p w14:paraId="4C40BD42">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相关研究普遍认为，需求强度、人口密度、服务半径、交通便利性和能源接入条件是影响充电设施选址的重要变量。在社区场景中，物业配合程度、消防规范、居民结构和场地改造难度等因素的重要性进一步上升。这说明社区电动自行车充电桩选址具有更强的场景依赖性，必须建立符合具体业务特征的指标体系。</w:t>
      </w:r>
    </w:p>
    <w:p w14:paraId="45949E7B">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2.3.2 选址模型与方法研究</w:t>
      </w:r>
    </w:p>
    <w:p w14:paraId="7173F38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在模型方法上，AHP法适用于处理专家判断和指标层级结构，熵权法有利于利用实际数据反映指标差异性，TOPSIS法可用于对多个备选方案进行相对优劣排序。部分研究还引入模糊综合评价、灰色关联分析和智能优化算法，以增强模型对复杂问题的处理能力。本文选择AHP法、熵权法和TOPSIS法的组合，主要考虑其操作性较强、计算逻辑清晰，较适合企业阶段性决策应用。</w:t>
      </w:r>
    </w:p>
    <w:p w14:paraId="3A235056">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2.3.3 运营与布局研究</w:t>
      </w:r>
    </w:p>
    <w:p w14:paraId="74D78FD3">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关于充电设施运营与布局的研究，一方面关注盈利模式、增值服务和资源协同，另一方面关注设施布局与利用率之间的关系。已有研究表明，布局优化不仅能改善用户服务水平，还能显著影响设备使用效率和后续维护强度。但现有结论多数来源于汽车充电站或城市公共充电网络，对于社区微观运营场景的适配性有限。</w:t>
      </w:r>
    </w:p>
    <w:p w14:paraId="2C1E7FE2">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2.4 文献述评与研究启示</w:t>
      </w:r>
    </w:p>
    <w:p w14:paraId="75EB4763">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通过文献梳理可以发现，现有研究为本文提供了三个重要启示：第一，选址问题必须构建多维指标体系，不能仅从单一成本或需求视角判断；第二，成本因素与收益因素应同步纳入评价模型，才能更符合企业决策逻辑；第三，案例研究尤其是企业真实数据研究，对于提升模型实用性和落地性具有重要价值。</w:t>
      </w:r>
    </w:p>
    <w:p w14:paraId="0EFC517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同时，文献研究也提示本文在后续实证阶段应关注两个问题：一是避免照搬宏观场景研究结论，应强化社区属性和物业协同因素；二是对跨城市差异的解释不仅要有经验判断，也要有数据支撑。</w:t>
      </w:r>
    </w:p>
    <w:p w14:paraId="2120E725">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2.5 本章小结</w:t>
      </w:r>
    </w:p>
    <w:p w14:paraId="05ECFE1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章对本文涉及的核心概念进行了界定，并从公共设施选址理论、消费者行为理论、成本收益理论和可持续发展理论四个方面构建理论基础。通过文献综述可以看出，社区电动自行车充电桩选址问题兼具空间布局和企业经营双重属性，现有研究在方法上具备借鉴价值，但在社区细分场景、成本结构和跨城市扩张问题上仍存在不足。这为后续从C公司真实案例出发开展研究奠定了基础。</w:t>
      </w:r>
    </w:p>
    <w:p w14:paraId="2B55FB62">
      <w:pPr>
        <w:pStyle w:val="3"/>
        <w:snapToGrid/>
        <w:spacing w:before="0" w:beforeAutospacing="0" w:after="0" w:afterAutospacing="0" w:line="360" w:lineRule="auto"/>
        <w:ind w:left="0" w:leftChars="0" w:right="0" w:rightChars="0" w:firstLine="0" w:firstLineChars="0"/>
        <w:jc w:val="center"/>
        <w:outlineLvl w:val="0"/>
        <w:rPr>
          <w:rFonts w:ascii="Times New Roman" w:eastAsia="黑体"/>
          <w:b w:val="0"/>
          <w:color w:val="auto"/>
          <w:sz w:val="28"/>
        </w:rPr>
      </w:pPr>
      <w:r>
        <w:rPr>
          <w:rFonts w:ascii="Times New Roman" w:eastAsia="黑体"/>
          <w:b w:val="0"/>
          <w:color w:val="auto"/>
          <w:sz w:val="28"/>
        </w:rPr>
        <w:t>第3</w:t>
      </w:r>
      <w:bookmarkStart w:id="0" w:name="_GoBack"/>
      <w:bookmarkEnd w:id="0"/>
      <w:r>
        <w:rPr>
          <w:rFonts w:ascii="Times New Roman" w:eastAsia="黑体"/>
          <w:b w:val="0"/>
          <w:color w:val="auto"/>
          <w:sz w:val="28"/>
        </w:rPr>
        <w:t>章 C公司充电桩运营现状分析</w:t>
      </w:r>
    </w:p>
    <w:p w14:paraId="6F1D4997">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3.1 C公司概况</w:t>
      </w:r>
    </w:p>
    <w:p w14:paraId="27D5ED6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3.1.1 公司业务发展概况</w:t>
      </w:r>
    </w:p>
    <w:p w14:paraId="2BF0EF1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C公司是一家以社区电动自行车充电设施投资、建设和运营为主营业务的企业。公司业务重点围绕社区便民服务和安全充电场景展开，主要通过与物业、社区管理方和场地提供方合作，在居民聚集区域布局集中充电设施。随着市场需求扩大和政策支持力度增强，公司逐步推进跨城市扩张，在南京、深圳、徐州等地形成了阶段性的项目布局。</w:t>
      </w:r>
    </w:p>
    <w:p w14:paraId="2450E08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3.1.2 公司充电桩业务特点</w:t>
      </w:r>
    </w:p>
    <w:p w14:paraId="133AB65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与大型公共充电设施企业相比，C公司的业务更强调社区渗透和项目精细化运营，其站点通常分布在老旧小区、新建商品房小区以及复合型居住社区。由于社区结构、物业管理水平和居民使用习惯差异较大，站点间运营表现并不完全一致。这决定了公司必须同时具备前端开发能力、项目落地能力和后续运维能力。</w:t>
      </w:r>
    </w:p>
    <w:p w14:paraId="113FDBED">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3.2 C公司充电桩运营现状</w:t>
      </w:r>
    </w:p>
    <w:p w14:paraId="3AC81A5A">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3.2.1 站点分布与场景特征</w:t>
      </w:r>
    </w:p>
    <w:p w14:paraId="21FF1BF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根据公司现有业务布局，南京、深圳、徐州三地已经形成一定规模的社区站点网络。三地项目所处城市层级、社区类型和物业环境差异明显。南京项目总体较为均衡，既有成熟社区也有新建社区；深圳项目处于人口密度高、人工成本高、物业要求高的环境中；徐州项目则更多分布于成本相对较低、社区协作较为稳定的区域。</w:t>
      </w:r>
    </w:p>
    <w:p w14:paraId="6534811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项目场景看，C公司当前服务对象主要为居住型社区用户，使用行为呈现出“高频、短时、刚需”的特征。居民对站点位置、充电便利性和安全性的敏感度较高，而对服务半径、设备故障率和费用水平的容忍度较低。这决定了站点布局必须更加贴近用户生活路径。</w:t>
      </w:r>
    </w:p>
    <w:p w14:paraId="670456CB">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3.2.2 运营数据与用户反馈特征</w:t>
      </w:r>
    </w:p>
    <w:p w14:paraId="4CE2C8D3">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阶段性运营情况看，三地站点的使用效率存在明显差异。部分站点在高峰时段出现排队使用现象，而部分站点则存在设备闲置。用户活跃度与社区人口密度、电动自行车保有量、上下班出行规律以及物业宣传配合程度关系密切。</w:t>
      </w:r>
    </w:p>
    <w:p w14:paraId="3B5819C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用户反馈角度看，居民普遍关注以下几个方面：一是站点是否足够近，是否需要绕行；二是充电设备是否稳定，是否存在故障或支付不便；三是充电区域是否安全、整洁，是否影响日常通行。这说明用户对充电设施的评价并不仅仅基于是否“有设备”，还包含服务体验和社区环境感知。</w:t>
      </w:r>
    </w:p>
    <w:p w14:paraId="15F5ED8C">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3.3 C公司现有选址策略与流程</w:t>
      </w:r>
    </w:p>
    <w:p w14:paraId="486FC1C8">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3.3.1 当前选址依据</w:t>
      </w:r>
    </w:p>
    <w:p w14:paraId="339E7B0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C公司当前项目开发阶段主要依赖业务人员进行前期踏勘和经验判断。常见判断依据包括社区规模、居民车辆数量、物业态度、可施工空间、电力接入可行性以及周边竞争设施情况。这些因素基本覆盖了选址决策的核心维度，但在具体项目中缺乏统一评价标准，不同人员对同一指标的理解和权重认知可能存在差异。</w:t>
      </w:r>
    </w:p>
    <w:p w14:paraId="698D6B1D">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3.3.2 当前操作流程</w:t>
      </w:r>
    </w:p>
    <w:p w14:paraId="23CDE60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现有流程看，C公司的项目开发通常包括需求发现、现场勘查、物业沟通、施工条件确认、内部评估、设备安装和后续运营几个阶段。其中，前期勘查和内部评估环节对最终项目成败影响最为明显。一旦在选址阶段低估了场地限制、消防问题或物业协调难度，后续安装推进和运维稳定性就可能受到较大影响。</w:t>
      </w:r>
    </w:p>
    <w:p w14:paraId="1548A915">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3.3.3 现有流程的局限性</w:t>
      </w:r>
    </w:p>
    <w:p w14:paraId="0CF8D2B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尽管现有流程具备一定实操经验基础，但仍存在三个明显局限。第一，评价口径不统一，导致不同城市、不同团队之间难以横向比较项目优劣；第二，缺乏数据沉淀与结构化复盘，使得历史项目经验难以转化为标准规则；第三，成本与收益因素未形成联动分析，容易出现“需求好但落地难”或“能建成但回报弱”的情况。</w:t>
      </w:r>
    </w:p>
    <w:p w14:paraId="46538828">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3.4 C公司运营中存在的问题与原因</w:t>
      </w:r>
    </w:p>
    <w:p w14:paraId="342D02CF">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3.4.1 选址方面存在的问题</w:t>
      </w:r>
    </w:p>
    <w:p w14:paraId="095B4FC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一是过度依赖经验。经验判断在项目早期具有一定效率优势，但当企业进入多城市扩张阶段时，单纯依靠经验容易导致判断标准不稳定，成功经验难以复制。</w:t>
      </w:r>
    </w:p>
    <w:p w14:paraId="23B4170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二是核心因素识别不充分。在部分项目中，对电力接入条件、物业协同程度和后续维护便利性的重视程度不足，导致项目在建成后出现成本超预期或运维困难。</w:t>
      </w:r>
    </w:p>
    <w:p w14:paraId="29442C7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三是项目优选能力不足。面对多个备选社区，缺乏统一的指标体系和评分模型，不利于做出更优资源配置。</w:t>
      </w:r>
    </w:p>
    <w:p w14:paraId="586AB3C6">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3.4.2 成本管理方面存在的问题</w:t>
      </w:r>
    </w:p>
    <w:p w14:paraId="1CE215FB">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不同城市项目的安装成本差异明显，且部分成本项在前期测算中难以准确预估，尤其是电力改造、市政施工和物业协调相关成本。与此同时，维护数据记录粒度不够细，使得企业对后续成本结构的把握仍不够充分，难以支撑更精细的预算控制。</w:t>
      </w:r>
    </w:p>
    <w:p w14:paraId="6BE55CFB">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3.4.3 扩张复制方面存在的问题</w:t>
      </w:r>
    </w:p>
    <w:p w14:paraId="083A762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企业在一个城市取得成功，并不意味着能够在另一城市直接复制。城市人口结构、人工成本水平、政策环境、物业管理模式和居民使用习惯的差异，使得扩张面临较强的不确定性。若缺乏标准化方法，企业不仅扩张效率会下降，还可能因项目质量不稳定带来管理风险。</w:t>
      </w:r>
    </w:p>
    <w:p w14:paraId="5C73BE40">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3.4.4 问题成因分析</w:t>
      </w:r>
    </w:p>
    <w:p w14:paraId="6404886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内部看，问题主要源于公司尚未建立系统化的选址评价和项目复盘机制，经验虽然丰富，但未形成可复用的知识体系。从外部看，不同城市和不同社区场景差异明显，政策、物业、用户行为和基础设施条件的变化，使得项目开发天然具有复杂性。因此，必须通过模型化和结构化方法提升决策质量。</w:t>
      </w:r>
    </w:p>
    <w:p w14:paraId="3D0407B8">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3.5 本章小结</w:t>
      </w:r>
    </w:p>
    <w:p w14:paraId="73101DC7">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章从企业角度系统分析了C公司的业务概况、现有运营状况、选址流程及主要问题。研究表明，C公司已具备一定社区充电业务基础，但在选址标准化、成本预测和扩张复制能力方面仍存在明显短板。企业现有痛点既来源于内部管理工具不足，也受到外部环境复杂性的影响。基于这些现实问题，后续章节将进一步识别影响选址成效的关键因素，并对成本结构进行深入分析。</w:t>
      </w:r>
    </w:p>
    <w:p w14:paraId="1817E8CB">
      <w:pPr>
        <w:pStyle w:val="3"/>
        <w:snapToGrid/>
        <w:spacing w:before="0" w:beforeAutospacing="0" w:after="0" w:afterAutospacing="0" w:line="360" w:lineRule="auto"/>
        <w:ind w:left="0" w:leftChars="0" w:right="0" w:rightChars="0" w:firstLine="0" w:firstLineChars="0"/>
        <w:jc w:val="center"/>
        <w:outlineLvl w:val="0"/>
        <w:rPr>
          <w:rFonts w:ascii="Times New Roman" w:eastAsia="黑体"/>
          <w:b w:val="0"/>
          <w:color w:val="auto"/>
          <w:sz w:val="28"/>
        </w:rPr>
      </w:pPr>
      <w:r>
        <w:rPr>
          <w:rFonts w:ascii="Times New Roman" w:eastAsia="黑体"/>
          <w:b w:val="0"/>
          <w:color w:val="auto"/>
          <w:sz w:val="28"/>
        </w:rPr>
        <w:t>第4章 选址影响因素与成本结构分析</w:t>
      </w:r>
    </w:p>
    <w:p w14:paraId="3A1CA735">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4.1 选址影响因素识别</w:t>
      </w:r>
    </w:p>
    <w:p w14:paraId="2700883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4.1.1 需求侧因素</w:t>
      </w:r>
    </w:p>
    <w:p w14:paraId="6BE807C0">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需求侧因素是影响社区电动自行车充电桩选址成效的直接基础。对于社区场景而言，电动自行车保有量、用户充电频率、日常出行规律和高峰时段分布共同决定了站点潜在需求规模。若目标区域电动自行车保有量高、居民夜间集中充电需求明显，则站点更有可能形成较高利用率。</w:t>
      </w:r>
    </w:p>
    <w:p w14:paraId="701D1E7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同时，社区人口密度和居住结构也会影响需求强度。例如，通勤型居民较多的社区，其充电需求往往呈现明显的晚间高峰；而老龄化程度较高或流动性较弱的社区，需求释放节奏可能相对平缓。因此，需求侧因素不仅决定“有没有人用”，也影响“何时使用”和“使用多频繁”。</w:t>
      </w:r>
    </w:p>
    <w:p w14:paraId="40B9A1D8">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4.1.2 供给侧因素</w:t>
      </w:r>
    </w:p>
    <w:p w14:paraId="3E3BEC9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供给侧因素主要包括场地可获得性、租金或场地使用成本、电力接入条件和周边竞争充电设施情况。对于C公司而言，可施工空间是否具备、场地位置是否合理、电源接入是否便捷，往往直接决定项目能否顺利落地。</w:t>
      </w:r>
    </w:p>
    <w:p w14:paraId="2D907D5D">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其中，电力接入条件是供给侧因素中的核心约束。若社区既有配电条件不足，或需进行复杂电改，则安装成本和工期都会显著上升。场地租金和物业收费政策也会影响项目长期收益水平。除此之外，若周边已有较多同类充电设施，则项目新增边际收益可能下降。</w:t>
      </w:r>
    </w:p>
    <w:p w14:paraId="00454E26">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4.1.3 环境与政策因素</w:t>
      </w:r>
    </w:p>
    <w:p w14:paraId="38CAFA43">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环境与政策因素包括消防安全条件、区域规划要求、交通便利性以及地方支持政策等。社区充电设施具有明显的安全敏感属性，因此选址必须满足消防通道、设备间距、停放秩序等要求。对于部分老旧小区而言，场地虽然需求高，但若消防改造难度过大，也可能不具备项目可行性。</w:t>
      </w:r>
    </w:p>
    <w:p w14:paraId="7FD7AD6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政策环境则会影响项目推进效率和合规成本。若地方政府鼓励社区集中充电设施建设，且物业和街道层面支持力度较高，则企业更容易开展项目合作。相反，若审批和协调流程复杂，项目实施成本就会提高。</w:t>
      </w:r>
    </w:p>
    <w:p w14:paraId="6A09E206">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4.1.4 技术与运营因素</w:t>
      </w:r>
    </w:p>
    <w:p w14:paraId="5D121E52">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技术与运营因素主要包括设备安装便利性、后续维护便利性、网络信号覆盖以及物业协同程度。社区站点不同于一次性施工项目，其后续运营和维护是持续发生的。因此，一个“能建成”的位置并不一定是“值得长期运营”的位置。若设备维护不便、弱电环境差、物业配合差，则故障处理效率和用户满意度都可能下降。</w:t>
      </w:r>
    </w:p>
    <w:p w14:paraId="28469E0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物业协同程度在社区场景中尤为关键。物业不仅决定项目能否进入社区，也会影响场地使用管理、设备日常秩序维护和居民接受程度。因此，物业关系并非外部附加条件，而是选址评价中的重要变量。</w:t>
      </w:r>
    </w:p>
    <w:p w14:paraId="709571E5">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4.2 关键因素筛选与权重分析</w:t>
      </w:r>
    </w:p>
    <w:p w14:paraId="13BF221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4.2.1 因素筛选逻辑</w:t>
      </w:r>
    </w:p>
    <w:p w14:paraId="33BAD1A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在广泛识别因素的基础上，本文结合文献研究、企业调研和项目经验，对选址因素进行筛选。筛选原则主要包括：一是与社区电动自行车充电桩场景具有直接相关性；二是能够在项目开发阶段被识别和判断；三是对成本、利用率和后续运营结果具有显著影响；四是具备一定可量化性，便于后续模型构建。</w:t>
      </w:r>
    </w:p>
    <w:p w14:paraId="71338B2B">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经筛选后，本文将选址影响因素归纳为需求侧因素、供给侧因素、环境与政策因素、技术与运营因素四个一级维度，并进一步形成若干二级指标。</w:t>
      </w:r>
    </w:p>
    <w:p w14:paraId="673644A9">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4.2.2 组合赋权方法</w:t>
      </w:r>
    </w:p>
    <w:p w14:paraId="356EFBA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为了避免单纯依赖主观判断或客观数据造成偏差，本文采用AHP法与熵权法相结合的方式开展组合赋权。AHP法主要用于反映管理人员和行业专家对指标相对重要性的判断，熵权法则利用实际运营数据识别指标差异性，从而增强权重结果的客观性。最后，通过线性加权方式融合主客观权重，形成综合权重矩阵。</w:t>
      </w:r>
    </w:p>
    <w:p w14:paraId="7FB27AF0">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4.2.3 阶段性权重结果</w:t>
      </w:r>
    </w:p>
    <w:p w14:paraId="1F292B0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根据目前阶段性测算结果，一级指标权重及关键二级指标情况如表4-1所示。</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105D6253">
        <w:trPr>
          <w:jc w:val="center"/>
        </w:trPr>
        <w:tc>
          <w:tcPr>
            <w:tcW w:w="2256" w:type="dxa"/>
            <w:shd w:val="clear" w:color="auto" w:fill="D9EAF7"/>
            <w:vAlign w:val="center"/>
          </w:tcPr>
          <w:p w14:paraId="6AF8BB25">
            <w:pPr>
              <w:jc w:val="center"/>
            </w:pPr>
            <w:r>
              <w:rPr>
                <w:rFonts w:ascii="Times New Roman" w:hAnsi="Times New Roman" w:eastAsia="宋体"/>
                <w:b/>
                <w:sz w:val="20"/>
              </w:rPr>
              <w:t>一级指标</w:t>
            </w:r>
          </w:p>
        </w:tc>
        <w:tc>
          <w:tcPr>
            <w:tcW w:w="2256" w:type="dxa"/>
            <w:shd w:val="clear" w:color="auto" w:fill="D9EAF7"/>
            <w:vAlign w:val="center"/>
          </w:tcPr>
          <w:p w14:paraId="46B2F5E8">
            <w:pPr>
              <w:jc w:val="center"/>
            </w:pPr>
            <w:r>
              <w:rPr>
                <w:rFonts w:ascii="Times New Roman" w:hAnsi="Times New Roman" w:eastAsia="宋体"/>
                <w:b/>
                <w:sz w:val="20"/>
              </w:rPr>
              <w:t>权重</w:t>
            </w:r>
          </w:p>
        </w:tc>
        <w:tc>
          <w:tcPr>
            <w:tcW w:w="2256" w:type="dxa"/>
            <w:shd w:val="clear" w:color="auto" w:fill="D9EAF7"/>
            <w:vAlign w:val="center"/>
          </w:tcPr>
          <w:p w14:paraId="17606878">
            <w:pPr>
              <w:jc w:val="center"/>
            </w:pPr>
            <w:r>
              <w:rPr>
                <w:rFonts w:ascii="Times New Roman" w:hAnsi="Times New Roman" w:eastAsia="宋体"/>
                <w:b/>
                <w:sz w:val="20"/>
              </w:rPr>
              <w:t>关键二级指标</w:t>
            </w:r>
          </w:p>
        </w:tc>
        <w:tc>
          <w:tcPr>
            <w:tcW w:w="2256" w:type="dxa"/>
            <w:shd w:val="clear" w:color="auto" w:fill="D9EAF7"/>
            <w:vAlign w:val="center"/>
          </w:tcPr>
          <w:p w14:paraId="0B8E2EF1">
            <w:pPr>
              <w:jc w:val="center"/>
            </w:pPr>
            <w:r>
              <w:rPr>
                <w:rFonts w:ascii="Times New Roman" w:hAnsi="Times New Roman" w:eastAsia="宋体"/>
                <w:b/>
                <w:sz w:val="20"/>
              </w:rPr>
              <w:t>权重</w:t>
            </w:r>
          </w:p>
        </w:tc>
      </w:tr>
      <w:tr w14:paraId="1F05D94C">
        <w:trPr>
          <w:jc w:val="center"/>
        </w:trPr>
        <w:tc>
          <w:tcPr>
            <w:tcW w:w="2256" w:type="dxa"/>
            <w:vAlign w:val="center"/>
          </w:tcPr>
          <w:p w14:paraId="16300B7E">
            <w:pPr>
              <w:jc w:val="center"/>
            </w:pPr>
            <w:r>
              <w:rPr>
                <w:rFonts w:ascii="Times New Roman" w:hAnsi="Times New Roman" w:eastAsia="宋体"/>
                <w:b w:val="0"/>
                <w:sz w:val="20"/>
              </w:rPr>
              <w:t>需求侧因素</w:t>
            </w:r>
          </w:p>
        </w:tc>
        <w:tc>
          <w:tcPr>
            <w:tcW w:w="2256" w:type="dxa"/>
            <w:vAlign w:val="center"/>
          </w:tcPr>
          <w:p w14:paraId="033B160E">
            <w:pPr>
              <w:jc w:val="center"/>
            </w:pPr>
            <w:r>
              <w:rPr>
                <w:rFonts w:ascii="Times New Roman" w:hAnsi="Times New Roman" w:eastAsia="宋体"/>
                <w:b w:val="0"/>
                <w:sz w:val="20"/>
              </w:rPr>
              <w:t>0.35</w:t>
            </w:r>
          </w:p>
        </w:tc>
        <w:tc>
          <w:tcPr>
            <w:tcW w:w="2256" w:type="dxa"/>
            <w:vAlign w:val="center"/>
          </w:tcPr>
          <w:p w14:paraId="682EE3F9">
            <w:pPr>
              <w:jc w:val="center"/>
            </w:pPr>
            <w:r>
              <w:rPr>
                <w:rFonts w:ascii="Times New Roman" w:hAnsi="Times New Roman" w:eastAsia="宋体"/>
                <w:b w:val="0"/>
                <w:sz w:val="20"/>
              </w:rPr>
              <w:t>电动自行车保有量与密度</w:t>
            </w:r>
          </w:p>
        </w:tc>
        <w:tc>
          <w:tcPr>
            <w:tcW w:w="2256" w:type="dxa"/>
            <w:vAlign w:val="center"/>
          </w:tcPr>
          <w:p w14:paraId="74D8698D">
            <w:pPr>
              <w:jc w:val="center"/>
            </w:pPr>
            <w:r>
              <w:rPr>
                <w:rFonts w:ascii="Times New Roman" w:hAnsi="Times New Roman" w:eastAsia="宋体"/>
                <w:b w:val="0"/>
                <w:sz w:val="20"/>
              </w:rPr>
              <w:t>0.15</w:t>
            </w:r>
          </w:p>
        </w:tc>
      </w:tr>
      <w:tr w14:paraId="0D4AA7C3">
        <w:trPr>
          <w:jc w:val="center"/>
        </w:trPr>
        <w:tc>
          <w:tcPr>
            <w:tcW w:w="2256" w:type="dxa"/>
            <w:vAlign w:val="center"/>
          </w:tcPr>
          <w:p w14:paraId="680A24AC">
            <w:pPr>
              <w:jc w:val="center"/>
            </w:pPr>
            <w:r>
              <w:rPr>
                <w:rFonts w:ascii="Times New Roman" w:hAnsi="Times New Roman" w:eastAsia="宋体"/>
                <w:b w:val="0"/>
                <w:sz w:val="20"/>
              </w:rPr>
              <w:t>需求侧因素</w:t>
            </w:r>
          </w:p>
        </w:tc>
        <w:tc>
          <w:tcPr>
            <w:tcW w:w="2256" w:type="dxa"/>
            <w:vAlign w:val="center"/>
          </w:tcPr>
          <w:p w14:paraId="70413C15">
            <w:pPr>
              <w:jc w:val="center"/>
            </w:pPr>
            <w:r>
              <w:rPr>
                <w:rFonts w:ascii="Times New Roman" w:hAnsi="Times New Roman" w:eastAsia="宋体"/>
                <w:b w:val="0"/>
                <w:sz w:val="20"/>
              </w:rPr>
              <w:t>0.35</w:t>
            </w:r>
          </w:p>
        </w:tc>
        <w:tc>
          <w:tcPr>
            <w:tcW w:w="2256" w:type="dxa"/>
            <w:vAlign w:val="center"/>
          </w:tcPr>
          <w:p w14:paraId="01E35129">
            <w:pPr>
              <w:jc w:val="center"/>
            </w:pPr>
            <w:r>
              <w:rPr>
                <w:rFonts w:ascii="Times New Roman" w:hAnsi="Times New Roman" w:eastAsia="宋体"/>
                <w:b w:val="0"/>
                <w:sz w:val="20"/>
              </w:rPr>
              <w:t>用户充电高峰时段匹配度</w:t>
            </w:r>
          </w:p>
        </w:tc>
        <w:tc>
          <w:tcPr>
            <w:tcW w:w="2256" w:type="dxa"/>
            <w:vAlign w:val="center"/>
          </w:tcPr>
          <w:p w14:paraId="692B8F81">
            <w:pPr>
              <w:jc w:val="center"/>
            </w:pPr>
            <w:r>
              <w:rPr>
                <w:rFonts w:ascii="Times New Roman" w:hAnsi="Times New Roman" w:eastAsia="宋体"/>
                <w:b w:val="0"/>
                <w:sz w:val="20"/>
              </w:rPr>
              <w:t>0.11</w:t>
            </w:r>
          </w:p>
        </w:tc>
      </w:tr>
      <w:tr w14:paraId="1B302DD8">
        <w:trPr>
          <w:jc w:val="center"/>
        </w:trPr>
        <w:tc>
          <w:tcPr>
            <w:tcW w:w="2256" w:type="dxa"/>
            <w:vAlign w:val="center"/>
          </w:tcPr>
          <w:p w14:paraId="1A04C2E8">
            <w:pPr>
              <w:jc w:val="center"/>
            </w:pPr>
            <w:r>
              <w:rPr>
                <w:rFonts w:ascii="Times New Roman" w:hAnsi="Times New Roman" w:eastAsia="宋体"/>
                <w:b w:val="0"/>
                <w:sz w:val="20"/>
              </w:rPr>
              <w:t>供给侧因素</w:t>
            </w:r>
          </w:p>
        </w:tc>
        <w:tc>
          <w:tcPr>
            <w:tcW w:w="2256" w:type="dxa"/>
            <w:vAlign w:val="center"/>
          </w:tcPr>
          <w:p w14:paraId="004E09FF">
            <w:pPr>
              <w:jc w:val="center"/>
            </w:pPr>
            <w:r>
              <w:rPr>
                <w:rFonts w:ascii="Times New Roman" w:hAnsi="Times New Roman" w:eastAsia="宋体"/>
                <w:b w:val="0"/>
                <w:sz w:val="20"/>
              </w:rPr>
              <w:t>0.28</w:t>
            </w:r>
          </w:p>
        </w:tc>
        <w:tc>
          <w:tcPr>
            <w:tcW w:w="2256" w:type="dxa"/>
            <w:vAlign w:val="center"/>
          </w:tcPr>
          <w:p w14:paraId="630F5F00">
            <w:pPr>
              <w:jc w:val="center"/>
            </w:pPr>
            <w:r>
              <w:rPr>
                <w:rFonts w:ascii="Times New Roman" w:hAnsi="Times New Roman" w:eastAsia="宋体"/>
                <w:b w:val="0"/>
                <w:sz w:val="20"/>
              </w:rPr>
              <w:t>电力接入条件与成本</w:t>
            </w:r>
          </w:p>
        </w:tc>
        <w:tc>
          <w:tcPr>
            <w:tcW w:w="2256" w:type="dxa"/>
            <w:vAlign w:val="center"/>
          </w:tcPr>
          <w:p w14:paraId="10F54423">
            <w:pPr>
              <w:jc w:val="center"/>
            </w:pPr>
            <w:r>
              <w:rPr>
                <w:rFonts w:ascii="Times New Roman" w:hAnsi="Times New Roman" w:eastAsia="宋体"/>
                <w:b w:val="0"/>
                <w:sz w:val="20"/>
              </w:rPr>
              <w:t>0.13</w:t>
            </w:r>
          </w:p>
        </w:tc>
      </w:tr>
      <w:tr w14:paraId="05BE209D">
        <w:trPr>
          <w:jc w:val="center"/>
        </w:trPr>
        <w:tc>
          <w:tcPr>
            <w:tcW w:w="2256" w:type="dxa"/>
            <w:vAlign w:val="center"/>
          </w:tcPr>
          <w:p w14:paraId="20CDF764">
            <w:pPr>
              <w:jc w:val="center"/>
            </w:pPr>
            <w:r>
              <w:rPr>
                <w:rFonts w:ascii="Times New Roman" w:hAnsi="Times New Roman" w:eastAsia="宋体"/>
                <w:b w:val="0"/>
                <w:sz w:val="20"/>
              </w:rPr>
              <w:t>供给侧因素</w:t>
            </w:r>
          </w:p>
        </w:tc>
        <w:tc>
          <w:tcPr>
            <w:tcW w:w="2256" w:type="dxa"/>
            <w:vAlign w:val="center"/>
          </w:tcPr>
          <w:p w14:paraId="52BB734A">
            <w:pPr>
              <w:jc w:val="center"/>
            </w:pPr>
            <w:r>
              <w:rPr>
                <w:rFonts w:ascii="Times New Roman" w:hAnsi="Times New Roman" w:eastAsia="宋体"/>
                <w:b w:val="0"/>
                <w:sz w:val="20"/>
              </w:rPr>
              <w:t>0.28</w:t>
            </w:r>
          </w:p>
        </w:tc>
        <w:tc>
          <w:tcPr>
            <w:tcW w:w="2256" w:type="dxa"/>
            <w:vAlign w:val="center"/>
          </w:tcPr>
          <w:p w14:paraId="3A31C691">
            <w:pPr>
              <w:jc w:val="center"/>
            </w:pPr>
            <w:r>
              <w:rPr>
                <w:rFonts w:ascii="Times New Roman" w:hAnsi="Times New Roman" w:eastAsia="宋体"/>
                <w:b w:val="0"/>
                <w:sz w:val="20"/>
              </w:rPr>
              <w:t>场地可获得性与租金</w:t>
            </w:r>
          </w:p>
        </w:tc>
        <w:tc>
          <w:tcPr>
            <w:tcW w:w="2256" w:type="dxa"/>
            <w:vAlign w:val="center"/>
          </w:tcPr>
          <w:p w14:paraId="6B1447C3">
            <w:pPr>
              <w:jc w:val="center"/>
            </w:pPr>
            <w:r>
              <w:rPr>
                <w:rFonts w:ascii="Times New Roman" w:hAnsi="Times New Roman" w:eastAsia="宋体"/>
                <w:b w:val="0"/>
                <w:sz w:val="20"/>
              </w:rPr>
              <w:t>0.09</w:t>
            </w:r>
          </w:p>
        </w:tc>
      </w:tr>
      <w:tr w14:paraId="247DED77">
        <w:trPr>
          <w:jc w:val="center"/>
        </w:trPr>
        <w:tc>
          <w:tcPr>
            <w:tcW w:w="2256" w:type="dxa"/>
            <w:vAlign w:val="center"/>
          </w:tcPr>
          <w:p w14:paraId="1054B2E0">
            <w:pPr>
              <w:jc w:val="center"/>
            </w:pPr>
            <w:r>
              <w:rPr>
                <w:rFonts w:ascii="Times New Roman" w:hAnsi="Times New Roman" w:eastAsia="宋体"/>
                <w:b w:val="0"/>
                <w:sz w:val="20"/>
              </w:rPr>
              <w:t>环境与政策因素</w:t>
            </w:r>
          </w:p>
        </w:tc>
        <w:tc>
          <w:tcPr>
            <w:tcW w:w="2256" w:type="dxa"/>
            <w:vAlign w:val="center"/>
          </w:tcPr>
          <w:p w14:paraId="659667C2">
            <w:pPr>
              <w:jc w:val="center"/>
            </w:pPr>
            <w:r>
              <w:rPr>
                <w:rFonts w:ascii="Times New Roman" w:hAnsi="Times New Roman" w:eastAsia="宋体"/>
                <w:b w:val="0"/>
                <w:sz w:val="20"/>
              </w:rPr>
              <w:t>0.20</w:t>
            </w:r>
          </w:p>
        </w:tc>
        <w:tc>
          <w:tcPr>
            <w:tcW w:w="2256" w:type="dxa"/>
            <w:vAlign w:val="center"/>
          </w:tcPr>
          <w:p w14:paraId="27FF5813">
            <w:pPr>
              <w:jc w:val="center"/>
            </w:pPr>
            <w:r>
              <w:rPr>
                <w:rFonts w:ascii="Times New Roman" w:hAnsi="Times New Roman" w:eastAsia="宋体"/>
                <w:b w:val="0"/>
                <w:sz w:val="20"/>
              </w:rPr>
              <w:t>消防安全条件</w:t>
            </w:r>
          </w:p>
        </w:tc>
        <w:tc>
          <w:tcPr>
            <w:tcW w:w="2256" w:type="dxa"/>
            <w:vAlign w:val="center"/>
          </w:tcPr>
          <w:p w14:paraId="42F16413">
            <w:pPr>
              <w:jc w:val="center"/>
            </w:pPr>
            <w:r>
              <w:rPr>
                <w:rFonts w:ascii="Times New Roman" w:hAnsi="Times New Roman" w:eastAsia="宋体"/>
                <w:b w:val="0"/>
                <w:sz w:val="20"/>
              </w:rPr>
              <w:t>0.09</w:t>
            </w:r>
          </w:p>
        </w:tc>
      </w:tr>
      <w:tr w14:paraId="69B2E640">
        <w:trPr>
          <w:jc w:val="center"/>
        </w:trPr>
        <w:tc>
          <w:tcPr>
            <w:tcW w:w="2256" w:type="dxa"/>
            <w:vAlign w:val="center"/>
          </w:tcPr>
          <w:p w14:paraId="376360F3">
            <w:pPr>
              <w:jc w:val="center"/>
            </w:pPr>
            <w:r>
              <w:rPr>
                <w:rFonts w:ascii="Times New Roman" w:hAnsi="Times New Roman" w:eastAsia="宋体"/>
                <w:b w:val="0"/>
                <w:sz w:val="20"/>
              </w:rPr>
              <w:t>环境与政策因素</w:t>
            </w:r>
          </w:p>
        </w:tc>
        <w:tc>
          <w:tcPr>
            <w:tcW w:w="2256" w:type="dxa"/>
            <w:vAlign w:val="center"/>
          </w:tcPr>
          <w:p w14:paraId="3371F080">
            <w:pPr>
              <w:jc w:val="center"/>
            </w:pPr>
            <w:r>
              <w:rPr>
                <w:rFonts w:ascii="Times New Roman" w:hAnsi="Times New Roman" w:eastAsia="宋体"/>
                <w:b w:val="0"/>
                <w:sz w:val="20"/>
              </w:rPr>
              <w:t>0.20</w:t>
            </w:r>
          </w:p>
        </w:tc>
        <w:tc>
          <w:tcPr>
            <w:tcW w:w="2256" w:type="dxa"/>
            <w:vAlign w:val="center"/>
          </w:tcPr>
          <w:p w14:paraId="0F8B88A3">
            <w:pPr>
              <w:jc w:val="center"/>
            </w:pPr>
            <w:r>
              <w:rPr>
                <w:rFonts w:ascii="Times New Roman" w:hAnsi="Times New Roman" w:eastAsia="宋体"/>
                <w:b w:val="0"/>
                <w:sz w:val="20"/>
              </w:rPr>
              <w:t>区域政策支持力度</w:t>
            </w:r>
          </w:p>
        </w:tc>
        <w:tc>
          <w:tcPr>
            <w:tcW w:w="2256" w:type="dxa"/>
            <w:vAlign w:val="center"/>
          </w:tcPr>
          <w:p w14:paraId="2F4BC45E">
            <w:pPr>
              <w:jc w:val="center"/>
            </w:pPr>
            <w:r>
              <w:rPr>
                <w:rFonts w:ascii="Times New Roman" w:hAnsi="Times New Roman" w:eastAsia="宋体"/>
                <w:b w:val="0"/>
                <w:sz w:val="20"/>
              </w:rPr>
              <w:t>0.06</w:t>
            </w:r>
          </w:p>
        </w:tc>
      </w:tr>
      <w:tr w14:paraId="062D791C">
        <w:trPr>
          <w:jc w:val="center"/>
        </w:trPr>
        <w:tc>
          <w:tcPr>
            <w:tcW w:w="2256" w:type="dxa"/>
            <w:vAlign w:val="center"/>
          </w:tcPr>
          <w:p w14:paraId="148446E1">
            <w:pPr>
              <w:jc w:val="center"/>
            </w:pPr>
            <w:r>
              <w:rPr>
                <w:rFonts w:ascii="Times New Roman" w:hAnsi="Times New Roman" w:eastAsia="宋体"/>
                <w:b w:val="0"/>
                <w:sz w:val="20"/>
              </w:rPr>
              <w:t>技术与运营因素</w:t>
            </w:r>
          </w:p>
        </w:tc>
        <w:tc>
          <w:tcPr>
            <w:tcW w:w="2256" w:type="dxa"/>
            <w:vAlign w:val="center"/>
          </w:tcPr>
          <w:p w14:paraId="7BFDB107">
            <w:pPr>
              <w:jc w:val="center"/>
            </w:pPr>
            <w:r>
              <w:rPr>
                <w:rFonts w:ascii="Times New Roman" w:hAnsi="Times New Roman" w:eastAsia="宋体"/>
                <w:b w:val="0"/>
                <w:sz w:val="20"/>
              </w:rPr>
              <w:t>0.17</w:t>
            </w:r>
          </w:p>
        </w:tc>
        <w:tc>
          <w:tcPr>
            <w:tcW w:w="2256" w:type="dxa"/>
            <w:vAlign w:val="center"/>
          </w:tcPr>
          <w:p w14:paraId="635774BE">
            <w:pPr>
              <w:jc w:val="center"/>
            </w:pPr>
            <w:r>
              <w:rPr>
                <w:rFonts w:ascii="Times New Roman" w:hAnsi="Times New Roman" w:eastAsia="宋体"/>
                <w:b w:val="0"/>
                <w:sz w:val="20"/>
              </w:rPr>
              <w:t>物业协同程度</w:t>
            </w:r>
          </w:p>
        </w:tc>
        <w:tc>
          <w:tcPr>
            <w:tcW w:w="2256" w:type="dxa"/>
            <w:vAlign w:val="center"/>
          </w:tcPr>
          <w:p w14:paraId="45B6FA57">
            <w:pPr>
              <w:jc w:val="center"/>
            </w:pPr>
            <w:r>
              <w:rPr>
                <w:rFonts w:ascii="Times New Roman" w:hAnsi="Times New Roman" w:eastAsia="宋体"/>
                <w:b w:val="0"/>
                <w:sz w:val="20"/>
              </w:rPr>
              <w:t>0.08</w:t>
            </w:r>
          </w:p>
        </w:tc>
      </w:tr>
      <w:tr w14:paraId="63CAF7E8">
        <w:trPr>
          <w:jc w:val="center"/>
        </w:trPr>
        <w:tc>
          <w:tcPr>
            <w:tcW w:w="2256" w:type="dxa"/>
            <w:vAlign w:val="center"/>
          </w:tcPr>
          <w:p w14:paraId="42C26509">
            <w:pPr>
              <w:jc w:val="center"/>
            </w:pPr>
            <w:r>
              <w:rPr>
                <w:rFonts w:ascii="Times New Roman" w:hAnsi="Times New Roman" w:eastAsia="宋体"/>
                <w:b w:val="0"/>
                <w:sz w:val="20"/>
              </w:rPr>
              <w:t>技术与运营因素</w:t>
            </w:r>
          </w:p>
        </w:tc>
        <w:tc>
          <w:tcPr>
            <w:tcW w:w="2256" w:type="dxa"/>
            <w:vAlign w:val="center"/>
          </w:tcPr>
          <w:p w14:paraId="39FD6606">
            <w:pPr>
              <w:jc w:val="center"/>
            </w:pPr>
            <w:r>
              <w:rPr>
                <w:rFonts w:ascii="Times New Roman" w:hAnsi="Times New Roman" w:eastAsia="宋体"/>
                <w:b w:val="0"/>
                <w:sz w:val="20"/>
              </w:rPr>
              <w:t>0.17</w:t>
            </w:r>
          </w:p>
        </w:tc>
        <w:tc>
          <w:tcPr>
            <w:tcW w:w="2256" w:type="dxa"/>
            <w:vAlign w:val="center"/>
          </w:tcPr>
          <w:p w14:paraId="16144787">
            <w:pPr>
              <w:jc w:val="center"/>
            </w:pPr>
            <w:r>
              <w:rPr>
                <w:rFonts w:ascii="Times New Roman" w:hAnsi="Times New Roman" w:eastAsia="宋体"/>
                <w:b w:val="0"/>
                <w:sz w:val="20"/>
              </w:rPr>
              <w:t>设备安装便利性</w:t>
            </w:r>
          </w:p>
        </w:tc>
        <w:tc>
          <w:tcPr>
            <w:tcW w:w="2256" w:type="dxa"/>
            <w:vAlign w:val="center"/>
          </w:tcPr>
          <w:p w14:paraId="3FC31F13">
            <w:pPr>
              <w:jc w:val="center"/>
            </w:pPr>
            <w:r>
              <w:rPr>
                <w:rFonts w:ascii="Times New Roman" w:hAnsi="Times New Roman" w:eastAsia="宋体"/>
                <w:b w:val="0"/>
                <w:sz w:val="20"/>
              </w:rPr>
              <w:t>0.05</w:t>
            </w:r>
          </w:p>
        </w:tc>
      </w:tr>
    </w:tbl>
    <w:p w14:paraId="463F4E20">
      <w:pPr>
        <w:snapToGrid/>
        <w:spacing w:before="0" w:beforeAutospacing="0" w:after="0" w:afterAutospacing="0" w:line="360" w:lineRule="auto"/>
        <w:ind w:left="0" w:leftChars="0" w:right="0" w:rightChars="0" w:firstLine="480" w:firstLineChars="200"/>
        <w:jc w:val="both"/>
        <w:rPr>
          <w:rFonts w:ascii="Times New Roman" w:eastAsia="宋体"/>
          <w:sz w:val="24"/>
        </w:rPr>
      </w:pPr>
    </w:p>
    <w:p w14:paraId="60A76C8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阶段性结果看，用户需求密度、电力接入条件和物业协同程度是影响选址效果的关键因素。这一结果与企业实践观察基本一致，也说明社区充电桩选址不仅要看需求，还要看项目是否“建得起、管得住、用得稳”。</w:t>
      </w:r>
    </w:p>
    <w:p w14:paraId="5D0F4462">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4.3 C公司成本结构分析</w:t>
      </w:r>
    </w:p>
    <w:p w14:paraId="444F6FBD">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4.3.1 安装成本结构分析</w:t>
      </w:r>
    </w:p>
    <w:p w14:paraId="1363CC3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结合C公司南京、深圳、徐州三地项目数据，本文将安装成本划分为硬件设备采购、基础施工（土建与布线）、电力接入改造、通信模块安装、验收与手续费用、物业协调费用六类。总体来看，硬件设备采购在三地均占较高比例，是基础性成本项；基础施工和电力接入则受城市环境和社区改造条件影响较大，是形成成本差异的核心来源。</w:t>
      </w:r>
    </w:p>
    <w:p w14:paraId="1D5F4BEC">
      <w:pPr>
        <w:ind w:left="0" w:leftChars="0" w:right="0" w:rightChars="0" w:firstLine="0" w:firstLineChars="0"/>
        <w:jc w:val="center"/>
        <w:rPr>
          <w:rFonts w:ascii="Times New Roman" w:eastAsia="宋体"/>
          <w:b w:val="0"/>
          <w:sz w:val="21"/>
        </w:rPr>
      </w:pPr>
      <w:r>
        <w:rPr>
          <w:rFonts w:ascii="Times New Roman" w:eastAsia="宋体"/>
          <w:b w:val="0"/>
          <w:sz w:val="21"/>
        </w:rPr>
        <w:t>表4-2展示了三地安装成本结构的阶段性比较结果。</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56"/>
        <w:gridCol w:w="2256"/>
        <w:gridCol w:w="2256"/>
        <w:gridCol w:w="2256"/>
      </w:tblGrid>
      <w:tr w14:paraId="5582BE6B">
        <w:trPr>
          <w:jc w:val="center"/>
        </w:trPr>
        <w:tc>
          <w:tcPr>
            <w:tcW w:w="2256" w:type="dxa"/>
            <w:shd w:val="clear" w:color="auto" w:fill="D9EAF7"/>
            <w:vAlign w:val="center"/>
          </w:tcPr>
          <w:p w14:paraId="76FACEF7">
            <w:pPr>
              <w:jc w:val="center"/>
            </w:pPr>
            <w:r>
              <w:rPr>
                <w:rFonts w:ascii="Times New Roman" w:hAnsi="Times New Roman" w:eastAsia="宋体"/>
                <w:b/>
                <w:sz w:val="20"/>
              </w:rPr>
              <w:t>成本子项</w:t>
            </w:r>
          </w:p>
        </w:tc>
        <w:tc>
          <w:tcPr>
            <w:tcW w:w="2256" w:type="dxa"/>
            <w:shd w:val="clear" w:color="auto" w:fill="D9EAF7"/>
            <w:vAlign w:val="center"/>
          </w:tcPr>
          <w:p w14:paraId="4A721D4C">
            <w:pPr>
              <w:jc w:val="center"/>
            </w:pPr>
            <w:r>
              <w:rPr>
                <w:rFonts w:ascii="Times New Roman" w:hAnsi="Times New Roman" w:eastAsia="宋体"/>
                <w:b/>
                <w:sz w:val="20"/>
              </w:rPr>
              <w:t>南京占比</w:t>
            </w:r>
          </w:p>
        </w:tc>
        <w:tc>
          <w:tcPr>
            <w:tcW w:w="2256" w:type="dxa"/>
            <w:shd w:val="clear" w:color="auto" w:fill="D9EAF7"/>
            <w:vAlign w:val="center"/>
          </w:tcPr>
          <w:p w14:paraId="03C3A4DC">
            <w:pPr>
              <w:jc w:val="center"/>
            </w:pPr>
            <w:r>
              <w:rPr>
                <w:rFonts w:ascii="Times New Roman" w:hAnsi="Times New Roman" w:eastAsia="宋体"/>
                <w:b/>
                <w:sz w:val="20"/>
              </w:rPr>
              <w:t>深圳占比</w:t>
            </w:r>
          </w:p>
        </w:tc>
        <w:tc>
          <w:tcPr>
            <w:tcW w:w="2256" w:type="dxa"/>
            <w:shd w:val="clear" w:color="auto" w:fill="D9EAF7"/>
            <w:vAlign w:val="center"/>
          </w:tcPr>
          <w:p w14:paraId="03C6BFF2">
            <w:pPr>
              <w:jc w:val="center"/>
            </w:pPr>
            <w:r>
              <w:rPr>
                <w:rFonts w:ascii="Times New Roman" w:hAnsi="Times New Roman" w:eastAsia="宋体"/>
                <w:b/>
                <w:sz w:val="20"/>
              </w:rPr>
              <w:t>徐州占比</w:t>
            </w:r>
          </w:p>
        </w:tc>
      </w:tr>
      <w:tr w14:paraId="29A02C6B">
        <w:trPr>
          <w:jc w:val="center"/>
        </w:trPr>
        <w:tc>
          <w:tcPr>
            <w:tcW w:w="2256" w:type="dxa"/>
            <w:vAlign w:val="center"/>
          </w:tcPr>
          <w:p w14:paraId="742F9505">
            <w:pPr>
              <w:jc w:val="center"/>
            </w:pPr>
            <w:r>
              <w:rPr>
                <w:rFonts w:ascii="Times New Roman" w:hAnsi="Times New Roman" w:eastAsia="宋体"/>
                <w:b w:val="0"/>
                <w:sz w:val="20"/>
              </w:rPr>
              <w:t>硬件设备采购</w:t>
            </w:r>
          </w:p>
        </w:tc>
        <w:tc>
          <w:tcPr>
            <w:tcW w:w="2256" w:type="dxa"/>
            <w:vAlign w:val="center"/>
          </w:tcPr>
          <w:p w14:paraId="76A89B47">
            <w:pPr>
              <w:jc w:val="center"/>
            </w:pPr>
            <w:r>
              <w:rPr>
                <w:rFonts w:ascii="Times New Roman" w:hAnsi="Times New Roman" w:eastAsia="宋体"/>
                <w:b w:val="0"/>
                <w:sz w:val="20"/>
              </w:rPr>
              <w:t>约40%</w:t>
            </w:r>
          </w:p>
        </w:tc>
        <w:tc>
          <w:tcPr>
            <w:tcW w:w="2256" w:type="dxa"/>
            <w:vAlign w:val="center"/>
          </w:tcPr>
          <w:p w14:paraId="3B074CE7">
            <w:pPr>
              <w:jc w:val="center"/>
            </w:pPr>
            <w:r>
              <w:rPr>
                <w:rFonts w:ascii="Times New Roman" w:hAnsi="Times New Roman" w:eastAsia="宋体"/>
                <w:b w:val="0"/>
                <w:sz w:val="20"/>
              </w:rPr>
              <w:t>约35%</w:t>
            </w:r>
          </w:p>
        </w:tc>
        <w:tc>
          <w:tcPr>
            <w:tcW w:w="2256" w:type="dxa"/>
            <w:vAlign w:val="center"/>
          </w:tcPr>
          <w:p w14:paraId="486CBCAA">
            <w:pPr>
              <w:jc w:val="center"/>
            </w:pPr>
            <w:r>
              <w:rPr>
                <w:rFonts w:ascii="Times New Roman" w:hAnsi="Times New Roman" w:eastAsia="宋体"/>
                <w:b w:val="0"/>
                <w:sz w:val="20"/>
              </w:rPr>
              <w:t>约45%</w:t>
            </w:r>
          </w:p>
        </w:tc>
      </w:tr>
      <w:tr w14:paraId="6421406F">
        <w:trPr>
          <w:jc w:val="center"/>
        </w:trPr>
        <w:tc>
          <w:tcPr>
            <w:tcW w:w="2256" w:type="dxa"/>
            <w:vAlign w:val="center"/>
          </w:tcPr>
          <w:p w14:paraId="7D9117CB">
            <w:pPr>
              <w:jc w:val="center"/>
            </w:pPr>
            <w:r>
              <w:rPr>
                <w:rFonts w:ascii="Times New Roman" w:hAnsi="Times New Roman" w:eastAsia="宋体"/>
                <w:b w:val="0"/>
                <w:sz w:val="20"/>
              </w:rPr>
              <w:t>基础施工（土建与布线）</w:t>
            </w:r>
          </w:p>
        </w:tc>
        <w:tc>
          <w:tcPr>
            <w:tcW w:w="2256" w:type="dxa"/>
            <w:vAlign w:val="center"/>
          </w:tcPr>
          <w:p w14:paraId="23783EB4">
            <w:pPr>
              <w:jc w:val="center"/>
            </w:pPr>
            <w:r>
              <w:rPr>
                <w:rFonts w:ascii="Times New Roman" w:hAnsi="Times New Roman" w:eastAsia="宋体"/>
                <w:b w:val="0"/>
                <w:sz w:val="20"/>
              </w:rPr>
              <w:t>约20%</w:t>
            </w:r>
          </w:p>
        </w:tc>
        <w:tc>
          <w:tcPr>
            <w:tcW w:w="2256" w:type="dxa"/>
            <w:vAlign w:val="center"/>
          </w:tcPr>
          <w:p w14:paraId="05DA1407">
            <w:pPr>
              <w:jc w:val="center"/>
            </w:pPr>
            <w:r>
              <w:rPr>
                <w:rFonts w:ascii="Times New Roman" w:hAnsi="Times New Roman" w:eastAsia="宋体"/>
                <w:b w:val="0"/>
                <w:sz w:val="20"/>
              </w:rPr>
              <w:t>约25%</w:t>
            </w:r>
          </w:p>
        </w:tc>
        <w:tc>
          <w:tcPr>
            <w:tcW w:w="2256" w:type="dxa"/>
            <w:vAlign w:val="center"/>
          </w:tcPr>
          <w:p w14:paraId="0DCD6D1C">
            <w:pPr>
              <w:jc w:val="center"/>
            </w:pPr>
            <w:r>
              <w:rPr>
                <w:rFonts w:ascii="Times New Roman" w:hAnsi="Times New Roman" w:eastAsia="宋体"/>
                <w:b w:val="0"/>
                <w:sz w:val="20"/>
              </w:rPr>
              <w:t>约18%</w:t>
            </w:r>
          </w:p>
        </w:tc>
      </w:tr>
      <w:tr w14:paraId="189F4C89">
        <w:trPr>
          <w:jc w:val="center"/>
        </w:trPr>
        <w:tc>
          <w:tcPr>
            <w:tcW w:w="2256" w:type="dxa"/>
            <w:vAlign w:val="center"/>
          </w:tcPr>
          <w:p w14:paraId="50488469">
            <w:pPr>
              <w:jc w:val="center"/>
            </w:pPr>
            <w:r>
              <w:rPr>
                <w:rFonts w:ascii="Times New Roman" w:hAnsi="Times New Roman" w:eastAsia="宋体"/>
                <w:b w:val="0"/>
                <w:sz w:val="20"/>
              </w:rPr>
              <w:t>电力接入改造</w:t>
            </w:r>
          </w:p>
        </w:tc>
        <w:tc>
          <w:tcPr>
            <w:tcW w:w="2256" w:type="dxa"/>
            <w:vAlign w:val="center"/>
          </w:tcPr>
          <w:p w14:paraId="163B89F5">
            <w:pPr>
              <w:jc w:val="center"/>
            </w:pPr>
            <w:r>
              <w:rPr>
                <w:rFonts w:ascii="Times New Roman" w:hAnsi="Times New Roman" w:eastAsia="宋体"/>
                <w:b w:val="0"/>
                <w:sz w:val="20"/>
              </w:rPr>
              <w:t>约18%</w:t>
            </w:r>
          </w:p>
        </w:tc>
        <w:tc>
          <w:tcPr>
            <w:tcW w:w="2256" w:type="dxa"/>
            <w:vAlign w:val="center"/>
          </w:tcPr>
          <w:p w14:paraId="5CDCB59F">
            <w:pPr>
              <w:jc w:val="center"/>
            </w:pPr>
            <w:r>
              <w:rPr>
                <w:rFonts w:ascii="Times New Roman" w:hAnsi="Times New Roman" w:eastAsia="宋体"/>
                <w:b w:val="0"/>
                <w:sz w:val="20"/>
              </w:rPr>
              <w:t>约20%</w:t>
            </w:r>
          </w:p>
        </w:tc>
        <w:tc>
          <w:tcPr>
            <w:tcW w:w="2256" w:type="dxa"/>
            <w:vAlign w:val="center"/>
          </w:tcPr>
          <w:p w14:paraId="03F93A88">
            <w:pPr>
              <w:jc w:val="center"/>
            </w:pPr>
            <w:r>
              <w:rPr>
                <w:rFonts w:ascii="Times New Roman" w:hAnsi="Times New Roman" w:eastAsia="宋体"/>
                <w:b w:val="0"/>
                <w:sz w:val="20"/>
              </w:rPr>
              <w:t>约15%</w:t>
            </w:r>
          </w:p>
        </w:tc>
      </w:tr>
      <w:tr w14:paraId="6CEC2F24">
        <w:trPr>
          <w:jc w:val="center"/>
        </w:trPr>
        <w:tc>
          <w:tcPr>
            <w:tcW w:w="2256" w:type="dxa"/>
            <w:vAlign w:val="center"/>
          </w:tcPr>
          <w:p w14:paraId="041854FB">
            <w:pPr>
              <w:jc w:val="center"/>
            </w:pPr>
            <w:r>
              <w:rPr>
                <w:rFonts w:ascii="Times New Roman" w:hAnsi="Times New Roman" w:eastAsia="宋体"/>
                <w:b w:val="0"/>
                <w:sz w:val="20"/>
              </w:rPr>
              <w:t>通信模块安装</w:t>
            </w:r>
          </w:p>
        </w:tc>
        <w:tc>
          <w:tcPr>
            <w:tcW w:w="2256" w:type="dxa"/>
            <w:vAlign w:val="center"/>
          </w:tcPr>
          <w:p w14:paraId="55CD461C">
            <w:pPr>
              <w:jc w:val="center"/>
            </w:pPr>
            <w:r>
              <w:rPr>
                <w:rFonts w:ascii="Times New Roman" w:hAnsi="Times New Roman" w:eastAsia="宋体"/>
                <w:b w:val="0"/>
                <w:sz w:val="20"/>
              </w:rPr>
              <w:t>约8%</w:t>
            </w:r>
          </w:p>
        </w:tc>
        <w:tc>
          <w:tcPr>
            <w:tcW w:w="2256" w:type="dxa"/>
            <w:vAlign w:val="center"/>
          </w:tcPr>
          <w:p w14:paraId="4BC45B46">
            <w:pPr>
              <w:jc w:val="center"/>
            </w:pPr>
            <w:r>
              <w:rPr>
                <w:rFonts w:ascii="Times New Roman" w:hAnsi="Times New Roman" w:eastAsia="宋体"/>
                <w:b w:val="0"/>
                <w:sz w:val="20"/>
              </w:rPr>
              <w:t>约7%</w:t>
            </w:r>
          </w:p>
        </w:tc>
        <w:tc>
          <w:tcPr>
            <w:tcW w:w="2256" w:type="dxa"/>
            <w:vAlign w:val="center"/>
          </w:tcPr>
          <w:p w14:paraId="569ADAA9">
            <w:pPr>
              <w:jc w:val="center"/>
            </w:pPr>
            <w:r>
              <w:rPr>
                <w:rFonts w:ascii="Times New Roman" w:hAnsi="Times New Roman" w:eastAsia="宋体"/>
                <w:b w:val="0"/>
                <w:sz w:val="20"/>
              </w:rPr>
              <w:t>约9%</w:t>
            </w:r>
          </w:p>
        </w:tc>
      </w:tr>
      <w:tr w14:paraId="4B77556F">
        <w:trPr>
          <w:jc w:val="center"/>
        </w:trPr>
        <w:tc>
          <w:tcPr>
            <w:tcW w:w="2256" w:type="dxa"/>
            <w:vAlign w:val="center"/>
          </w:tcPr>
          <w:p w14:paraId="79E542F4">
            <w:pPr>
              <w:jc w:val="center"/>
            </w:pPr>
            <w:r>
              <w:rPr>
                <w:rFonts w:ascii="Times New Roman" w:hAnsi="Times New Roman" w:eastAsia="宋体"/>
                <w:b w:val="0"/>
                <w:sz w:val="20"/>
              </w:rPr>
              <w:t>验收与手续费用</w:t>
            </w:r>
          </w:p>
        </w:tc>
        <w:tc>
          <w:tcPr>
            <w:tcW w:w="2256" w:type="dxa"/>
            <w:vAlign w:val="center"/>
          </w:tcPr>
          <w:p w14:paraId="40A64725">
            <w:pPr>
              <w:jc w:val="center"/>
            </w:pPr>
            <w:r>
              <w:rPr>
                <w:rFonts w:ascii="Times New Roman" w:hAnsi="Times New Roman" w:eastAsia="宋体"/>
                <w:b w:val="0"/>
                <w:sz w:val="20"/>
              </w:rPr>
              <w:t>约5%</w:t>
            </w:r>
          </w:p>
        </w:tc>
        <w:tc>
          <w:tcPr>
            <w:tcW w:w="2256" w:type="dxa"/>
            <w:vAlign w:val="center"/>
          </w:tcPr>
          <w:p w14:paraId="3D5740B1">
            <w:pPr>
              <w:jc w:val="center"/>
            </w:pPr>
            <w:r>
              <w:rPr>
                <w:rFonts w:ascii="Times New Roman" w:hAnsi="Times New Roman" w:eastAsia="宋体"/>
                <w:b w:val="0"/>
                <w:sz w:val="20"/>
              </w:rPr>
              <w:t>约5%</w:t>
            </w:r>
          </w:p>
        </w:tc>
        <w:tc>
          <w:tcPr>
            <w:tcW w:w="2256" w:type="dxa"/>
            <w:vAlign w:val="center"/>
          </w:tcPr>
          <w:p w14:paraId="02E6ED4E">
            <w:pPr>
              <w:jc w:val="center"/>
            </w:pPr>
            <w:r>
              <w:rPr>
                <w:rFonts w:ascii="Times New Roman" w:hAnsi="Times New Roman" w:eastAsia="宋体"/>
                <w:b w:val="0"/>
                <w:sz w:val="20"/>
              </w:rPr>
              <w:t>约5%</w:t>
            </w:r>
          </w:p>
        </w:tc>
      </w:tr>
      <w:tr w14:paraId="33DEB0D4">
        <w:trPr>
          <w:jc w:val="center"/>
        </w:trPr>
        <w:tc>
          <w:tcPr>
            <w:tcW w:w="2256" w:type="dxa"/>
            <w:vAlign w:val="center"/>
          </w:tcPr>
          <w:p w14:paraId="24EBF370">
            <w:pPr>
              <w:jc w:val="center"/>
            </w:pPr>
            <w:r>
              <w:rPr>
                <w:rFonts w:ascii="Times New Roman" w:hAnsi="Times New Roman" w:eastAsia="宋体"/>
                <w:b w:val="0"/>
                <w:sz w:val="20"/>
              </w:rPr>
              <w:t>物业协调费用</w:t>
            </w:r>
          </w:p>
        </w:tc>
        <w:tc>
          <w:tcPr>
            <w:tcW w:w="2256" w:type="dxa"/>
            <w:vAlign w:val="center"/>
          </w:tcPr>
          <w:p w14:paraId="50E79F36">
            <w:pPr>
              <w:jc w:val="center"/>
            </w:pPr>
            <w:r>
              <w:rPr>
                <w:rFonts w:ascii="Times New Roman" w:hAnsi="Times New Roman" w:eastAsia="宋体"/>
                <w:b w:val="0"/>
                <w:sz w:val="20"/>
              </w:rPr>
              <w:t>约9%</w:t>
            </w:r>
          </w:p>
        </w:tc>
        <w:tc>
          <w:tcPr>
            <w:tcW w:w="2256" w:type="dxa"/>
            <w:vAlign w:val="center"/>
          </w:tcPr>
          <w:p w14:paraId="313E9869">
            <w:pPr>
              <w:jc w:val="center"/>
            </w:pPr>
            <w:r>
              <w:rPr>
                <w:rFonts w:ascii="Times New Roman" w:hAnsi="Times New Roman" w:eastAsia="宋体"/>
                <w:b w:val="0"/>
                <w:sz w:val="20"/>
              </w:rPr>
              <w:t>约8%</w:t>
            </w:r>
          </w:p>
        </w:tc>
        <w:tc>
          <w:tcPr>
            <w:tcW w:w="2256" w:type="dxa"/>
            <w:vAlign w:val="center"/>
          </w:tcPr>
          <w:p w14:paraId="7053B68C">
            <w:pPr>
              <w:jc w:val="center"/>
            </w:pPr>
            <w:r>
              <w:rPr>
                <w:rFonts w:ascii="Times New Roman" w:hAnsi="Times New Roman" w:eastAsia="宋体"/>
                <w:b w:val="0"/>
                <w:sz w:val="20"/>
              </w:rPr>
              <w:t>约8%</w:t>
            </w:r>
          </w:p>
        </w:tc>
      </w:tr>
    </w:tbl>
    <w:p w14:paraId="7C923222">
      <w:pPr>
        <w:snapToGrid/>
        <w:spacing w:before="0" w:beforeAutospacing="0" w:after="0" w:afterAutospacing="0" w:line="360" w:lineRule="auto"/>
        <w:ind w:left="0" w:leftChars="0" w:right="0" w:rightChars="0" w:firstLine="480" w:firstLineChars="200"/>
        <w:jc w:val="both"/>
        <w:rPr>
          <w:rFonts w:ascii="Times New Roman" w:eastAsia="宋体"/>
          <w:sz w:val="24"/>
        </w:rPr>
      </w:pPr>
    </w:p>
    <w:p w14:paraId="7BC34CD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比较结果看，深圳项目的基础施工和电力接入成本明显高于南京和徐州，这与人工费用较高、施工条件复杂和社区改造要求更严格有关；徐州项目的设备采购占比较高，但总体施工和改造压力相对较小，因此综合成本水平相对可控；南京则处于中间状态，成本结构较为均衡。</w:t>
      </w:r>
    </w:p>
    <w:p w14:paraId="43B61E3D">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4.3.2 维护成本结构分析</w:t>
      </w:r>
    </w:p>
    <w:p w14:paraId="45DF9C8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维护成本方面，本文根据现有维保记录，将成本划分为设备故障维修、损耗件更换、通信模块维护、定期巡检和物业协调费用五类。初步统计显示，设备故障维修在总维护成本中占比最高，约为35%至45%，其次为损耗件更换和定期巡检费用。</w:t>
      </w:r>
    </w:p>
    <w:p w14:paraId="0DEEABAB">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维护规律看，设备使用强度越高、环境越复杂、物业协作越弱的社区，其维护投入通常越大。此外，安装时间超过一定周期后，设备故障率会出现明显上升趋势，维护成本也逐步由“稳定运转阶段”向“老化上升阶段”转变。</w:t>
      </w:r>
    </w:p>
    <w:p w14:paraId="70BFC0A4">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4.3.3 跨城市成本差异成因</w:t>
      </w:r>
    </w:p>
    <w:p w14:paraId="30E329E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造成三地成本差异的原因，主要可以归纳为三个方面。第一，人工成本差异。深圳的人工和施工组织成本明显高于南京和徐州。第二，电力接入与市政施工条件差异。部分社区由于原有配电能力不足，需要额外电改和施工协调，显著提高了项目前期投入。第三，物业和场地改造环境差异。不同城市物业管理模式和社区改造难度不同，会对项目推进效率和隐性成本形成影响。</w:t>
      </w:r>
    </w:p>
    <w:p w14:paraId="41F6C0E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因此，成本差异并不只是简单的价格差，而是选址条件、城市属性和项目落地复杂度共同作用的结果。</w:t>
      </w:r>
    </w:p>
    <w:p w14:paraId="58B0E2FD">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4.4 选址对成本与收益的影响机制</w:t>
      </w:r>
    </w:p>
    <w:p w14:paraId="084F5568">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4.4.1 选址对安装成本的影响</w:t>
      </w:r>
    </w:p>
    <w:p w14:paraId="3A4FA83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选址方案决定了项目的施工条件和资源接入难度。若站点位于电源近、场地平整、施工便利、物业支持度高的区域，则安装成本通常较低；反之，若需要较长距离布线、电改复杂或场地改造受限，则前期投入将明显上升。</w:t>
      </w:r>
    </w:p>
    <w:p w14:paraId="4A44471A">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4.4.2 选址对维护成本的影响</w:t>
      </w:r>
    </w:p>
    <w:p w14:paraId="420E13E8">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选址还会影响后续维护成本。设备若布设在管理混乱、暴露性高、信号不稳定或居民干扰较多的区域，故障率和维护频次通常更高。同时，物业配合程度不足也会增加巡检和故障处理的沟通成本。</w:t>
      </w:r>
    </w:p>
    <w:p w14:paraId="0B9CED8E">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4.4.3 选址对收益水平的影响</w:t>
      </w:r>
    </w:p>
    <w:p w14:paraId="2830D3A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从收益角度看，需求密度高、用户出行规律清晰、使用便利的社区更容易形成稳定订单量，提高设备利用率并缩短投资回收周期。若站点虽然建设条件好，但远离真实需求点位，最终也可能出现收益不足的情况。因此，成本最小不等于方案最优，收益最大也不等于风险最低，企业需要在需求、成本和长期运营效率之间实现平衡。</w:t>
      </w:r>
    </w:p>
    <w:p w14:paraId="7C980D9F">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4.5 本章小结</w:t>
      </w:r>
    </w:p>
    <w:p w14:paraId="2ABC770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章从需求侧、供给侧、环境与政策、技术与运营四个维度系统识别了影响社区电动自行车充电桩选址的关键因素，并通过AHP法与熵权法的组合赋权形成阶段性权重结果。研究发现，用户需求密度、电力接入条件和物业协同程度是影响站点选址效果的核心因素。与此同时，本文结合C公司三地项目数据，对安装成本和维护成本进行了结构化分析，揭示了跨城市成本差异与选址条件之间的内在联系。这些研究结果为后续构建综合选址评价模型提供了直接依据。</w:t>
      </w:r>
    </w:p>
    <w:p w14:paraId="499D5F66">
      <w:pPr>
        <w:pStyle w:val="3"/>
        <w:snapToGrid/>
        <w:spacing w:before="0" w:beforeAutospacing="0" w:after="0" w:afterAutospacing="0" w:line="360" w:lineRule="auto"/>
        <w:ind w:left="0" w:leftChars="0" w:right="0" w:rightChars="0" w:firstLine="0" w:firstLineChars="0"/>
        <w:jc w:val="center"/>
        <w:outlineLvl w:val="0"/>
        <w:rPr>
          <w:rFonts w:ascii="Times New Roman" w:eastAsia="黑体"/>
          <w:b w:val="0"/>
          <w:color w:val="auto"/>
          <w:sz w:val="28"/>
        </w:rPr>
      </w:pPr>
      <w:r>
        <w:rPr>
          <w:rFonts w:ascii="Times New Roman" w:eastAsia="黑体"/>
          <w:b w:val="0"/>
          <w:color w:val="auto"/>
          <w:sz w:val="28"/>
        </w:rPr>
        <w:t>第5章 综合选址评价模型构建（阶段性完成内容）</w:t>
      </w:r>
    </w:p>
    <w:p w14:paraId="337D3602">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5.1 指标体系构建原则</w:t>
      </w:r>
    </w:p>
    <w:p w14:paraId="4CE3F7A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为保证评价模型既具有理论合理性，又能够服务于企业实际决策，本文在构建综合选址评价指标体系时遵循以下原则：</w:t>
      </w:r>
    </w:p>
    <w:p w14:paraId="00C77B9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第一，系统性原则。指标体系应覆盖需求、成本、约束、运营和政策等关键维度，能够较完整反映社区充电桩项目的选址条件。</w:t>
      </w:r>
    </w:p>
    <w:p w14:paraId="793F6FF9">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第二，可操作性原则。指标应便于在项目开发阶段获取和判断，避免过度依赖难以测量的数据。</w:t>
      </w:r>
    </w:p>
    <w:p w14:paraId="63EC6ED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第三，差异性原则。指标应能够反映不同候选社区之间的实际差异，为排序提供有效信息。</w:t>
      </w:r>
    </w:p>
    <w:p w14:paraId="51EA2FD1">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第四，动态适配原则。指标体系应保留后续扩展空间，以便在企业数据积累后不断优化。</w:t>
      </w:r>
    </w:p>
    <w:p w14:paraId="72DB6D3E">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5.2 综合评价指标体系设计</w:t>
      </w:r>
    </w:p>
    <w:p w14:paraId="06D32A6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结合前文因素识别与权重分析结果，本文初步建立了由4个一级指标、若干二级指标构成的综合评价体系。</w:t>
      </w:r>
    </w:p>
    <w:p w14:paraId="3DCF45B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5.2.1 需求侧指标</w:t>
      </w:r>
    </w:p>
    <w:p w14:paraId="677A517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需求侧指标主要包括电动自行车保有量与密度、用户充电高峰时段匹配度、社区人口密度等。该类指标主要用于衡量潜在用户规模和稳定使用基础。</w:t>
      </w:r>
    </w:p>
    <w:p w14:paraId="316A0F37">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5.2.2 供给侧指标</w:t>
      </w:r>
    </w:p>
    <w:p w14:paraId="021C497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供给侧指标主要包括场地可获得性与租金、电力接入条件与成本、周边竞争设施情况等。该类指标用于判断项目建设的现实可行性和前期成本压力。</w:t>
      </w:r>
    </w:p>
    <w:p w14:paraId="63AD99D3">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5.2.3 环境与政策指标</w:t>
      </w:r>
    </w:p>
    <w:p w14:paraId="7C6C953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环境与政策指标包括消防安全条件、区域政策支持力度、交通便利性等，用于反映项目的合规性、推广条件和长期稳定性。</w:t>
      </w:r>
    </w:p>
    <w:p w14:paraId="00721605">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5.2.4 技术与运营指标</w:t>
      </w:r>
    </w:p>
    <w:p w14:paraId="420F4D5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技术与运营指标包括物业协同程度、设备安装便利性、网络信号覆盖等，用于衡量项目后续运维效率和服务稳定性。</w:t>
      </w:r>
    </w:p>
    <w:p w14:paraId="536E2038">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5.3 权重确定与模型构建思路</w:t>
      </w:r>
    </w:p>
    <w:p w14:paraId="47DCA159">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5.3.1 权重确定路径</w:t>
      </w:r>
    </w:p>
    <w:p w14:paraId="2D9DB4A0">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研究继续采用AHP法与熵权法组合赋权。其中，AHP法负责反映管理人员和专家对指标重要性的认知，熵权法负责基于历史数据识别指标差异。通过将两类权重结果进行综合，可以在一定程度上平衡主观经验与客观事实。</w:t>
      </w:r>
    </w:p>
    <w:p w14:paraId="0EE74570">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5.3.2 评价模型选择</w:t>
      </w:r>
    </w:p>
    <w:p w14:paraId="11A7742C">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在备选评价方法中，TOPSIS法具有计算逻辑清晰、结果可解释性较强、便于处理多指标排序问题等优势，较适合企业在多个候选社区之间做优先级判断。因此，本文拟采用TOPSIS法作为综合评价模型的核心方法。</w:t>
      </w:r>
    </w:p>
    <w:p w14:paraId="20E085ED">
      <w:pPr>
        <w:pStyle w:val="5"/>
        <w:snapToGrid/>
        <w:spacing w:before="0" w:beforeAutospacing="0" w:after="0" w:afterAutospacing="0" w:line="360" w:lineRule="auto"/>
        <w:ind w:left="0" w:leftChars="0" w:right="0" w:rightChars="0" w:firstLine="0" w:firstLineChars="0"/>
        <w:jc w:val="left"/>
        <w:outlineLvl w:val="2"/>
        <w:rPr>
          <w:rFonts w:ascii="Times New Roman" w:eastAsia="楷体"/>
          <w:b w:val="0"/>
          <w:color w:val="auto"/>
          <w:sz w:val="24"/>
        </w:rPr>
      </w:pPr>
      <w:r>
        <w:rPr>
          <w:rFonts w:ascii="Times New Roman" w:eastAsia="楷体"/>
          <w:b w:val="0"/>
          <w:color w:val="auto"/>
          <w:sz w:val="24"/>
        </w:rPr>
        <w:t>5.3.3 模型计算步骤</w:t>
      </w:r>
    </w:p>
    <w:p w14:paraId="039446B5">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模型的基本步骤包括：一是构建候选社区原始指标矩阵；二是对正向指标和逆向指标进行标准化处理；三是结合综合权重形成加权标准化矩阵；四是确定正理想解和负理想解；五是计算各候选社区与理想解之间的距离；六是计算相对贴近度并据此完成排序。</w:t>
      </w:r>
    </w:p>
    <w:p w14:paraId="27ECE184">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5.4 阶段性应用方案</w:t>
      </w:r>
    </w:p>
    <w:p w14:paraId="05F4118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基于目前研究进展，本文已完成模型的评价框架设计和指标体系构建，下一阶段将以C公司三地站点中的典型社区样本作为候选对象，开展数据代入和排序验证工作。验证内容主要包括：</w:t>
      </w:r>
    </w:p>
    <w:p w14:paraId="511D16E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第一，比较模型排序结果与企业现有经验判断是否一致。</w:t>
      </w:r>
    </w:p>
    <w:p w14:paraId="322128C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第二，比较模型优选结果与站点实际运营表现是否存在对应关系。</w:t>
      </w:r>
    </w:p>
    <w:p w14:paraId="337608C6">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第三，分析若干关键参数变化对排序结果的影响，以检验模型的稳健性。</w:t>
      </w:r>
    </w:p>
    <w:p w14:paraId="54E4CD23">
      <w:pPr>
        <w:pStyle w:val="4"/>
        <w:snapToGrid/>
        <w:spacing w:before="0" w:beforeAutospacing="0" w:after="0" w:afterAutospacing="0" w:line="360" w:lineRule="auto"/>
        <w:ind w:left="0" w:leftChars="0" w:right="0" w:rightChars="0" w:firstLine="0" w:firstLineChars="0"/>
        <w:jc w:val="left"/>
        <w:outlineLvl w:val="1"/>
        <w:rPr>
          <w:rFonts w:ascii="Times New Roman" w:eastAsia="楷体"/>
          <w:b w:val="0"/>
          <w:color w:val="auto"/>
          <w:sz w:val="24"/>
        </w:rPr>
      </w:pPr>
      <w:r>
        <w:rPr>
          <w:rFonts w:ascii="Times New Roman" w:eastAsia="楷体"/>
          <w:b w:val="0"/>
          <w:color w:val="auto"/>
          <w:sz w:val="24"/>
        </w:rPr>
        <w:t>5.5 本章小结</w:t>
      </w:r>
    </w:p>
    <w:p w14:paraId="45F3EE0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本章在前文研究基础上，完成了综合选址评价模型的阶段性构建工作，明确了指标体系构建原则、评价指标结构、组合赋权路径以及TOPSIS模型的基本计算思路。当前模型已具备进入实证验证阶段的条件，但具体排序结果、模型有效性分析和策略提炼仍需在后续研究中进一步完成。</w:t>
      </w:r>
    </w:p>
    <w:p w14:paraId="1CDD5B4A">
      <w:pPr>
        <w:pStyle w:val="3"/>
        <w:snapToGrid/>
        <w:spacing w:before="0" w:beforeAutospacing="0" w:after="0" w:afterAutospacing="0" w:line="360" w:lineRule="auto"/>
        <w:ind w:left="0" w:leftChars="0" w:right="0" w:rightChars="0" w:firstLine="0" w:firstLineChars="0"/>
        <w:jc w:val="center"/>
        <w:outlineLvl w:val="0"/>
        <w:rPr>
          <w:rFonts w:ascii="Times New Roman" w:eastAsia="黑体"/>
          <w:b w:val="0"/>
          <w:color w:val="auto"/>
          <w:sz w:val="28"/>
        </w:rPr>
      </w:pPr>
      <w:r>
        <w:rPr>
          <w:rFonts w:ascii="Times New Roman" w:eastAsia="黑体"/>
          <w:b w:val="0"/>
          <w:color w:val="auto"/>
          <w:sz w:val="28"/>
        </w:rPr>
        <w:t>第6章 后续待完成内容说明</w:t>
      </w:r>
    </w:p>
    <w:p w14:paraId="7A4BC4C4">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结合当前中期研究进度，本文后续仍需重点完成以下工作：</w:t>
      </w:r>
    </w:p>
    <w:p w14:paraId="41A839BE">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第一，完成综合选址评价模型的实证应用与结果验证，包括候选社区样本选取、数据标准化处理、排序结果分析以及与实际运营情况对照。</w:t>
      </w:r>
    </w:p>
    <w:p w14:paraId="305C2DD7">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第二，完善维护成本预测模型，对不同社区类型和不同使用周期下的维护成本规律进行更细致分析。</w:t>
      </w:r>
    </w:p>
    <w:p w14:paraId="2F3BF48F">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第三，基于模型结果和企业管理需求，提出具有可操作性的布局优化建议、成本控制建议和扩张复制建议。</w:t>
      </w:r>
    </w:p>
    <w:p w14:paraId="2E2A60EA">
      <w:pPr>
        <w:snapToGrid/>
        <w:spacing w:before="0" w:beforeAutospacing="0" w:after="0" w:afterAutospacing="0" w:line="360" w:lineRule="auto"/>
        <w:ind w:left="0" w:leftChars="0" w:right="0" w:rightChars="0" w:firstLine="480" w:firstLineChars="200"/>
        <w:jc w:val="both"/>
        <w:rPr>
          <w:rFonts w:ascii="Times New Roman" w:eastAsia="宋体"/>
          <w:sz w:val="24"/>
        </w:rPr>
      </w:pPr>
      <w:r>
        <w:rPr>
          <w:rFonts w:ascii="Times New Roman" w:eastAsia="宋体"/>
          <w:sz w:val="24"/>
        </w:rPr>
        <w:t>第四，补充参考文献、附图附表、摘要英文版及全文格式细化工作，形成最终定稿。</w:t>
      </w:r>
    </w:p>
    <w:p w14:paraId="3C9A5DAF">
      <w:pPr>
        <w:pStyle w:val="3"/>
        <w:snapToGrid/>
        <w:spacing w:before="0" w:beforeAutospacing="0" w:after="0" w:afterAutospacing="0" w:line="360" w:lineRule="auto"/>
        <w:ind w:left="0" w:leftChars="0" w:right="0" w:rightChars="0" w:firstLine="0" w:firstLineChars="0"/>
        <w:jc w:val="center"/>
        <w:rPr>
          <w:rFonts w:ascii="Times New Roman" w:eastAsia="黑体"/>
          <w:b w:val="0"/>
          <w:color w:val="auto"/>
          <w:sz w:val="28"/>
        </w:rPr>
      </w:pPr>
      <w:r>
        <w:rPr>
          <w:rFonts w:ascii="Times New Roman" w:eastAsia="黑体"/>
          <w:b w:val="0"/>
          <w:color w:val="auto"/>
          <w:sz w:val="28"/>
        </w:rPr>
        <w:t>参考文献（阶段性整理）</w:t>
      </w:r>
    </w:p>
    <w:p w14:paraId="21722423">
      <w:pPr>
        <w:snapToGrid w:val="0"/>
        <w:spacing w:before="0" w:beforeAutospacing="0" w:after="0" w:afterAutospacing="0" w:line="360" w:lineRule="auto"/>
        <w:ind w:left="360" w:leftChars="0" w:right="0" w:rightChars="0" w:hanging="360" w:hangingChars="150"/>
        <w:jc w:val="both"/>
        <w:rPr>
          <w:rFonts w:ascii="Times New Roman" w:eastAsia="宋体"/>
          <w:sz w:val="24"/>
        </w:rPr>
      </w:pPr>
      <w:r>
        <w:rPr>
          <w:rFonts w:ascii="Times New Roman" w:eastAsia="宋体"/>
          <w:sz w:val="24"/>
        </w:rPr>
        <w:t>[1] 艾利·高德拉特. 突破项目管理的瓶颈:关键链[M]. 北京:电子工业出版社, 2012.</w:t>
      </w:r>
    </w:p>
    <w:p w14:paraId="5FCE36B6">
      <w:pPr>
        <w:snapToGrid w:val="0"/>
        <w:spacing w:before="0" w:beforeAutospacing="0" w:after="0" w:afterAutospacing="0" w:line="360" w:lineRule="auto"/>
        <w:ind w:left="360" w:leftChars="0" w:right="0" w:rightChars="0" w:hanging="360" w:hangingChars="150"/>
        <w:jc w:val="both"/>
        <w:rPr>
          <w:rFonts w:ascii="Times New Roman" w:eastAsia="宋体"/>
          <w:sz w:val="24"/>
        </w:rPr>
      </w:pPr>
      <w:r>
        <w:rPr>
          <w:rFonts w:ascii="Times New Roman" w:eastAsia="宋体"/>
          <w:sz w:val="24"/>
        </w:rPr>
        <w:t>[2] 朱宏亮. 项目进度管理[M]. 北京:清华大学出版社, 2002.</w:t>
      </w:r>
    </w:p>
    <w:p w14:paraId="14897628">
      <w:pPr>
        <w:snapToGrid w:val="0"/>
        <w:spacing w:before="0" w:beforeAutospacing="0" w:after="0" w:afterAutospacing="0" w:line="360" w:lineRule="auto"/>
        <w:ind w:left="360" w:leftChars="0" w:right="0" w:rightChars="0" w:hanging="360" w:hangingChars="150"/>
        <w:jc w:val="both"/>
        <w:rPr>
          <w:rFonts w:ascii="Times New Roman" w:eastAsia="宋体"/>
          <w:sz w:val="24"/>
        </w:rPr>
      </w:pPr>
      <w:r>
        <w:rPr>
          <w:rFonts w:ascii="Times New Roman" w:eastAsia="宋体"/>
          <w:sz w:val="24"/>
        </w:rPr>
        <w:t>[3] Chiu-Chi Wei, Ping-Hung Liu, Ying-Chin Tsai. Resource-constrained project management using enhanced theory of constraint[J]. International Journal of Project Management, 2002, 20(7): 561-567.</w:t>
      </w:r>
    </w:p>
    <w:p w14:paraId="7856A7C6">
      <w:pPr>
        <w:snapToGrid w:val="0"/>
        <w:spacing w:before="0" w:beforeAutospacing="0" w:after="0" w:afterAutospacing="0" w:line="360" w:lineRule="auto"/>
        <w:ind w:left="360" w:leftChars="0" w:right="0" w:rightChars="0" w:hanging="360" w:hangingChars="150"/>
        <w:jc w:val="both"/>
        <w:rPr>
          <w:rFonts w:ascii="Times New Roman" w:eastAsia="宋体"/>
          <w:sz w:val="24"/>
        </w:rPr>
      </w:pPr>
      <w:r>
        <w:rPr>
          <w:rFonts w:ascii="Times New Roman" w:eastAsia="宋体"/>
          <w:sz w:val="24"/>
        </w:rPr>
        <w:t>[4] 国家制造强国建设战略咨询委员会. 中国制造2025蓝皮书(2018)[M]. 北京:电子工业出版社, 2018.</w:t>
      </w:r>
    </w:p>
    <w:p w14:paraId="376B0065">
      <w:pPr>
        <w:snapToGrid w:val="0"/>
        <w:spacing w:before="0" w:beforeAutospacing="0" w:after="0" w:afterAutospacing="0" w:line="360" w:lineRule="auto"/>
        <w:ind w:left="360" w:leftChars="0" w:right="0" w:rightChars="0" w:hanging="360" w:hangingChars="150"/>
        <w:jc w:val="both"/>
        <w:rPr>
          <w:rFonts w:ascii="Times New Roman" w:eastAsia="宋体"/>
          <w:sz w:val="24"/>
        </w:rPr>
      </w:pPr>
      <w:r>
        <w:rPr>
          <w:rFonts w:ascii="Times New Roman" w:eastAsia="宋体"/>
          <w:sz w:val="24"/>
        </w:rPr>
        <w:t>[5] 叶平. 基于PERT/CPM的甘特图应用研究[J]. 浙江建筑, 2011, 28(03): 72-74.</w:t>
      </w:r>
    </w:p>
    <w:p w14:paraId="513E47ED">
      <w:pPr>
        <w:snapToGrid w:val="0"/>
        <w:spacing w:before="0" w:beforeAutospacing="0" w:after="0" w:afterAutospacing="0" w:line="360" w:lineRule="auto"/>
        <w:ind w:left="360" w:leftChars="0" w:right="0" w:rightChars="0" w:hanging="360" w:hangingChars="150"/>
        <w:jc w:val="both"/>
        <w:rPr>
          <w:rFonts w:ascii="Times New Roman" w:eastAsia="宋体"/>
          <w:sz w:val="24"/>
        </w:rPr>
      </w:pPr>
      <w:r>
        <w:rPr>
          <w:rFonts w:ascii="Times New Roman" w:eastAsia="宋体"/>
          <w:sz w:val="24"/>
        </w:rPr>
        <w:t>[6] 武丽丽, 华一新, 张亚军, 等. “北斗一号”监控管理网设计与实现[J]. 测绘科学, 2008, 33(5): 8-9.</w:t>
      </w:r>
    </w:p>
    <w:p w14:paraId="6E8CBC76">
      <w:pPr>
        <w:snapToGrid w:val="0"/>
        <w:spacing w:before="0" w:beforeAutospacing="0" w:after="0" w:afterAutospacing="0" w:line="360" w:lineRule="auto"/>
        <w:ind w:left="360" w:leftChars="0" w:right="0" w:rightChars="0" w:hanging="360" w:hangingChars="150"/>
        <w:jc w:val="both"/>
        <w:rPr>
          <w:rFonts w:ascii="Times New Roman" w:eastAsia="宋体"/>
          <w:sz w:val="24"/>
        </w:rPr>
      </w:pPr>
    </w:p>
    <w:p w14:paraId="1D7A6B05">
      <w:pPr>
        <w:snapToGrid w:val="0"/>
        <w:spacing w:before="0" w:beforeAutospacing="0" w:after="0" w:afterAutospacing="0" w:line="360" w:lineRule="auto"/>
        <w:ind w:left="360" w:leftChars="0" w:right="0" w:rightChars="0" w:hanging="360" w:hangingChars="150"/>
        <w:jc w:val="both"/>
        <w:rPr>
          <w:rFonts w:ascii="Times New Roman" w:eastAsia="宋体"/>
          <w:sz w:val="24"/>
        </w:rPr>
      </w:pPr>
    </w:p>
    <w:p w14:paraId="0B6F12B5">
      <w:pPr>
        <w:snapToGrid w:val="0"/>
        <w:spacing w:before="0" w:beforeAutospacing="0" w:after="0" w:afterAutospacing="0" w:line="360" w:lineRule="auto"/>
        <w:ind w:left="360" w:leftChars="0" w:right="0" w:rightChars="0" w:hanging="360" w:hangingChars="150"/>
        <w:jc w:val="both"/>
        <w:rPr>
          <w:rFonts w:ascii="Times New Roman" w:eastAsia="宋体"/>
          <w:sz w:val="24"/>
        </w:rPr>
      </w:pPr>
    </w:p>
    <w:p w14:paraId="7567F6DE">
      <w:pPr>
        <w:pStyle w:val="3"/>
        <w:snapToGrid w:val="0"/>
        <w:spacing w:before="0" w:beforeAutospacing="0" w:after="0" w:afterAutospacing="0" w:line="360" w:lineRule="auto"/>
        <w:ind w:left="360" w:leftChars="0" w:right="0" w:rightChars="0" w:hanging="360" w:hangingChars="150"/>
        <w:jc w:val="both"/>
        <w:rPr>
          <w:rFonts w:ascii="Times New Roman" w:eastAsia="宋体"/>
          <w:color w:val="auto"/>
          <w:sz w:val="24"/>
        </w:rPr>
      </w:pPr>
      <w:r>
        <w:rPr>
          <w:rFonts w:ascii="Times New Roman" w:eastAsia="宋体"/>
          <w:color w:val="auto"/>
          <w:sz w:val="24"/>
        </w:rPr>
        <w:t>附注</w:t>
      </w:r>
    </w:p>
    <w:p w14:paraId="4239D9EB">
      <w:pPr>
        <w:snapToGrid w:val="0"/>
        <w:spacing w:before="0" w:beforeAutospacing="0" w:after="0" w:afterAutospacing="0" w:line="360" w:lineRule="auto"/>
        <w:ind w:right="0" w:rightChars="0"/>
        <w:jc w:val="both"/>
        <w:rPr>
          <w:rFonts w:ascii="Times New Roman" w:eastAsia="宋体"/>
          <w:sz w:val="24"/>
        </w:rPr>
      </w:pPr>
      <w:r>
        <w:rPr>
          <w:rFonts w:ascii="Times New Roman" w:eastAsia="宋体"/>
          <w:sz w:val="24"/>
        </w:rPr>
        <w:t>本文稿件为依据开题报告与中期检查报告整理形成的阶段性论文稿，完成度约为60%。目前已完成绪论、理论基础与文献综述、企业运营现状分析、选址影响因素与成本结构分析，以及综合评价模型的框架构建。涉及模型实证验证、布局优化建议、结论展望和参考文献规范化等内容，仍需在后续研究中继续完善。</w:t>
      </w:r>
    </w:p>
    <w:sectPr>
      <w:footerReference r:id="rId5" w:type="default"/>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Courier">
    <w:altName w:val="苹方-简"/>
    <w:panose1 w:val="02000500000000000000"/>
    <w:charset w:val="00"/>
    <w:family w:val="auto"/>
    <w:pitch w:val="default"/>
    <w:sig w:usb0="00000000" w:usb1="0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Kingsoft Sign">
    <w:panose1 w:val="05050102010706020507"/>
    <w:charset w:val="00"/>
    <w:family w:val="auto"/>
    <w:pitch w:val="default"/>
    <w:sig w:usb0="00000000" w:usb1="10000000" w:usb2="00000000" w:usb3="00000000" w:csb0="00000001" w:csb1="00000000"/>
  </w:font>
  <w:font w:name="Cambria">
    <w:altName w:val="苹方-简"/>
    <w:panose1 w:val="02040503050406030204"/>
    <w:charset w:val="00"/>
    <w:family w:val="auto"/>
    <w:pitch w:val="default"/>
    <w:sig w:usb0="00000000" w:usb1="00000000" w:usb2="00000000" w:usb3="00000000" w:csb0="0000019F" w:csb1="00000000"/>
  </w:font>
  <w:font w:name="华文中宋">
    <w:altName w:val="汉仪书宋二KW"/>
    <w:panose1 w:val="02010600040101010101"/>
    <w:charset w:val="86"/>
    <w:family w:val="auto"/>
    <w:pitch w:val="default"/>
    <w:sig w:usb0="00000000" w:usb1="00000000" w:usb2="00000010" w:usb3="00000000" w:csb0="0004009F" w:csb1="00000000"/>
  </w:font>
  <w:font w:name="楷体_GB2312">
    <w:altName w:val="汉仪楷体简"/>
    <w:panose1 w:val="00000000000000000000"/>
    <w:charset w:val="86"/>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黑体">
    <w:altName w:val="汉仪中黑KW"/>
    <w:panose1 w:val="00000000000000000000"/>
    <w:charset w:val="00"/>
    <w:family w:val="auto"/>
    <w:pitch w:val="default"/>
    <w:sig w:usb0="00000000" w:usb1="00000000" w:usb2="00000000" w:usb3="00000000" w:csb0="00000000" w:csb1="00000000"/>
  </w:font>
  <w:font w:name="楷体">
    <w:altName w:val="汉仪楷体KW"/>
    <w:panose1 w:val="00000000000000000000"/>
    <w:charset w:val="00"/>
    <w:family w:val="auto"/>
    <w:pitch w:val="default"/>
    <w:sig w:usb0="00000000" w:usb1="00000000" w:usb2="00000000" w:usb3="00000000" w:csb0="00000000" w:csb1="00000000"/>
  </w:font>
  <w:font w:name="楷体_GB2312">
    <w:altName w:val="汉仪楷体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0BC6B5">
    <w:pPr>
      <w:pStyle w:val="24"/>
      <w:jc w:val="center"/>
    </w:pPr>
    <w:r>
      <w:rPr>
        <w:rFonts w:ascii="Times New Roman" w:hAnsi="Times New Roman" w:eastAsia="宋体"/>
        <w:b w:val="0"/>
        <w:sz w:val="18"/>
      </w:rPr>
      <w:t>C公司充电桩选址问题研究（阶段性论文稿）</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FBC2037"/>
    <w:rsid w:val="7CDD4ABF"/>
    <w:rsid w:val="FDBF42C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0" w:line="360" w:lineRule="auto"/>
      <w:ind w:firstLine="420"/>
    </w:pPr>
    <w:rPr>
      <w:rFonts w:ascii="Times New Roman" w:hAnsi="Times New Roman" w:eastAsia="宋体" w:cstheme="minorBidi"/>
      <w:sz w:val="24"/>
      <w:szCs w:val="22"/>
      <w:lang w:val="en-US" w:eastAsia="en-US" w:bidi="ar-SA"/>
    </w:rPr>
  </w:style>
  <w:style w:type="paragraph" w:styleId="3">
    <w:name w:val="heading 1"/>
    <w:basedOn w:val="1"/>
    <w:next w:val="1"/>
    <w:link w:val="139"/>
    <w:qFormat/>
    <w:uiPriority w:val="9"/>
    <w:pPr>
      <w:keepNext/>
      <w:keepLines/>
      <w:spacing w:before="240" w:after="120" w:line="300" w:lineRule="auto"/>
      <w:ind w:firstLine="0"/>
      <w:outlineLvl w:val="0"/>
    </w:pPr>
    <w:rPr>
      <w:rFonts w:asciiTheme="majorHAnsi" w:hAnsiTheme="majorHAnsi" w:eastAsiaTheme="majorEastAsia" w:cstheme="majorBidi"/>
      <w:b/>
      <w:bCs/>
      <w:color w:val="000000"/>
      <w:sz w:val="32"/>
      <w:szCs w:val="28"/>
    </w:rPr>
  </w:style>
  <w:style w:type="paragraph" w:styleId="4">
    <w:name w:val="heading 2"/>
    <w:basedOn w:val="1"/>
    <w:next w:val="1"/>
    <w:link w:val="140"/>
    <w:unhideWhenUsed/>
    <w:qFormat/>
    <w:uiPriority w:val="9"/>
    <w:pPr>
      <w:keepNext/>
      <w:keepLines/>
      <w:spacing w:before="240" w:after="120" w:line="300" w:lineRule="auto"/>
      <w:ind w:firstLine="0"/>
      <w:outlineLvl w:val="1"/>
    </w:pPr>
    <w:rPr>
      <w:rFonts w:asciiTheme="majorHAnsi" w:hAnsiTheme="majorHAnsi" w:eastAsiaTheme="majorEastAsia" w:cstheme="majorBidi"/>
      <w:b/>
      <w:bCs/>
      <w:color w:val="000000"/>
      <w:sz w:val="28"/>
      <w:szCs w:val="26"/>
    </w:rPr>
  </w:style>
  <w:style w:type="paragraph" w:styleId="5">
    <w:name w:val="heading 3"/>
    <w:basedOn w:val="1"/>
    <w:next w:val="1"/>
    <w:link w:val="141"/>
    <w:unhideWhenUsed/>
    <w:qFormat/>
    <w:uiPriority w:val="9"/>
    <w:pPr>
      <w:keepNext/>
      <w:keepLines/>
      <w:spacing w:before="240" w:after="120" w:line="300" w:lineRule="auto"/>
      <w:ind w:firstLine="0"/>
      <w:outlineLvl w:val="2"/>
    </w:pPr>
    <w:rPr>
      <w:rFonts w:asciiTheme="majorHAnsi" w:hAnsiTheme="majorHAnsi" w:eastAsiaTheme="majorEastAsia" w:cstheme="majorBidi"/>
      <w:b/>
      <w:bCs/>
      <w:color w:val="000000"/>
      <w:sz w:val="24"/>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6"/>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semiHidden/>
    <w:unhideWhenUsed/>
    <w:uiPriority w:val="99"/>
    <w:rPr>
      <w:sz w:val="24"/>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uiPriority w:val="99"/>
  </w:style>
  <w:style w:type="character" w:customStyle="1" w:styleId="146">
    <w:name w:val="Body Text 2 Char"/>
    <w:basedOn w:val="133"/>
    <w:link w:val="28"/>
    <w:uiPriority w:val="99"/>
  </w:style>
  <w:style w:type="character" w:customStyle="1" w:styleId="147">
    <w:name w:val="Body Text 3 Char"/>
    <w:basedOn w:val="133"/>
    <w:link w:val="17"/>
    <w:uiPriority w:val="99"/>
    <w:rPr>
      <w:sz w:val="16"/>
      <w:szCs w:val="16"/>
    </w:rPr>
  </w:style>
  <w:style w:type="character" w:customStyle="1" w:styleId="148">
    <w:name w:val="Macro Text Char"/>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uiPriority w:val="29"/>
    <w:rPr>
      <w:i/>
      <w:iCs/>
      <w:color w:val="000000" w:themeColor="text1"/>
      <w14:textFill>
        <w14:solidFill>
          <w14:schemeClr w14:val="tx1"/>
        </w14:solidFill>
      </w14:textFill>
    </w:rPr>
  </w:style>
  <w:style w:type="character" w:customStyle="1" w:styleId="151">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 w:type="paragraph" w:customStyle="1" w:styleId="165">
    <w:name w:val="p1"/>
    <w:basedOn w:val="1"/>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73</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generated by python-docx</dc:description>
  <cp:lastModifiedBy>yl0473</cp:lastModifiedBy>
  <dcterms:modified xsi:type="dcterms:W3CDTF">2026-06-08T22:09:37Z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3DDB1E0782D9F4BE4B6B256A1C0B23A0_42</vt:lpwstr>
  </property>
</Properties>
</file>