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2B974">
      <w:pPr>
        <w:spacing w:line="276" w:lineRule="auto"/>
        <w:rPr>
          <w:rFonts w:ascii="微软雅黑" w:hAnsi="微软雅黑" w:eastAsia="微软雅黑"/>
          <w:b/>
          <w:sz w:val="18"/>
          <w:szCs w:val="18"/>
          <w:vertAlign w:val="subscript"/>
        </w:rPr>
      </w:pPr>
    </w:p>
    <w:p w14:paraId="1D898CA4">
      <w:pPr>
        <w:spacing w:line="276" w:lineRule="auto"/>
        <w:rPr>
          <w:rFonts w:ascii="微软雅黑" w:hAnsi="微软雅黑" w:eastAsia="微软雅黑"/>
          <w:b/>
          <w:sz w:val="28"/>
          <w:szCs w:val="28"/>
        </w:rPr>
      </w:pPr>
    </w:p>
    <w:p w14:paraId="46FF274C">
      <w:pPr>
        <w:spacing w:line="276" w:lineRule="auto"/>
        <w:rPr>
          <w:rFonts w:ascii="微软雅黑" w:hAnsi="微软雅黑" w:eastAsia="微软雅黑"/>
          <w:b/>
          <w:sz w:val="28"/>
          <w:szCs w:val="28"/>
        </w:rPr>
      </w:pPr>
    </w:p>
    <w:p w14:paraId="7FE2CCCF">
      <w:pPr>
        <w:spacing w:line="276" w:lineRule="auto"/>
        <w:rPr>
          <w:rFonts w:ascii="微软雅黑" w:hAnsi="微软雅黑" w:eastAsia="微软雅黑"/>
          <w:b/>
          <w:sz w:val="28"/>
          <w:szCs w:val="28"/>
        </w:rPr>
      </w:pPr>
      <w:r>
        <w:rPr>
          <w:rFonts w:ascii="微软雅黑" w:hAnsi="微软雅黑" w:eastAsia="微软雅黑"/>
          <w:b/>
          <w:sz w:val="28"/>
          <w:szCs w:val="28"/>
        </w:rPr>
        <w:pict>
          <v:shape id="Object 9" o:spid="_x0000_s1026" o:spt="75" type="#_x0000_t75" style="position:absolute;left:0pt;margin-left:207.05pt;margin-top:-19.95pt;height:72pt;width:228pt;mso-position-horizontal-relative:page;mso-wrap-distance-bottom:0pt;mso-wrap-distance-left:9.05pt;mso-wrap-distance-right:9.05pt;mso-wrap-distance-top:0pt;z-index:251660288;mso-width-relative:page;mso-height-relative:page;" o:ole="t" filled="f" o:preferrelative="t" stroked="f" coordsize="21600,21600" o:allowincell="f">
            <v:path/>
            <v:fill on="f" focussize="0,0"/>
            <v:stroke on="f"/>
            <v:imagedata r:id="rId9" o:title=""/>
            <o:lock v:ext="edit" aspectratio="t"/>
            <w10:wrap type="square"/>
          </v:shape>
          <o:OLEObject Type="Embed" ProgID="Word.Picture" ShapeID="Object 9" DrawAspect="Content" ObjectID="_1468075725" r:id="rId8">
            <o:LockedField>false</o:LockedField>
          </o:OLEObject>
        </w:pict>
      </w:r>
    </w:p>
    <w:p w14:paraId="48356B62">
      <w:pPr>
        <w:spacing w:line="276" w:lineRule="auto"/>
        <w:rPr>
          <w:rFonts w:ascii="微软雅黑" w:hAnsi="微软雅黑" w:eastAsia="微软雅黑"/>
          <w:b/>
          <w:sz w:val="28"/>
          <w:szCs w:val="28"/>
        </w:rPr>
      </w:pPr>
    </w:p>
    <w:p w14:paraId="60F35D55">
      <w:pPr>
        <w:spacing w:line="276" w:lineRule="auto"/>
        <w:rPr>
          <w:rFonts w:ascii="微软雅黑" w:hAnsi="微软雅黑" w:eastAsia="微软雅黑"/>
          <w:b/>
          <w:sz w:val="28"/>
          <w:szCs w:val="28"/>
        </w:rPr>
      </w:pPr>
    </w:p>
    <w:p w14:paraId="0A81F9A0">
      <w:pPr>
        <w:spacing w:line="276" w:lineRule="auto"/>
        <w:jc w:val="center"/>
        <w:rPr>
          <w:rFonts w:ascii="微软雅黑" w:hAnsi="微软雅黑" w:eastAsia="微软雅黑"/>
          <w:b/>
          <w:spacing w:val="20"/>
          <w:sz w:val="52"/>
          <w:szCs w:val="52"/>
        </w:rPr>
      </w:pPr>
      <w:r>
        <w:rPr>
          <w:rFonts w:hint="eastAsia" w:ascii="微软雅黑" w:hAnsi="微软雅黑" w:eastAsia="微软雅黑"/>
          <w:b/>
          <w:spacing w:val="20"/>
          <w:sz w:val="52"/>
          <w:szCs w:val="52"/>
        </w:rPr>
        <w:t>专业学位（硕士）论文开题报告</w:t>
      </w:r>
    </w:p>
    <w:p w14:paraId="5D4A1E54">
      <w:pPr>
        <w:spacing w:line="276" w:lineRule="auto"/>
        <w:ind w:left="1080"/>
        <w:rPr>
          <w:rFonts w:ascii="微软雅黑" w:hAnsi="微软雅黑" w:eastAsia="微软雅黑"/>
          <w:b/>
          <w:spacing w:val="20"/>
          <w:sz w:val="24"/>
        </w:rPr>
      </w:pPr>
    </w:p>
    <w:p w14:paraId="53776EE2">
      <w:pPr>
        <w:spacing w:line="276" w:lineRule="auto"/>
        <w:ind w:left="1080"/>
        <w:rPr>
          <w:rFonts w:ascii="微软雅黑" w:hAnsi="微软雅黑" w:eastAsia="微软雅黑"/>
          <w:b/>
          <w:spacing w:val="20"/>
          <w:sz w:val="24"/>
        </w:rPr>
      </w:pPr>
    </w:p>
    <w:p w14:paraId="04147210">
      <w:pPr>
        <w:spacing w:line="276" w:lineRule="auto"/>
        <w:ind w:left="1080"/>
        <w:rPr>
          <w:rFonts w:ascii="微软雅黑" w:hAnsi="微软雅黑" w:eastAsia="微软雅黑"/>
          <w:b/>
          <w:spacing w:val="20"/>
          <w:sz w:val="24"/>
        </w:rPr>
      </w:pPr>
    </w:p>
    <w:p w14:paraId="07F41509">
      <w:pPr>
        <w:tabs>
          <w:tab w:val="left" w:pos="1680"/>
        </w:tabs>
        <w:spacing w:line="276" w:lineRule="auto"/>
        <w:ind w:firstLine="1796" w:firstLineChars="397"/>
        <w:rPr>
          <w:rFonts w:hint="eastAsia" w:ascii="微软雅黑" w:hAnsi="微软雅黑" w:eastAsia="微软雅黑"/>
          <w:b/>
          <w:sz w:val="24"/>
          <w:u w:val="single"/>
          <w:lang w:val="en-US" w:eastAsia="zh-CN"/>
        </w:rPr>
      </w:pPr>
      <w:r>
        <w:rPr>
          <w:rFonts w:hint="eastAsia" w:ascii="微软雅黑" w:hAnsi="微软雅黑" w:eastAsia="微软雅黑"/>
          <w:b/>
          <w:spacing w:val="66"/>
          <w:sz w:val="32"/>
          <w:szCs w:val="32"/>
        </w:rPr>
        <w:t>论文题目</w:t>
      </w:r>
      <w:r>
        <w:rPr>
          <w:rFonts w:ascii="微软雅黑" w:hAnsi="微软雅黑" w:eastAsia="微软雅黑"/>
          <w:b/>
          <w:spacing w:val="66"/>
          <w:sz w:val="32"/>
          <w:szCs w:val="32"/>
          <w:u w:val="single"/>
        </w:rPr>
        <w:t xml:space="preserve"> </w:t>
      </w:r>
      <w:r>
        <w:rPr>
          <w:rFonts w:hint="eastAsia" w:ascii="微软雅黑" w:hAnsi="微软雅黑" w:eastAsia="微软雅黑"/>
          <w:b/>
          <w:sz w:val="32"/>
          <w:szCs w:val="32"/>
          <w:u w:val="single"/>
        </w:rPr>
        <w:t>C公司充电桩</w:t>
      </w:r>
      <w:r>
        <w:rPr>
          <w:rFonts w:hint="eastAsia" w:ascii="微软雅黑" w:hAnsi="微软雅黑" w:eastAsia="微软雅黑"/>
          <w:b/>
          <w:sz w:val="32"/>
          <w:szCs w:val="32"/>
          <w:u w:val="single"/>
          <w:lang w:val="en-US" w:eastAsia="zh-CN"/>
        </w:rPr>
        <w:t>选址问题研究</w:t>
      </w:r>
      <w:r>
        <w:rPr>
          <w:rFonts w:ascii="微软雅黑" w:hAnsi="微软雅黑" w:eastAsia="微软雅黑"/>
          <w:b/>
          <w:sz w:val="32"/>
          <w:szCs w:val="32"/>
          <w:u w:val="single"/>
        </w:rPr>
        <w:tab/>
      </w:r>
      <w:r>
        <w:rPr>
          <w:rFonts w:hint="eastAsia" w:ascii="微软雅黑" w:hAnsi="微软雅黑" w:eastAsia="微软雅黑"/>
          <w:b/>
          <w:sz w:val="32"/>
          <w:szCs w:val="32"/>
          <w:u w:val="single"/>
          <w:lang w:val="en-US" w:eastAsia="zh-CN"/>
        </w:rPr>
        <w:tab/>
      </w:r>
    </w:p>
    <w:p w14:paraId="09F1936A">
      <w:pPr>
        <w:tabs>
          <w:tab w:val="left" w:pos="1320"/>
        </w:tabs>
        <w:spacing w:line="276" w:lineRule="auto"/>
        <w:ind w:firstLine="1796" w:firstLineChars="397"/>
        <w:rPr>
          <w:rFonts w:hint="default" w:ascii="微软雅黑" w:hAnsi="微软雅黑" w:eastAsia="微软雅黑"/>
          <w:spacing w:val="66"/>
          <w:sz w:val="32"/>
          <w:szCs w:val="32"/>
          <w:u w:val="single"/>
          <w:lang w:val="en-US" w:eastAsia="zh-CN"/>
        </w:rPr>
      </w:pPr>
      <w:r>
        <w:rPr>
          <w:rFonts w:hint="eastAsia" w:ascii="微软雅黑" w:hAnsi="微软雅黑" w:eastAsia="微软雅黑"/>
          <w:b/>
          <w:spacing w:val="66"/>
          <w:sz w:val="32"/>
          <w:szCs w:val="32"/>
        </w:rPr>
        <w:t xml:space="preserve">学   </w:t>
      </w:r>
      <w:r>
        <w:rPr>
          <w:rFonts w:ascii="微软雅黑" w:hAnsi="微软雅黑" w:eastAsia="微软雅黑"/>
          <w:b/>
          <w:spacing w:val="66"/>
          <w:sz w:val="32"/>
          <w:szCs w:val="32"/>
        </w:rPr>
        <w:t xml:space="preserve">  </w:t>
      </w:r>
      <w:r>
        <w:rPr>
          <w:rFonts w:hint="eastAsia" w:ascii="微软雅黑" w:hAnsi="微软雅黑" w:eastAsia="微软雅黑"/>
          <w:b/>
          <w:spacing w:val="66"/>
          <w:sz w:val="32"/>
          <w:szCs w:val="32"/>
        </w:rPr>
        <w:t>号</w:t>
      </w:r>
      <w:r>
        <w:rPr>
          <w:rFonts w:hint="eastAsia" w:ascii="微软雅黑" w:hAnsi="微软雅黑" w:eastAsia="微软雅黑"/>
          <w:b/>
          <w:spacing w:val="66"/>
          <w:sz w:val="32"/>
          <w:szCs w:val="32"/>
          <w:u w:val="single"/>
        </w:rPr>
        <w:t xml:space="preserve"> </w:t>
      </w:r>
      <w:r>
        <w:rPr>
          <w:rFonts w:ascii="微软雅黑" w:hAnsi="微软雅黑" w:eastAsia="微软雅黑"/>
          <w:b/>
          <w:spacing w:val="66"/>
          <w:sz w:val="32"/>
          <w:szCs w:val="32"/>
          <w:u w:val="single"/>
        </w:rPr>
        <w:t xml:space="preserve">  532024150155</w:t>
      </w:r>
      <w:r>
        <w:rPr>
          <w:rFonts w:ascii="微软雅黑" w:hAnsi="微软雅黑" w:eastAsia="微软雅黑"/>
          <w:b/>
          <w:spacing w:val="66"/>
          <w:sz w:val="32"/>
          <w:szCs w:val="32"/>
          <w:u w:val="single"/>
        </w:rPr>
        <w:tab/>
      </w:r>
      <w:r>
        <w:rPr>
          <w:rFonts w:hint="eastAsia" w:ascii="微软雅黑" w:hAnsi="微软雅黑" w:eastAsia="微软雅黑"/>
          <w:b/>
          <w:spacing w:val="66"/>
          <w:sz w:val="32"/>
          <w:szCs w:val="32"/>
          <w:u w:val="single"/>
          <w:lang w:val="en-US" w:eastAsia="zh-CN"/>
        </w:rPr>
        <w:tab/>
      </w:r>
      <w:r>
        <w:rPr>
          <w:rFonts w:hint="eastAsia" w:ascii="微软雅黑" w:hAnsi="微软雅黑" w:eastAsia="微软雅黑"/>
          <w:b/>
          <w:spacing w:val="66"/>
          <w:sz w:val="32"/>
          <w:szCs w:val="32"/>
          <w:u w:val="single"/>
          <w:lang w:val="en-US" w:eastAsia="zh-CN"/>
        </w:rPr>
        <w:tab/>
      </w:r>
    </w:p>
    <w:p w14:paraId="2AE8BD36">
      <w:pPr>
        <w:spacing w:line="276" w:lineRule="auto"/>
        <w:ind w:firstLine="1796" w:firstLineChars="397"/>
        <w:rPr>
          <w:rFonts w:hint="eastAsia" w:ascii="微软雅黑" w:hAnsi="微软雅黑" w:eastAsia="微软雅黑"/>
          <w:spacing w:val="66"/>
          <w:sz w:val="32"/>
          <w:szCs w:val="32"/>
          <w:u w:val="single"/>
          <w:lang w:val="en-US" w:eastAsia="zh-CN"/>
        </w:rPr>
      </w:pPr>
      <w:r>
        <w:rPr>
          <w:rFonts w:hint="eastAsia" w:ascii="微软雅黑" w:hAnsi="微软雅黑" w:eastAsia="微软雅黑"/>
          <w:b/>
          <w:spacing w:val="66"/>
          <w:sz w:val="32"/>
          <w:szCs w:val="32"/>
        </w:rPr>
        <w:t>作者姓名</w:t>
      </w:r>
      <w:r>
        <w:rPr>
          <w:rFonts w:hint="eastAsia" w:ascii="微软雅黑" w:hAnsi="微软雅黑" w:eastAsia="微软雅黑"/>
          <w:b/>
          <w:spacing w:val="66"/>
          <w:sz w:val="32"/>
          <w:szCs w:val="32"/>
          <w:u w:val="single"/>
        </w:rPr>
        <w:t xml:space="preserve">   </w:t>
      </w:r>
      <w:r>
        <w:rPr>
          <w:rFonts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rPr>
        <w:t>于琮源</w:t>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hint="eastAsia" w:ascii="微软雅黑" w:hAnsi="微软雅黑" w:eastAsia="微软雅黑"/>
          <w:b/>
          <w:spacing w:val="66"/>
          <w:sz w:val="32"/>
          <w:szCs w:val="32"/>
          <w:u w:val="single"/>
          <w:lang w:val="en-US" w:eastAsia="zh-CN"/>
        </w:rPr>
        <w:tab/>
      </w:r>
    </w:p>
    <w:p w14:paraId="6AA59FF2">
      <w:pPr>
        <w:tabs>
          <w:tab w:val="left" w:pos="1320"/>
        </w:tabs>
        <w:spacing w:line="276" w:lineRule="auto"/>
        <w:ind w:firstLine="1796" w:firstLineChars="397"/>
        <w:rPr>
          <w:rFonts w:hint="eastAsia" w:ascii="微软雅黑" w:hAnsi="微软雅黑" w:eastAsia="微软雅黑"/>
          <w:b/>
          <w:spacing w:val="66"/>
          <w:sz w:val="32"/>
          <w:szCs w:val="32"/>
          <w:u w:val="single"/>
          <w:lang w:val="en-US" w:eastAsia="zh-CN"/>
        </w:rPr>
      </w:pPr>
      <w:r>
        <w:rPr>
          <w:rFonts w:hint="eastAsia" w:ascii="微软雅黑" w:hAnsi="微软雅黑" w:eastAsia="微软雅黑"/>
          <w:b/>
          <w:spacing w:val="66"/>
          <w:sz w:val="32"/>
          <w:szCs w:val="32"/>
        </w:rPr>
        <w:t>专业名称</w:t>
      </w:r>
      <w:r>
        <w:rPr>
          <w:rFonts w:hint="eastAsia" w:ascii="微软雅黑" w:hAnsi="微软雅黑" w:eastAsia="微软雅黑"/>
          <w:b/>
          <w:spacing w:val="66"/>
          <w:sz w:val="32"/>
          <w:szCs w:val="32"/>
          <w:u w:val="single"/>
        </w:rPr>
        <w:t xml:space="preserve">   </w:t>
      </w:r>
      <w:r>
        <w:rPr>
          <w:rFonts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rPr>
        <w:t xml:space="preserve">工程管理 </w:t>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hint="eastAsia" w:ascii="微软雅黑" w:hAnsi="微软雅黑" w:eastAsia="微软雅黑"/>
          <w:b/>
          <w:spacing w:val="66"/>
          <w:sz w:val="32"/>
          <w:szCs w:val="32"/>
          <w:u w:val="single"/>
          <w:lang w:val="en-US" w:eastAsia="zh-CN"/>
        </w:rPr>
        <w:tab/>
      </w:r>
    </w:p>
    <w:p w14:paraId="69395A4C">
      <w:pPr>
        <w:tabs>
          <w:tab w:val="left" w:pos="1320"/>
        </w:tabs>
        <w:spacing w:line="276" w:lineRule="auto"/>
        <w:ind w:firstLine="1791" w:firstLineChars="396"/>
        <w:rPr>
          <w:rFonts w:hint="default" w:ascii="微软雅黑" w:hAnsi="微软雅黑" w:eastAsia="微软雅黑"/>
          <w:spacing w:val="66"/>
          <w:sz w:val="32"/>
          <w:szCs w:val="32"/>
          <w:u w:val="single"/>
          <w:lang w:val="en-US" w:eastAsia="zh-CN"/>
        </w:rPr>
      </w:pPr>
      <w:r>
        <w:rPr>
          <w:rFonts w:hint="eastAsia" w:ascii="微软雅黑" w:hAnsi="微软雅黑" w:eastAsia="微软雅黑"/>
          <w:b/>
          <w:spacing w:val="66"/>
          <w:sz w:val="32"/>
          <w:szCs w:val="32"/>
        </w:rPr>
        <w:t>研究方向</w:t>
      </w:r>
      <w:r>
        <w:rPr>
          <w:rFonts w:hint="eastAsia" w:ascii="微软雅黑" w:hAnsi="微软雅黑" w:eastAsia="微软雅黑"/>
          <w:b/>
          <w:spacing w:val="66"/>
          <w:sz w:val="32"/>
          <w:szCs w:val="32"/>
          <w:u w:val="single"/>
        </w:rPr>
        <w:t xml:space="preserve">  </w:t>
      </w:r>
      <w:r>
        <w:rPr>
          <w:rFonts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rPr>
        <w:t>项目管理</w:t>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hint="eastAsia" w:ascii="微软雅黑" w:hAnsi="微软雅黑" w:eastAsia="微软雅黑"/>
          <w:b/>
          <w:spacing w:val="66"/>
          <w:sz w:val="32"/>
          <w:szCs w:val="32"/>
          <w:u w:val="single"/>
          <w:lang w:val="en-US" w:eastAsia="zh-CN"/>
        </w:rPr>
        <w:tab/>
      </w:r>
      <w:r>
        <w:rPr>
          <w:rFonts w:hint="eastAsia" w:ascii="微软雅黑" w:hAnsi="微软雅黑" w:eastAsia="微软雅黑"/>
          <w:b/>
          <w:spacing w:val="66"/>
          <w:sz w:val="32"/>
          <w:szCs w:val="32"/>
          <w:u w:val="single"/>
          <w:lang w:val="en-US" w:eastAsia="zh-CN"/>
        </w:rPr>
        <w:tab/>
      </w:r>
    </w:p>
    <w:p w14:paraId="2FA0429D">
      <w:pPr>
        <w:tabs>
          <w:tab w:val="left" w:pos="1320"/>
        </w:tabs>
        <w:spacing w:line="276" w:lineRule="auto"/>
        <w:ind w:firstLine="1796" w:firstLineChars="397"/>
        <w:rPr>
          <w:rFonts w:hint="eastAsia" w:ascii="微软雅黑" w:hAnsi="微软雅黑" w:eastAsia="微软雅黑"/>
          <w:spacing w:val="66"/>
          <w:sz w:val="32"/>
          <w:szCs w:val="32"/>
          <w:u w:val="single"/>
          <w:lang w:val="en-US" w:eastAsia="zh-CN"/>
        </w:rPr>
      </w:pPr>
      <w:r>
        <w:rPr>
          <w:rFonts w:hint="eastAsia" w:ascii="微软雅黑" w:hAnsi="微软雅黑" w:eastAsia="微软雅黑"/>
          <w:b/>
          <w:spacing w:val="66"/>
          <w:sz w:val="32"/>
          <w:szCs w:val="32"/>
        </w:rPr>
        <w:t>指导教师</w:t>
      </w:r>
      <w:r>
        <w:rPr>
          <w:rFonts w:hint="eastAsia" w:ascii="微软雅黑" w:hAnsi="微软雅黑" w:eastAsia="微软雅黑"/>
          <w:b/>
          <w:spacing w:val="66"/>
          <w:sz w:val="32"/>
          <w:szCs w:val="32"/>
          <w:u w:val="single"/>
        </w:rPr>
        <w:t xml:space="preserve">   </w:t>
      </w:r>
      <w:r>
        <w:rPr>
          <w:rFonts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rPr>
        <w:t>赵</w:t>
      </w:r>
      <w:r>
        <w:rPr>
          <w:rFonts w:hint="eastAsia" w:ascii="微软雅黑" w:hAnsi="微软雅黑" w:eastAsia="微软雅黑"/>
          <w:b/>
          <w:spacing w:val="66"/>
          <w:sz w:val="32"/>
          <w:szCs w:val="32"/>
          <w:u w:val="single"/>
          <w:lang w:val="en-US" w:eastAsia="zh-CN"/>
        </w:rPr>
        <w:t>佳</w:t>
      </w:r>
      <w:r>
        <w:rPr>
          <w:rFonts w:hint="eastAsia" w:ascii="微软雅黑" w:hAnsi="微软雅黑" w:eastAsia="微软雅黑"/>
          <w:b/>
          <w:spacing w:val="66"/>
          <w:sz w:val="32"/>
          <w:szCs w:val="32"/>
          <w:u w:val="single"/>
        </w:rPr>
        <w:t>宝</w:t>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ascii="微软雅黑" w:hAnsi="微软雅黑" w:eastAsia="微软雅黑"/>
          <w:b/>
          <w:spacing w:val="66"/>
          <w:sz w:val="32"/>
          <w:szCs w:val="32"/>
          <w:u w:val="single"/>
        </w:rPr>
        <w:tab/>
      </w:r>
      <w:r>
        <w:rPr>
          <w:rFonts w:hint="eastAsia" w:ascii="微软雅黑" w:hAnsi="微软雅黑" w:eastAsia="微软雅黑"/>
          <w:b/>
          <w:spacing w:val="66"/>
          <w:sz w:val="32"/>
          <w:szCs w:val="32"/>
          <w:u w:val="single"/>
          <w:lang w:val="en-US" w:eastAsia="zh-CN"/>
        </w:rPr>
        <w:tab/>
      </w:r>
    </w:p>
    <w:p w14:paraId="15DD578F">
      <w:pPr>
        <w:spacing w:line="276" w:lineRule="auto"/>
        <w:rPr>
          <w:rFonts w:ascii="微软雅黑" w:hAnsi="微软雅黑" w:eastAsia="微软雅黑"/>
          <w:sz w:val="44"/>
          <w:szCs w:val="44"/>
        </w:rPr>
      </w:pPr>
    </w:p>
    <w:p w14:paraId="0040FF81">
      <w:pPr>
        <w:spacing w:line="276" w:lineRule="auto"/>
        <w:rPr>
          <w:rFonts w:ascii="微软雅黑" w:hAnsi="微软雅黑" w:eastAsia="微软雅黑"/>
          <w:sz w:val="44"/>
          <w:szCs w:val="44"/>
        </w:rPr>
      </w:pPr>
    </w:p>
    <w:p w14:paraId="1023AFED">
      <w:pPr>
        <w:spacing w:line="276" w:lineRule="auto"/>
        <w:jc w:val="center"/>
        <w:rPr>
          <w:rFonts w:ascii="微软雅黑" w:hAnsi="微软雅黑" w:eastAsia="微软雅黑"/>
          <w:b/>
          <w:sz w:val="32"/>
          <w:szCs w:val="32"/>
        </w:rPr>
      </w:pPr>
      <w:r>
        <w:rPr>
          <w:rFonts w:hint="eastAsia" w:ascii="微软雅黑" w:hAnsi="微软雅黑" w:eastAsia="微软雅黑"/>
          <w:b/>
          <w:sz w:val="32"/>
          <w:szCs w:val="32"/>
        </w:rPr>
        <w:t xml:space="preserve">二零二五 年 </w:t>
      </w:r>
      <w:r>
        <w:rPr>
          <w:rFonts w:hint="eastAsia" w:ascii="微软雅黑" w:hAnsi="微软雅黑" w:eastAsia="微软雅黑"/>
          <w:b/>
          <w:sz w:val="32"/>
          <w:szCs w:val="32"/>
          <w:lang w:val="en-US" w:eastAsia="zh-CN"/>
        </w:rPr>
        <w:t>11</w:t>
      </w:r>
      <w:r>
        <w:rPr>
          <w:rFonts w:hint="eastAsia" w:ascii="微软雅黑" w:hAnsi="微软雅黑" w:eastAsia="微软雅黑"/>
          <w:b/>
          <w:sz w:val="32"/>
          <w:szCs w:val="32"/>
        </w:rPr>
        <w:t xml:space="preserve"> 月 </w:t>
      </w:r>
      <w:r>
        <w:rPr>
          <w:rFonts w:hint="eastAsia" w:ascii="微软雅黑" w:hAnsi="微软雅黑" w:eastAsia="微软雅黑"/>
          <w:b/>
          <w:sz w:val="32"/>
          <w:szCs w:val="32"/>
          <w:lang w:val="en-US" w:eastAsia="zh-CN"/>
        </w:rPr>
        <w:t>30</w:t>
      </w:r>
      <w:r>
        <w:rPr>
          <w:rFonts w:hint="eastAsia" w:ascii="微软雅黑" w:hAnsi="微软雅黑" w:eastAsia="微软雅黑"/>
          <w:b/>
          <w:sz w:val="32"/>
          <w:szCs w:val="32"/>
        </w:rPr>
        <w:t xml:space="preserve"> 日</w:t>
      </w:r>
    </w:p>
    <w:p w14:paraId="198FCE19">
      <w:pPr>
        <w:keepNext/>
        <w:keepLines w:val="0"/>
        <w:widowControl w:val="0"/>
        <w:adjustRightInd w:val="0"/>
        <w:jc w:val="left"/>
        <w:outlineLvl w:val="9"/>
        <w:rPr>
          <w:rFonts w:ascii="Times New Roman" w:hAnsi="Times New Roman" w:eastAsia="黑体" w:cs="Times New Roman"/>
          <w:kern w:val="44"/>
          <w:sz w:val="28"/>
          <w:szCs w:val="28"/>
          <w:lang w:bidi="ar-SA"/>
        </w:rPr>
        <w:sectPr>
          <w:headerReference r:id="rId3" w:type="default"/>
          <w:footerReference r:id="rId4" w:type="default"/>
          <w:pgSz w:w="11906" w:h="16838"/>
          <w:pgMar w:top="1440" w:right="1266" w:bottom="1440" w:left="1180" w:header="851" w:footer="992" w:gutter="0"/>
          <w:cols w:space="720" w:num="1"/>
          <w:docGrid w:type="lines" w:linePitch="312" w:charSpace="0"/>
        </w:sectPr>
      </w:pPr>
    </w:p>
    <w:p w14:paraId="157F1887">
      <w:pPr>
        <w:pStyle w:val="2"/>
        <w:keepNext/>
        <w:numPr>
          <w:ilvl w:val="0"/>
          <w:numId w:val="1"/>
        </w:numPr>
        <w:topLinePunct w:val="0"/>
        <w:ind w:left="0" w:leftChars="0" w:firstLine="0" w:firstLineChars="0"/>
        <w:rPr>
          <w:rFonts w:hint="eastAsia" w:ascii="黑体" w:hAnsi="黑体" w:eastAsia="黑体" w:cs="黑体"/>
          <w:b w:val="0"/>
        </w:rPr>
      </w:pPr>
      <w:r>
        <w:t>选题依据</w:t>
      </w:r>
    </w:p>
    <w:p w14:paraId="292FA7EC">
      <w:pPr>
        <w:pStyle w:val="3"/>
        <w:keepNext/>
        <w:numPr>
          <w:ilvl w:val="0"/>
          <w:numId w:val="2"/>
        </w:numPr>
        <w:topLinePunct w:val="0"/>
        <w:ind w:left="0" w:leftChars="0" w:firstLine="0" w:firstLineChars="0"/>
        <w:rPr>
          <w:rFonts w:hint="eastAsia" w:ascii="黑体" w:hAnsi="黑体" w:eastAsia="黑体" w:cs="黑体"/>
          <w:b w:val="0"/>
        </w:rPr>
      </w:pPr>
      <w:r>
        <w:t>课题来源</w:t>
      </w:r>
    </w:p>
    <w:p w14:paraId="6995C289">
      <w:pPr>
        <w:pStyle w:val="11"/>
        <w:rPr>
          <w:b w:val="0"/>
        </w:rPr>
      </w:pPr>
      <w:r>
        <w:rPr>
          <w:b/>
        </w:rPr>
        <w:t>企业困境：</w:t>
      </w:r>
      <w:r>
        <w:rPr>
          <w:b w:val="0"/>
        </w:rPr>
        <w:t>C公司于南京、深圳、徐州三地进行社区充电桩布局时，因选址工作完全依托经验判断，缺乏系统化、科学化的方法体系支撑，引发了三大核心问题：其一，安装成本因选址差异而出现显著波动，难以达成成本的精准管控；其二，运营效率欠佳，基于经验的选址可能无法实现用户需求与场地条件的最优匹配，对设备利用率和服务质量产生不利影响；其三，投资回收周期延长，成本的不可控与运营效率的低下共同作用，直接致使投资回报速度减缓，对企业的扩张进程和盈利能力形成制约。</w:t>
      </w:r>
    </w:p>
    <w:p w14:paraId="76A3D3D9">
      <w:pPr>
        <w:pStyle w:val="11"/>
      </w:pPr>
      <w:r>
        <w:rPr>
          <w:b/>
        </w:rPr>
        <w:t>宏观环境：</w:t>
      </w:r>
      <w:r>
        <w:rPr>
          <w:b w:val="0"/>
        </w:rPr>
        <w:t>随着我国城市化推进，城市人口密度增大，居民短途出行需求强，电动自行车因经济、便捷、灵活，成为日常出行重要工具，保有量快速增长，充电设施需求迫切。但当前城市社区充电设施配套滞后，居民“私拉乱接”充电引发火灾频发，威胁公共安全。国家及地方政府高度关注，出台政策加强和规范充电基础设施规划建设，将其纳入公共安全治理和民生工程。同时，低空经济等发展推动城市基础设施升级，为社区充电设施优化营造有利条件。在此背景下，科学规划和建设社区电动自行车充电设施，是满足民生、响应政策、保障安全、推动城市可持续发展的重要举措。</w:t>
      </w:r>
    </w:p>
    <w:p w14:paraId="0ABD2F7C">
      <w:pPr>
        <w:pStyle w:val="3"/>
        <w:keepNext/>
        <w:numPr>
          <w:ilvl w:val="0"/>
          <w:numId w:val="2"/>
        </w:numPr>
        <w:topLinePunct w:val="0"/>
        <w:ind w:left="0" w:leftChars="0" w:firstLine="0" w:firstLineChars="0"/>
        <w:rPr>
          <w:rFonts w:hint="eastAsia" w:ascii="黑体" w:hAnsi="黑体" w:eastAsia="黑体" w:cs="黑体"/>
          <w:b w:val="0"/>
        </w:rPr>
      </w:pPr>
      <w:r>
        <w:t>现状分析</w:t>
      </w:r>
    </w:p>
    <w:p w14:paraId="27BE907F">
      <w:pPr>
        <w:pStyle w:val="4"/>
        <w:keepNext/>
        <w:numPr>
          <w:ilvl w:val="0"/>
          <w:numId w:val="3"/>
        </w:numPr>
        <w:topLinePunct w:val="0"/>
        <w:ind w:left="0" w:leftChars="0" w:firstLine="0" w:firstLineChars="0"/>
        <w:rPr>
          <w:rFonts w:hint="eastAsia" w:ascii="黑体" w:hAnsi="黑体" w:eastAsia="黑体" w:cs="黑体"/>
          <w:b w:val="0"/>
        </w:rPr>
      </w:pPr>
      <w:r>
        <w:t>缺乏统一的选址模型</w:t>
      </w:r>
    </w:p>
    <w:p w14:paraId="0397B68E">
      <w:pPr>
        <w:pStyle w:val="11"/>
      </w:pPr>
      <w:r>
        <w:t>企业开展业务扩张或新网点布局时，面临选址决策缺乏系统与标准化框架难题。不同区域、业务线选址依赖经验判断或零散数据分析，致选址标准不一、关键因素考量不全。如部分区域选址过度关注租金，忽略客流量等核心要素；部分区域缺乏对政策、市场调研，选址后运营困难。缺乏统一选址模型，使企业难横向比较、科学决策，增加选址风险、降低资源配置效率，制约企业扩张战略实施。</w:t>
      </w:r>
    </w:p>
    <w:p w14:paraId="5B22406E">
      <w:pPr>
        <w:pStyle w:val="4"/>
        <w:keepNext/>
        <w:numPr>
          <w:ilvl w:val="0"/>
          <w:numId w:val="3"/>
        </w:numPr>
        <w:topLinePunct w:val="0"/>
        <w:ind w:left="0" w:leftChars="0" w:firstLine="0" w:firstLineChars="0"/>
        <w:rPr>
          <w:rFonts w:hint="eastAsia" w:ascii="黑体" w:hAnsi="黑体" w:eastAsia="黑体" w:cs="黑体"/>
          <w:b w:val="0"/>
        </w:rPr>
      </w:pPr>
      <w:r>
        <w:t>成本构成不统一</w:t>
      </w:r>
    </w:p>
    <w:p w14:paraId="106E3525">
      <w:pPr>
        <w:pStyle w:val="11"/>
      </w:pPr>
      <w:r>
        <w:t>不同城市，甚至相同地区的不同社区，成本都是有所区别的。企业于成本管理领域存在核算口径、方法以及范围不一致的情况。不同部门或业务单元在开展成本核算工作时，或许会采用相异的成本归集模式与分摊标准，进而致使成本数据缺乏可比性与精确性。例如，部分部门将间接费用悉数归入固定成本，而其他部门则运用变动成本法进行分摊；在扩张项目的成本测算进程中，部分项目可能未将装修折旧、人员培训、后期维护等隐性成本纳入考量，仅核算了初始投资与租金等显性成本。这种成本核算的不统一现象，使企业管理层难以精准把握各业务单元的实际成本水平与盈利状况，无法为投资决策、资源分配以及绩效考核提供可靠的数据支撑，极易造成成本失控或投资回报未达预期。</w:t>
      </w:r>
    </w:p>
    <w:p w14:paraId="04F1899E">
      <w:pPr>
        <w:pStyle w:val="4"/>
        <w:keepNext/>
        <w:numPr>
          <w:ilvl w:val="0"/>
          <w:numId w:val="3"/>
        </w:numPr>
        <w:topLinePunct w:val="0"/>
        <w:ind w:left="0" w:leftChars="0" w:firstLine="0" w:firstLineChars="0"/>
        <w:rPr>
          <w:rFonts w:hint="eastAsia" w:ascii="黑体" w:hAnsi="黑体" w:eastAsia="黑体" w:cs="黑体"/>
          <w:b w:val="0"/>
        </w:rPr>
      </w:pPr>
      <w:r>
        <w:t>难以复制扩张</w:t>
      </w:r>
    </w:p>
    <w:p w14:paraId="68C9DCC8">
      <w:pPr>
        <w:pStyle w:val="11"/>
      </w:pPr>
      <w:r>
        <w:t>企业制定扩张战略时，面临对扩张目标、路径和预期效益量化评估与复制难题。扩张决策常依赖定性描述或模糊目标设定，缺具体可衡量指标体系。如企业提出“未来三年区域扩张”，却未明确城市数量、门店规模、市场份额提升幅度等量化目标；评估扩张可行性时，难对投资回报率、市场渗透率、风险水平等精准赋值与比较。这种情况使扩张计划缺明确方向与可操作性，无法指导资源投入与进度管控，难对扩张效果事后评估与优化调整，可能致扩张盲目无序，无法达成战略目标。</w:t>
      </w:r>
    </w:p>
    <w:p w14:paraId="75D84010">
      <w:pPr>
        <w:ind w:firstLine="420" w:firstLineChars="0"/>
        <w:rPr>
          <w:rFonts w:hint="eastAsia"/>
        </w:rPr>
      </w:pPr>
    </w:p>
    <w:p w14:paraId="277B7B27">
      <w:pPr>
        <w:pStyle w:val="3"/>
        <w:keepNext/>
        <w:numPr>
          <w:ilvl w:val="0"/>
          <w:numId w:val="2"/>
        </w:numPr>
        <w:topLinePunct w:val="0"/>
        <w:ind w:left="0" w:leftChars="0" w:firstLine="0" w:firstLineChars="0"/>
        <w:rPr>
          <w:rFonts w:hint="eastAsia" w:ascii="黑体" w:hAnsi="黑体" w:eastAsia="黑体" w:cs="黑体"/>
          <w:b w:val="0"/>
        </w:rPr>
      </w:pPr>
      <w:r>
        <w:t>课题的研究意义</w:t>
      </w:r>
    </w:p>
    <w:p w14:paraId="0A642FA2">
      <w:pPr>
        <w:pStyle w:val="11"/>
        <w:widowControl/>
      </w:pPr>
      <w:r>
        <w:t>理论意义：补充社区电动自行车充电基础设施选址方面的研究，丰富设施选址与成本管理的理论体系。</w:t>
      </w:r>
    </w:p>
    <w:p w14:paraId="6B5C227F">
      <w:pPr>
        <w:pStyle w:val="11"/>
        <w:widowControl/>
      </w:pPr>
      <w:r>
        <w:t>实践意义：通过对 C 公司现有三地站点的总结，形成可复用的选址方法；构建标准化的安装与维护成本分析体系，提升投资效率；为公司后续城市扩张提供科学依据。</w:t>
      </w:r>
    </w:p>
    <w:p w14:paraId="7F02D6AC">
      <w:pPr>
        <w:pStyle w:val="3"/>
        <w:keepNext/>
        <w:numPr>
          <w:ilvl w:val="0"/>
          <w:numId w:val="2"/>
        </w:numPr>
        <w:topLinePunct w:val="0"/>
        <w:ind w:left="0" w:leftChars="0" w:firstLine="0" w:firstLineChars="0"/>
        <w:rPr>
          <w:rFonts w:hint="eastAsia" w:ascii="黑体" w:hAnsi="黑体" w:eastAsia="黑体" w:cs="黑体"/>
          <w:b w:val="0"/>
        </w:rPr>
      </w:pPr>
      <w:r>
        <w:rPr>
          <w:b w:val="0"/>
          <w:bCs w:val="0"/>
          <w:sz w:val="28"/>
          <w:szCs w:val="28"/>
        </w:rPr>
        <w:t>主要参考文献</w:t>
      </w:r>
    </w:p>
    <w:p w14:paraId="5F5341EA">
      <w:pPr>
        <w:keepNext w:val="0"/>
        <w:keepLines w:val="0"/>
        <w:widowControl/>
        <w:suppressLineNumbers w:val="0"/>
        <w:ind w:firstLine="420" w:firstLineChars="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本研究将系统性地分析近年来关于</w:t>
      </w:r>
      <w:r>
        <w:rPr>
          <w:rFonts w:hint="eastAsia" w:ascii="宋体" w:hAnsi="宋体" w:eastAsia="宋体" w:cs="宋体"/>
          <w:color w:val="000000"/>
          <w:kern w:val="0"/>
          <w:sz w:val="28"/>
          <w:szCs w:val="28"/>
          <w:lang w:val="en-US" w:eastAsia="zh-CN" w:bidi="ar"/>
        </w:rPr>
        <w:t>电动车充电站设施选址优化、成本建模方法以及多城市充电站比较</w:t>
      </w:r>
      <w:r>
        <w:rPr>
          <w:rFonts w:ascii="宋体" w:hAnsi="宋体" w:eastAsia="宋体" w:cs="宋体"/>
          <w:color w:val="000000"/>
          <w:kern w:val="0"/>
          <w:sz w:val="28"/>
          <w:szCs w:val="28"/>
          <w:lang w:val="en-US" w:eastAsia="zh-CN" w:bidi="ar"/>
        </w:rPr>
        <w:t>的文献。</w:t>
      </w:r>
    </w:p>
    <w:p w14:paraId="42D9FC6F">
      <w:pPr>
        <w:pStyle w:val="4"/>
        <w:keepNext w:val="0"/>
        <w:keepLines w:val="0"/>
        <w:widowControl/>
        <w:suppressLineNumbers w:val="0"/>
      </w:pPr>
      <w:r>
        <w:rPr>
          <w:b/>
          <w:bCs/>
        </w:rPr>
        <w:t>1. 电动车充电站设施选址优化</w:t>
      </w:r>
    </w:p>
    <w:p w14:paraId="65D6157C">
      <w:pPr>
        <w:pStyle w:val="15"/>
        <w:keepNext w:val="0"/>
        <w:keepLines w:val="0"/>
        <w:widowControl/>
        <w:suppressLineNumbers w:val="0"/>
        <w:spacing w:before="0" w:beforeAutospacing="1" w:after="0" w:afterAutospacing="1"/>
        <w:ind w:left="0" w:right="0" w:firstLine="420" w:firstLineChars="0"/>
      </w:pPr>
      <w:r>
        <w:t>近年来，关于电动车充电站设施选址的研究逐渐从单一因素考量发展为多因素综合决策模型。相关文献普遍强调交通流量、居民人口密度、用电负荷、用地限制及政策导向等因素的重要性</w:t>
      </w:r>
      <w:r>
        <w:rPr>
          <w:rFonts w:hint="default"/>
          <w:vertAlign w:val="superscript"/>
          <w:lang w:val="en-US" w:eastAsia="zh-CN"/>
        </w:rPr>
        <w:t>[</w:t>
      </w:r>
      <w:r>
        <w:rPr>
          <w:rFonts w:hint="eastAsia"/>
          <w:vertAlign w:val="superscript"/>
          <w:lang w:val="en-US" w:eastAsia="zh-CN"/>
        </w:rPr>
        <w:t>1</w:t>
      </w:r>
      <w:r>
        <w:rPr>
          <w:rFonts w:hint="default"/>
          <w:vertAlign w:val="superscript"/>
          <w:lang w:val="en-US" w:eastAsia="zh-CN"/>
        </w:rPr>
        <w:t>][</w:t>
      </w:r>
      <w:r>
        <w:rPr>
          <w:rFonts w:hint="eastAsia"/>
          <w:vertAlign w:val="superscript"/>
          <w:lang w:val="en-US" w:eastAsia="zh-CN"/>
        </w:rPr>
        <w:t>6</w:t>
      </w:r>
      <w:r>
        <w:rPr>
          <w:rFonts w:hint="default"/>
          <w:vertAlign w:val="superscript"/>
          <w:lang w:val="en-US" w:eastAsia="zh-CN"/>
        </w:rPr>
        <w:t>]</w:t>
      </w:r>
      <w:r>
        <w:t>。研究方法从传统的层次分析法（AHP）、多准则决策（MCDM）逐步扩展至启发式算法（如遗传算法、粒子群算法）、多目标规划以及机器学习辅助选址模型。部分研究还引入时空数据，将充电需求的动态变化纳入分析，以提升选址方案对高峰需求的适应性</w:t>
      </w:r>
      <w:r>
        <w:rPr>
          <w:rFonts w:hint="default" w:asciiTheme="minorEastAsia" w:hAnsiTheme="minorEastAsia" w:eastAsiaTheme="minorEastAsia" w:cstheme="minorEastAsia"/>
          <w:vertAlign w:val="superscript"/>
          <w:lang w:val="en-US" w:eastAsia="zh-CN"/>
        </w:rPr>
        <w:t>[2][4][1</w:t>
      </w:r>
      <w:r>
        <w:rPr>
          <w:rFonts w:hint="eastAsia" w:asciiTheme="minorEastAsia" w:hAnsiTheme="minorEastAsia" w:eastAsiaTheme="minorEastAsia" w:cstheme="minorEastAsia"/>
          <w:vertAlign w:val="superscript"/>
          <w:lang w:val="en-US" w:eastAsia="zh-CN"/>
        </w:rPr>
        <w:t>2</w:t>
      </w:r>
      <w:r>
        <w:rPr>
          <w:rFonts w:hint="default" w:asciiTheme="minorEastAsia" w:hAnsiTheme="minorEastAsia" w:eastAsiaTheme="minorEastAsia" w:cstheme="minorEastAsia"/>
          <w:vertAlign w:val="superscript"/>
          <w:lang w:val="en-US" w:eastAsia="zh-CN"/>
        </w:rPr>
        <w:t>]</w:t>
      </w:r>
      <w:r>
        <w:rPr>
          <w:rFonts w:hint="eastAsia" w:asciiTheme="minorEastAsia" w:hAnsiTheme="minorEastAsia" w:eastAsiaTheme="minorEastAsia" w:cstheme="minorEastAsia"/>
          <w:vertAlign w:val="baseline"/>
          <w:lang w:eastAsia="zh-CN"/>
        </w:rPr>
        <w:t>，</w:t>
      </w:r>
      <w:r>
        <w:rPr>
          <w:rFonts w:hint="eastAsia" w:asciiTheme="minorEastAsia" w:hAnsiTheme="minorEastAsia" w:eastAsiaTheme="minorEastAsia" w:cstheme="minorEastAsia"/>
          <w:vertAlign w:val="baseline"/>
          <w:lang w:val="en-US" w:eastAsia="zh-CN"/>
        </w:rPr>
        <w:t>但是现在研究多聚焦于汽车充电站，缺少电动自行车充电站社区场景</w:t>
      </w:r>
      <w:r>
        <w:t>。</w:t>
      </w:r>
    </w:p>
    <w:p w14:paraId="23270813">
      <w:pPr>
        <w:pStyle w:val="4"/>
        <w:keepNext w:val="0"/>
        <w:keepLines w:val="0"/>
        <w:widowControl/>
        <w:suppressLineNumbers w:val="0"/>
      </w:pPr>
      <w:r>
        <w:rPr>
          <w:b/>
          <w:bCs/>
        </w:rPr>
        <w:t>2. 成本建模方法</w:t>
      </w:r>
    </w:p>
    <w:p w14:paraId="4BDCD456">
      <w:pPr>
        <w:pStyle w:val="15"/>
        <w:keepNext w:val="0"/>
        <w:keepLines w:val="0"/>
        <w:widowControl/>
        <w:suppressLineNumbers w:val="0"/>
        <w:spacing w:before="0" w:beforeAutospacing="1" w:after="0" w:afterAutospacing="1"/>
        <w:ind w:left="0" w:right="0" w:firstLine="420" w:firstLineChars="0"/>
        <w:rPr>
          <w:rFonts w:hint="default" w:eastAsia="宋体"/>
          <w:lang w:val="en-US" w:eastAsia="zh-CN"/>
        </w:rPr>
      </w:pPr>
      <w:r>
        <w:t>成本建模相关文献通常从建设成本、运营成本、维护成本和折旧等多个维度进行分析。早期研究多采用成本加成法、生命周期成本（LCC）模型</w:t>
      </w:r>
      <w:r>
        <w:rPr>
          <w:rFonts w:hint="default"/>
          <w:vertAlign w:val="superscript"/>
          <w:lang w:val="en-US" w:eastAsia="zh-CN"/>
        </w:rPr>
        <w:t>[14][</w:t>
      </w:r>
      <w:r>
        <w:rPr>
          <w:rFonts w:hint="eastAsia"/>
          <w:vertAlign w:val="superscript"/>
          <w:lang w:val="en-US" w:eastAsia="zh-CN"/>
        </w:rPr>
        <w:t>19</w:t>
      </w:r>
      <w:r>
        <w:rPr>
          <w:rFonts w:hint="default"/>
          <w:vertAlign w:val="superscript"/>
          <w:lang w:val="en-US" w:eastAsia="zh-CN"/>
        </w:rPr>
        <w:t>]</w:t>
      </w:r>
      <w:r>
        <w:t>，对固定成本和可变成本进行定量估算。近期研究则更多结合回归模型、成本结构分解、随机森林等方法，对影响成本的关键因子（如设备故障率、利用率、峰谷电价策略）进行识别和量化</w:t>
      </w:r>
      <w:r>
        <w:rPr>
          <w:rFonts w:hint="default"/>
          <w:vertAlign w:val="superscript"/>
          <w:lang w:val="en-US"/>
        </w:rPr>
        <w:t>[</w:t>
      </w:r>
      <w:r>
        <w:rPr>
          <w:rFonts w:hint="eastAsia"/>
          <w:vertAlign w:val="superscript"/>
          <w:lang w:val="en-US" w:eastAsia="zh-CN"/>
        </w:rPr>
        <w:t>2</w:t>
      </w:r>
      <w:r>
        <w:rPr>
          <w:rFonts w:hint="default"/>
          <w:vertAlign w:val="superscript"/>
          <w:lang w:val="en-US" w:eastAsia="zh-CN"/>
        </w:rPr>
        <w:t>6]</w:t>
      </w:r>
      <w:r>
        <w:t>。一些文献还探索了基于大数据的成本预测模型，将历史运行数据、环境因素和用户行为模式纳入成本预测体系，以提高成本建模的精度和前瞻性。</w:t>
      </w:r>
    </w:p>
    <w:p w14:paraId="6FFAE3ED">
      <w:pPr>
        <w:pStyle w:val="4"/>
        <w:keepNext w:val="0"/>
        <w:keepLines w:val="0"/>
        <w:widowControl/>
        <w:suppressLineNumbers w:val="0"/>
      </w:pPr>
      <w:r>
        <w:rPr>
          <w:b/>
          <w:bCs/>
        </w:rPr>
        <w:t>3. 多城市充电站比较</w:t>
      </w:r>
    </w:p>
    <w:p w14:paraId="46041081">
      <w:pPr>
        <w:pStyle w:val="15"/>
        <w:keepNext w:val="0"/>
        <w:keepLines w:val="0"/>
        <w:widowControl/>
        <w:suppressLineNumbers w:val="0"/>
        <w:spacing w:before="0" w:beforeAutospacing="1" w:after="0" w:afterAutospacing="1"/>
        <w:ind w:left="0" w:right="0" w:firstLine="420" w:firstLineChars="0"/>
      </w:pPr>
      <w:r>
        <w:t>多城市比较的研究主要聚焦于不同城市在交通结构、社会需求、政策环境、城市密度及能源结构方面的差异对充电设施建设的影响</w:t>
      </w:r>
      <w:r>
        <w:rPr>
          <w:rFonts w:hint="default"/>
          <w:vertAlign w:val="superscript"/>
          <w:lang w:val="en-US" w:eastAsia="zh-CN"/>
        </w:rPr>
        <w:t>[</w:t>
      </w:r>
      <w:r>
        <w:rPr>
          <w:rFonts w:hint="eastAsia"/>
          <w:vertAlign w:val="superscript"/>
          <w:lang w:val="en-US" w:eastAsia="zh-CN"/>
        </w:rPr>
        <w:t>4</w:t>
      </w:r>
      <w:r>
        <w:rPr>
          <w:rFonts w:hint="default"/>
          <w:vertAlign w:val="superscript"/>
          <w:lang w:val="en-US" w:eastAsia="zh-CN"/>
        </w:rPr>
        <w:t>]</w:t>
      </w:r>
      <w:r>
        <w:t>。相关文献通过跨城市数据对比，揭示不同城市在充电桩建设密度、车桩比、运营效率和盈利模式上的显著差异</w:t>
      </w:r>
      <w:r>
        <w:rPr>
          <w:rFonts w:hint="default"/>
          <w:vertAlign w:val="superscript"/>
          <w:lang w:val="en-US" w:eastAsia="zh-CN"/>
        </w:rPr>
        <w:t>[</w:t>
      </w:r>
      <w:r>
        <w:rPr>
          <w:rFonts w:hint="eastAsia"/>
          <w:vertAlign w:val="superscript"/>
          <w:lang w:val="en-US" w:eastAsia="zh-CN"/>
        </w:rPr>
        <w:t>18</w:t>
      </w:r>
      <w:r>
        <w:rPr>
          <w:rFonts w:hint="default"/>
          <w:vertAlign w:val="superscript"/>
          <w:lang w:val="en-US" w:eastAsia="zh-CN"/>
        </w:rPr>
        <w:t>][</w:t>
      </w:r>
      <w:r>
        <w:rPr>
          <w:rFonts w:hint="eastAsia"/>
          <w:vertAlign w:val="superscript"/>
          <w:lang w:val="en-US" w:eastAsia="zh-CN"/>
        </w:rPr>
        <w:t>28</w:t>
      </w:r>
      <w:r>
        <w:rPr>
          <w:rFonts w:hint="default"/>
          <w:vertAlign w:val="superscript"/>
          <w:lang w:val="en-US" w:eastAsia="zh-CN"/>
        </w:rPr>
        <w:t>]</w:t>
      </w:r>
      <w:r>
        <w:t>。部分研究基于指标体系构建综合评价模型，以比较不同城市充电站网络的成熟度与可持续性；还有研究分析城市类型（如一线城市、人口型城市、工业型城市）对充电设施布局策略的影响</w:t>
      </w:r>
      <w:r>
        <w:rPr>
          <w:rFonts w:hint="default"/>
          <w:vertAlign w:val="superscript"/>
          <w:lang w:val="en-US" w:eastAsia="zh-CN"/>
        </w:rPr>
        <w:t>[</w:t>
      </w:r>
      <w:r>
        <w:rPr>
          <w:rFonts w:hint="eastAsia"/>
          <w:vertAlign w:val="superscript"/>
          <w:lang w:val="en-US" w:eastAsia="zh-CN"/>
        </w:rPr>
        <w:t>30</w:t>
      </w:r>
      <w:r>
        <w:rPr>
          <w:rFonts w:hint="default"/>
          <w:vertAlign w:val="superscript"/>
          <w:lang w:val="en-US" w:eastAsia="zh-CN"/>
        </w:rPr>
        <w:t>]</w:t>
      </w:r>
      <w:r>
        <w:t>，为城市差异化布局提供参考</w:t>
      </w:r>
      <w:r>
        <w:rPr>
          <w:rFonts w:hint="eastAsia"/>
          <w:lang w:eastAsia="zh-CN"/>
        </w:rPr>
        <w:t>，</w:t>
      </w:r>
      <w:r>
        <w:rPr>
          <w:rFonts w:hint="eastAsia"/>
          <w:lang w:val="en-US" w:eastAsia="zh-CN"/>
        </w:rPr>
        <w:t>不过</w:t>
      </w:r>
      <w:r>
        <w:rPr>
          <w:rFonts w:eastAsia="宋体"/>
        </w:rPr>
        <w:t>跨城市成本差异的量化模型几乎不存在。</w:t>
      </w:r>
    </w:p>
    <w:p w14:paraId="465CB074">
      <w:pPr>
        <w:pStyle w:val="4"/>
        <w:keepNext w:val="0"/>
        <w:keepLines w:val="0"/>
        <w:widowControl/>
        <w:suppressLineNumbers w:val="0"/>
      </w:pPr>
      <w:r>
        <w:rPr>
          <w:b/>
          <w:bCs/>
        </w:rPr>
        <w:t>4. 总结</w:t>
      </w:r>
    </w:p>
    <w:p w14:paraId="665A56EC">
      <w:pPr>
        <w:pStyle w:val="15"/>
        <w:keepNext w:val="0"/>
        <w:keepLines w:val="0"/>
        <w:widowControl/>
        <w:suppressLineNumbers w:val="0"/>
        <w:spacing w:before="0" w:beforeAutospacing="1" w:after="0" w:afterAutospacing="1"/>
        <w:ind w:left="0" w:right="0" w:firstLine="420" w:firstLineChars="0"/>
        <w:rPr>
          <w:rFonts w:hint="eastAsia"/>
        </w:rPr>
      </w:pPr>
      <w:r>
        <w:t>综上所述，现有研究在选址优化、成本建模以及跨城市比较方面已形成较为丰富的理论基础，但仍存在模型通用性不足、动态需求刻画不充分、维护成本预测偏差较大等问题。本研究将在已有文献基础上，结合实际充电桩历史数据、居民投诉记录及设备运维数据，构建更符合本地化需求的综合评价模型，以填补现有研究在多维数据融合和实证验证方面的不足。</w:t>
      </w:r>
    </w:p>
    <w:p w14:paraId="6B0BED54">
      <w:pPr>
        <w:pStyle w:val="2"/>
        <w:keepNext/>
        <w:numPr>
          <w:ilvl w:val="0"/>
          <w:numId w:val="1"/>
        </w:numPr>
        <w:topLinePunct w:val="0"/>
        <w:ind w:left="0" w:leftChars="0" w:firstLine="0" w:firstLineChars="0"/>
        <w:rPr>
          <w:rFonts w:hint="eastAsia" w:ascii="黑体" w:hAnsi="黑体" w:eastAsia="黑体" w:cs="黑体"/>
          <w:b w:val="0"/>
        </w:rPr>
      </w:pPr>
      <w:r>
        <w:t>研究方案</w:t>
      </w:r>
    </w:p>
    <w:p w14:paraId="4E8083BF">
      <w:pPr>
        <w:pStyle w:val="3"/>
        <w:keepNext/>
        <w:numPr>
          <w:ilvl w:val="0"/>
          <w:numId w:val="4"/>
        </w:numPr>
        <w:topLinePunct w:val="0"/>
        <w:ind w:left="0" w:leftChars="0" w:firstLine="0" w:firstLineChars="0"/>
        <w:rPr>
          <w:rFonts w:hint="eastAsia" w:ascii="黑体" w:hAnsi="黑体" w:eastAsia="黑体" w:cs="黑体"/>
          <w:b w:val="0"/>
        </w:rPr>
      </w:pPr>
      <w:r>
        <w:t>研究目标</w:t>
      </w:r>
    </w:p>
    <w:p w14:paraId="78C70CBF">
      <w:pPr>
        <w:pStyle w:val="11"/>
        <w:widowControl/>
      </w:pPr>
      <w:r>
        <w:t>为设施选址及成本管理提供创新性的案例与方法，通过归纳 C 公司现有站点布局的经验，构建可复用、量化的社区电动自行车选择 + 成本决策的框架和体系。</w:t>
      </w:r>
    </w:p>
    <w:p w14:paraId="7D22ABAF">
      <w:pPr>
        <w:pStyle w:val="11"/>
        <w:widowControl/>
      </w:pPr>
      <w:r>
        <w:t>在这个大目标下，分为以下几个小目标：</w:t>
      </w:r>
    </w:p>
    <w:p w14:paraId="1FBE23F3">
      <w:pPr>
        <w:pStyle w:val="4"/>
        <w:keepNext/>
        <w:widowControl/>
        <w:numPr>
          <w:ilvl w:val="0"/>
          <w:numId w:val="5"/>
        </w:numPr>
        <w:ind w:left="0" w:leftChars="0" w:firstLine="0" w:firstLineChars="0"/>
        <w:rPr>
          <w:b w:val="0"/>
        </w:rPr>
      </w:pPr>
      <w:r>
        <w:t>建立社区电动自行车充电桩选址的影响因素体系</w:t>
      </w:r>
    </w:p>
    <w:p w14:paraId="3D85CB7B">
      <w:pPr>
        <w:pStyle w:val="11"/>
        <w:widowControl/>
      </w:pPr>
      <w:r>
        <w:t>本研究首先从社区实际运行场景出发，系统识别影响电动自行车充电桩选址的关键因素，范围包括用户需求特征（如车辆数量、充电高峰时段）、场地条件（空间可用性、电力接入条件）、安全要求（消防规范、安全距离）、运营收益潜力（利用率、回收周期）、以及物业管理协同程度（投诉记录、日常监管能力）等。为确保影响因素体系具有科学性与可量化性，本研究将引入 AHP、熵权法等多种权重确定方法，对各影响因素的重要程度进行量化评价，构建因素权重矩阵。通过该体系的构建，可为后续综合评价模型与选址优化模型提供统一、可操作且数据支撑充分的指标基础，为分析社区充电桩布局差异性和选址优先级提供方法依据。</w:t>
      </w:r>
    </w:p>
    <w:p w14:paraId="412FAB79">
      <w:pPr>
        <w:pStyle w:val="4"/>
        <w:keepNext/>
        <w:widowControl/>
        <w:numPr>
          <w:ilvl w:val="0"/>
          <w:numId w:val="5"/>
        </w:numPr>
        <w:ind w:left="0" w:leftChars="0" w:firstLine="0" w:firstLineChars="0"/>
        <w:rPr>
          <w:b w:val="0"/>
        </w:rPr>
      </w:pPr>
      <w:r>
        <w:t>构建充电桩安装成本与维护成本的结构化分析模型</w:t>
      </w:r>
    </w:p>
    <w:p w14:paraId="26369FD5">
      <w:pPr>
        <w:pStyle w:val="11"/>
        <w:widowControl/>
      </w:pPr>
      <w:r>
        <w:t>首先，本研究将构建</w:t>
      </w:r>
      <w:r>
        <w:rPr>
          <w:b/>
        </w:rPr>
        <w:t>安装成本的结构化模型</w:t>
      </w:r>
      <w:r>
        <w:t>，系统梳理社区电动自行车充电桩在不同城市的成本构成，包括硬件设备、基础施工、电力接入、通信模块、验收费以及物业协调等要素。同时，基于 C 公司在南京、深圳、徐州三地的真实项目数据，比较不同城市在人工费用、材料费用、电力改造难度、审批流程等维度的差异，提取可量化的城市属性指标（如人工成本系数、用电接入系数、市政施工系数等），形成可跨城市迁移的安装成本结构模型。</w:t>
      </w:r>
    </w:p>
    <w:p w14:paraId="7F3C988C">
      <w:pPr>
        <w:pStyle w:val="11"/>
        <w:widowControl/>
      </w:pPr>
      <w:r>
        <w:t>其次，本研究拟构建</w:t>
      </w:r>
      <w:r>
        <w:rPr>
          <w:b/>
        </w:rPr>
        <w:t>全生命周期的维护成本预测模型</w:t>
      </w:r>
      <w:r>
        <w:t>。通过对 C 公司三地的历史维保记录进行分析，识别维护成本的主要构成，包括设备故障维修、损耗件更换、通信模块维护、巡检及物业协调等费用，并依据设备老化规律、使用强度、投诉率、故障率等指标建立数据驱动的预测模型。模型目标为在设定的误差范围内（如 ±10% 以内）实现维护成本的可预估，从而用于社区充电桩项目的预算规划和投资回报分析。</w:t>
      </w:r>
    </w:p>
    <w:p w14:paraId="56F150B9">
      <w:pPr>
        <w:pStyle w:val="11"/>
        <w:widowControl/>
      </w:pPr>
      <w:r>
        <w:t>通过上述两个模型的构建，研究将形成一套</w:t>
      </w:r>
      <w:r>
        <w:rPr>
          <w:b/>
        </w:rPr>
        <w:t>标准化、可复用、适用于多城市环境</w:t>
      </w:r>
      <w:r>
        <w:t>的社区电动自行车充电桩成本评估方法，为后续的选址布局优化和投资决策提供数据基础。</w:t>
      </w:r>
    </w:p>
    <w:p w14:paraId="635FA797">
      <w:pPr>
        <w:pStyle w:val="4"/>
        <w:keepNext/>
        <w:widowControl/>
        <w:numPr>
          <w:ilvl w:val="0"/>
          <w:numId w:val="5"/>
        </w:numPr>
        <w:ind w:left="0" w:leftChars="0" w:firstLine="0" w:firstLineChars="0"/>
        <w:rPr>
          <w:b w:val="0"/>
        </w:rPr>
      </w:pPr>
      <w:r>
        <w:t>总结 C 公司既有站点的布局经验并形成可操作的选址标准</w:t>
      </w:r>
    </w:p>
    <w:p w14:paraId="147FA578">
      <w:pPr>
        <w:pStyle w:val="11"/>
        <w:widowControl/>
      </w:pPr>
      <w:r>
        <w:t>在前期完成选址影响因素识别与成本结构建模的基础上，本研究进一步构建一个能够同时考虑空间因素与经济因素的综合评价体系。具体而言，将用户需求、场地条件、安全与消防要求、物业协同等关键选址因素与安装成本、维护成本等经济变量进行统一建模，形成多目标综合决策模型。该模型能够对不同候选站点进行量化评分与排序，确保在满足安全性、可行性与用户便利性的前提下，实现成本投入与收益预期的整体最优。</w:t>
      </w:r>
    </w:p>
    <w:p w14:paraId="4EABCAB3">
      <w:pPr>
        <w:pStyle w:val="4"/>
        <w:keepNext/>
        <w:widowControl/>
        <w:numPr>
          <w:ilvl w:val="0"/>
          <w:numId w:val="5"/>
        </w:numPr>
        <w:ind w:left="0" w:leftChars="0" w:firstLine="0" w:firstLineChars="0"/>
        <w:rPr>
          <w:b w:val="0"/>
        </w:rPr>
      </w:pPr>
      <w:r>
        <w:t>建立基于选址因素与成本因素的综合评价模型</w:t>
      </w:r>
    </w:p>
    <w:p w14:paraId="555E1A89">
      <w:pPr>
        <w:pStyle w:val="11"/>
        <w:widowControl/>
      </w:pPr>
      <w:r>
        <w:t>在充分梳理 C 公司现有城市电动自行车充电桩站点的运营数据、布局方式与历史决策依据的基础上，本研究将对其既有站点的选址经验进行系统化总结。通过对各城市成功站点与问题站点进行对比分析，识别影响选址成效的关键共性规律与差异性因素，包括居民需求密度、物业协同程度、消防安全条件、可改造场地特征以及长期收益表现等。基于上述分析，将提炼形成一套结构化、可操作、可量化的社区充电桩选址评价标准，为后续新城市项目提供标准化的决策依据。</w:t>
      </w:r>
    </w:p>
    <w:p w14:paraId="157993DF">
      <w:pPr>
        <w:pStyle w:val="11"/>
        <w:widowControl/>
      </w:pPr>
      <w:r>
        <w:t>在条件允许的情况下，本研究还将基于该选址标准开展验证性研究，例如选择一个尚未布局的新城市进行案例测试，通过将标准化框架应用于实际选址过程，观察其在真实场景中的适用性与有效性，并与 C 公司传统经验法进行对比，以验证标准的可复用性与推广价值。最终，本研究旨在形成一套在多城市、多社区场景中均具备稳定指导意义的选址标准体系，减少重复摸索，提高企业在全国范围内扩张时的决策效率与选址成功率。</w:t>
      </w:r>
    </w:p>
    <w:p w14:paraId="01F5CDA7">
      <w:pPr>
        <w:pStyle w:val="3"/>
        <w:keepNext/>
        <w:widowControl/>
        <w:numPr>
          <w:ilvl w:val="0"/>
          <w:numId w:val="4"/>
        </w:numPr>
        <w:topLinePunct w:val="0"/>
        <w:ind w:left="0" w:leftChars="0" w:firstLine="0" w:firstLineChars="0"/>
        <w:rPr>
          <w:rFonts w:hint="eastAsia" w:ascii="黑体" w:hAnsi="黑体" w:eastAsia="黑体" w:cs="黑体"/>
          <w:b w:val="0"/>
        </w:rPr>
      </w:pPr>
      <w:r>
        <w:t>研究内容</w:t>
      </w:r>
    </w:p>
    <w:p w14:paraId="65D56E99">
      <w:pPr>
        <w:pStyle w:val="11"/>
        <w:widowControl/>
      </w:pPr>
      <w:r>
        <w:t>本研究围绕社区电动自行车充电桩的选址机制与成本模型，结合 C 公司在南京、深圳、徐州三地的实际运营数据，构建一套可量化、可复用的选址与成本评价体系。主要研究内容包括以下四个方面：</w:t>
      </w:r>
    </w:p>
    <w:p w14:paraId="34E65171">
      <w:pPr>
        <w:pStyle w:val="4"/>
        <w:keepNext/>
        <w:widowControl/>
      </w:pPr>
      <w:r>
        <w:t>第一，建立社区电动自行车充电桩的选址影响因素体系。</w:t>
      </w:r>
    </w:p>
    <w:p w14:paraId="28F64F75">
      <w:pPr>
        <w:pStyle w:val="11"/>
        <w:widowControl/>
      </w:pPr>
      <w:r>
        <w:t>基于三地既有站点数据，系统梳理影响选址的关键因素，包括用户需求强度、社区人口密度、场地条件、物业协同程度、消防安全要求、收益潜力等。进一步采用 AHP、熵权法等多种方法构建因素权重矩阵，对各因素的重要性进行量化，为后续选址模型的构建提供结构化基础。</w:t>
      </w:r>
    </w:p>
    <w:p w14:paraId="41CF065B">
      <w:pPr>
        <w:pStyle w:val="4"/>
        <w:keepNext/>
        <w:widowControl/>
      </w:pPr>
      <w:r>
        <w:t>第二，构建充电桩安装成本与维护成本的结构化分析模型。</w:t>
      </w:r>
    </w:p>
    <w:p w14:paraId="023B1093">
      <w:pPr>
        <w:pStyle w:val="11"/>
        <w:widowControl/>
      </w:pPr>
      <w:r>
        <w:t>对 C 公司在南京、深圳与徐州的安装成本与维护成本进行系统拆解，构建“安装成本结构模型”与“维护成本预测模型”。安装成本部分重点梳理土建、布线、设备采购、施工、人力等成本构成，并识别在不同城市政策环境、社区条件下导致成本差异的关键城市属性系数。维护成本部分基于故障记录、巡检数据与备件消耗情况，构建全生命周期的维护成本预测模型，目标在某一误差范围内实现对未来维护成本水平的可预测性。</w:t>
      </w:r>
    </w:p>
    <w:p w14:paraId="48841337">
      <w:pPr>
        <w:pStyle w:val="4"/>
        <w:keepNext/>
        <w:widowControl/>
      </w:pPr>
      <w:r>
        <w:t>第三，构建基于选址因素与成本因素的综合评价与决策模型。</w:t>
      </w:r>
    </w:p>
    <w:p w14:paraId="44D6611E">
      <w:pPr>
        <w:pStyle w:val="11"/>
        <w:widowControl/>
      </w:pPr>
      <w:r>
        <w:t>将选址评价体系与成本模型进行耦合，构建统一的多目标综合评价模型，实现对不同候选点的排序与优选，形成可用于企业实际扩张的决策框架。模型将兼顾需求匹配度、建设约束、收益潜力、安装成本、维护成本及投资回收周期等指标，为 C 公司在新城市或新社区的选址提供量化依据。</w:t>
      </w:r>
    </w:p>
    <w:p w14:paraId="1CB220B8">
      <w:pPr>
        <w:pStyle w:val="4"/>
        <w:keepNext/>
        <w:widowControl/>
      </w:pPr>
      <w:r>
        <w:t>第四，总结 C 公司既有站点的布局经验，形成可操作的选址标准并验证可复用性。</w:t>
      </w:r>
    </w:p>
    <w:p w14:paraId="59BCFA44">
      <w:pPr>
        <w:pStyle w:val="11"/>
        <w:widowControl/>
      </w:pPr>
      <w:r>
        <w:t>结合三地实际运营案例，总结不同城市、不同社区类型下可复用的选址规律，提炼具有操作性的选址标准与成本测算流程。在条件允许的情况下，选取新进入的城市作为验证场景，检验选址标准与评价模型的可推广性与有效性。</w:t>
      </w:r>
    </w:p>
    <w:p w14:paraId="0567DED6">
      <w:pPr>
        <w:pStyle w:val="3"/>
        <w:keepNext/>
        <w:widowControl/>
        <w:numPr>
          <w:ilvl w:val="0"/>
          <w:numId w:val="4"/>
        </w:numPr>
        <w:topLinePunct w:val="0"/>
        <w:ind w:left="0" w:leftChars="0" w:firstLine="0" w:firstLineChars="0"/>
        <w:rPr>
          <w:rFonts w:hint="eastAsia" w:ascii="黑体" w:hAnsi="黑体" w:eastAsia="黑体" w:cs="黑体"/>
          <w:b w:val="0"/>
        </w:rPr>
      </w:pPr>
      <w:r>
        <w:t>拟解决的关键问题</w:t>
      </w:r>
    </w:p>
    <w:p w14:paraId="6276E611">
      <w:pPr>
        <w:pStyle w:val="11"/>
        <w:widowControl/>
      </w:pPr>
      <w:r>
        <w:t>本研究拟解决的关键问题主要包括以下四个方面：</w:t>
      </w:r>
    </w:p>
    <w:p w14:paraId="6A77A0A1">
      <w:pPr>
        <w:pStyle w:val="11"/>
        <w:widowControl/>
        <w:rPr>
          <w:b w:val="0"/>
        </w:rPr>
      </w:pPr>
      <w:r>
        <w:rPr>
          <w:b/>
        </w:rPr>
        <w:t>其一，当前社区电动自行车充电桩的选址缺乏系统的评价体系与因素识别机制</w:t>
      </w:r>
      <w:r>
        <w:rPr>
          <w:b w:val="0"/>
        </w:rPr>
        <w:t>。</w:t>
      </w:r>
    </w:p>
    <w:p w14:paraId="40CD959D">
      <w:pPr>
        <w:pStyle w:val="11"/>
        <w:widowControl/>
      </w:pPr>
      <w:r>
        <w:t>多数研究聚焦于宏观层面的布局优化，缺乏基于社区场景的关键影响因素分析。本研究将通过实地数据构建结构化的选址因素体系与权重模型，为设计科学的选址方法奠定基础。</w:t>
      </w:r>
    </w:p>
    <w:p w14:paraId="7E90DB6D">
      <w:pPr>
        <w:pStyle w:val="11"/>
        <w:widowControl/>
      </w:pPr>
      <w:r>
        <w:rPr>
          <w:b/>
        </w:rPr>
        <w:t>其二，不同城市的安装成本差异显著，但缺乏统一的成本测算模型。</w:t>
      </w:r>
    </w:p>
    <w:p w14:paraId="406AE3EC">
      <w:pPr>
        <w:pStyle w:val="11"/>
        <w:widowControl/>
      </w:pPr>
      <w:r>
        <w:t>现有研究多停留在定性描述，缺少对安装成本构成、比例差异及城市属性影响的量化分析。本研究将建立标准化、可复制的安装成本模型，为企业预算编制与成本控制提供工具。</w:t>
      </w:r>
    </w:p>
    <w:p w14:paraId="44A7E734">
      <w:pPr>
        <w:pStyle w:val="11"/>
        <w:widowControl/>
      </w:pPr>
      <w:r>
        <w:rPr>
          <w:b/>
        </w:rPr>
        <w:t>其三，维护成本长期不透明、预测困难，影响企业运营成本管理。</w:t>
      </w:r>
    </w:p>
    <w:p w14:paraId="0BCA42AE">
      <w:pPr>
        <w:pStyle w:val="11"/>
        <w:widowControl/>
      </w:pPr>
      <w:r>
        <w:t>社区充电桩的维护成本受到设备故障、巡检、备件消耗等多因素影响，但缺少统一的测算方式。本研究将构建全生命周期维护成本的预测模型，并分析降低维护成本的关键路径。</w:t>
      </w:r>
    </w:p>
    <w:p w14:paraId="4859D7D1">
      <w:pPr>
        <w:pStyle w:val="11"/>
        <w:widowControl/>
      </w:pPr>
      <w:r>
        <w:rPr>
          <w:b/>
        </w:rPr>
        <w:t>其四，企业在多城市扩张过程中缺乏可复制的经验与决策框架。</w:t>
      </w:r>
    </w:p>
    <w:p w14:paraId="13408F52">
      <w:pPr>
        <w:pStyle w:val="11"/>
        <w:widowControl/>
      </w:pPr>
      <w:r>
        <w:t>不同城市政策环境、物业协同与用户行为存在差异，使得现有经验难以直接迁移。本研究将总结 C 公司三地的布局经验，并构建综合选址评价模型，解决多城市扩张过程中选址策略难以标准化、投资回收期不确定等问题。</w:t>
      </w:r>
    </w:p>
    <w:p w14:paraId="6CCD345F">
      <w:pPr>
        <w:pStyle w:val="2"/>
        <w:keepNext/>
        <w:widowControl/>
        <w:numPr>
          <w:ilvl w:val="0"/>
          <w:numId w:val="1"/>
        </w:numPr>
        <w:topLinePunct w:val="0"/>
        <w:ind w:left="0" w:leftChars="0" w:firstLine="0" w:firstLineChars="0"/>
        <w:rPr>
          <w:rFonts w:hint="eastAsia" w:ascii="黑体" w:hAnsi="黑体" w:eastAsia="黑体" w:cs="黑体"/>
          <w:b w:val="0"/>
        </w:rPr>
      </w:pPr>
      <w:r>
        <w:t>研究方法与技术路线</w:t>
      </w:r>
    </w:p>
    <w:p w14:paraId="1C36B132">
      <w:pPr>
        <w:pStyle w:val="11"/>
        <w:widowControl/>
      </w:pPr>
      <w:r>
        <w:t>本研究围绕社区电动自行车充电桩的选址体系构建、安装与维护成本模型搭建、综合评价模型开发以及多城市扩张策略提炼四个方面展开，采用多种定量与定性方法构建完整的技术路线。具体方法如下：</w:t>
      </w:r>
    </w:p>
    <w:p w14:paraId="02DAD5E8">
      <w:pPr>
        <w:pStyle w:val="3"/>
        <w:keepNext/>
        <w:widowControl/>
        <w:numPr>
          <w:ilvl w:val="0"/>
          <w:numId w:val="6"/>
        </w:numPr>
        <w:topLinePunct w:val="0"/>
        <w:ind w:left="0" w:leftChars="0" w:firstLine="0" w:firstLineChars="0"/>
        <w:rPr>
          <w:rFonts w:hint="eastAsia" w:ascii="黑体" w:hAnsi="黑体" w:eastAsia="黑体" w:cs="黑体"/>
          <w:b w:val="0"/>
        </w:rPr>
      </w:pPr>
      <w:r>
        <w:t>因素提取与权重分析方法</w:t>
      </w:r>
    </w:p>
    <w:p w14:paraId="16DAF03F">
      <w:pPr>
        <w:pStyle w:val="11"/>
        <w:widowControl/>
      </w:pPr>
      <w:r>
        <w:t xml:space="preserve">针对选址影响因素的识别，本研究将通过文献分析、专家访谈与既有站点评估等方式提取候选因素，并采用 </w:t>
      </w:r>
      <w:r>
        <w:rPr>
          <w:b/>
        </w:rPr>
        <w:t>层次分析法（AHP）与熵权法</w:t>
      </w:r>
      <w:r>
        <w:t xml:space="preserve"> 进行权重测算。</w:t>
      </w:r>
    </w:p>
    <w:p w14:paraId="3C7849B1">
      <w:pPr>
        <w:pStyle w:val="11"/>
        <w:widowControl/>
      </w:pPr>
      <w:r>
        <w:rPr>
          <w:b/>
        </w:rPr>
        <w:t>AHP</w:t>
      </w:r>
      <w:r>
        <w:t xml:space="preserve"> 用于处理专家判断、反映主观重要性；</w:t>
      </w:r>
    </w:p>
    <w:p w14:paraId="06F8FEC9">
      <w:pPr>
        <w:pStyle w:val="11"/>
        <w:widowControl/>
      </w:pPr>
      <w:r>
        <w:rPr>
          <w:b/>
        </w:rPr>
        <w:t>熵权法</w:t>
      </w:r>
      <w:r>
        <w:t xml:space="preserve"> 用于利用历史数据消除主观偏差、体现客观差异。</w:t>
      </w:r>
    </w:p>
    <w:p w14:paraId="46040193">
      <w:pPr>
        <w:pStyle w:val="11"/>
        <w:widowControl/>
      </w:pPr>
      <w:r>
        <w:t>二者结合将构建出科学、可量化的选址因素体系及其权重矩阵，为后续综合评价模型提供数据基础。</w:t>
      </w:r>
    </w:p>
    <w:p w14:paraId="7D9A08EB">
      <w:pPr>
        <w:pStyle w:val="3"/>
        <w:keepNext/>
        <w:widowControl/>
        <w:numPr>
          <w:ilvl w:val="0"/>
          <w:numId w:val="6"/>
        </w:numPr>
        <w:topLinePunct w:val="0"/>
        <w:ind w:left="0" w:leftChars="0" w:firstLine="0" w:firstLineChars="0"/>
        <w:rPr>
          <w:rFonts w:hint="eastAsia" w:ascii="黑体" w:hAnsi="黑体" w:eastAsia="黑体" w:cs="黑体"/>
          <w:b w:val="0"/>
        </w:rPr>
      </w:pPr>
      <w:r>
        <w:t>安装成本结构分析方法</w:t>
      </w:r>
    </w:p>
    <w:p w14:paraId="4911BFEB">
      <w:pPr>
        <w:pStyle w:val="11"/>
        <w:widowControl/>
      </w:pPr>
      <w:r>
        <w:t xml:space="preserve">在安装成本研究中，本研究采用 </w:t>
      </w:r>
      <w:r>
        <w:rPr>
          <w:b/>
        </w:rPr>
        <w:t>成本分类法</w:t>
      </w:r>
      <w:r>
        <w:t xml:space="preserve"> 和 </w:t>
      </w:r>
      <w:r>
        <w:rPr>
          <w:b/>
        </w:rPr>
        <w:t>对比分析法</w:t>
      </w:r>
      <w:r>
        <w:t xml:space="preserve"> 对南京、深圳、徐州三地的安装成本进行拆解和结构化建模，包括土建、布线、电力接入、设备采购、施工与人力等组成部分。同时，利用 </w:t>
      </w:r>
      <w:r>
        <w:rPr>
          <w:b/>
        </w:rPr>
        <w:t>回归分析方法</w:t>
      </w:r>
      <w:r>
        <w:t xml:space="preserve"> 识别不同城市政策、社区类型、物业条件与安装成本差异的主要驱动因素，最终建立可标准化、可复制的安装成本测算模型。</w:t>
      </w:r>
    </w:p>
    <w:p w14:paraId="407732ED">
      <w:pPr>
        <w:pStyle w:val="3"/>
        <w:keepNext/>
        <w:widowControl/>
        <w:numPr>
          <w:ilvl w:val="0"/>
          <w:numId w:val="6"/>
        </w:numPr>
        <w:topLinePunct w:val="0"/>
        <w:ind w:left="0" w:leftChars="0" w:firstLine="0" w:firstLineChars="0"/>
        <w:rPr>
          <w:rFonts w:hint="eastAsia" w:ascii="黑体" w:hAnsi="黑体" w:eastAsia="黑体" w:cs="黑体"/>
          <w:b w:val="0"/>
        </w:rPr>
      </w:pPr>
      <w:r>
        <w:t>维护成本预测方法</w:t>
      </w:r>
    </w:p>
    <w:p w14:paraId="4D70ADBE">
      <w:pPr>
        <w:pStyle w:val="11"/>
        <w:widowControl/>
      </w:pPr>
      <w:r>
        <w:t xml:space="preserve">针对维护成本不透明、难预测的问题，本研究将对故障记录、巡检频率、备件消耗和系统运维数据进行系统整理，采用 </w:t>
      </w:r>
      <w:r>
        <w:rPr>
          <w:b/>
        </w:rPr>
        <w:t>时间序列分析、随机森林回归或多元回归模型</w:t>
      </w:r>
      <w:r>
        <w:t xml:space="preserve"> 构建维护成本预测模型目标是在一定误差范围内实现维护成本的可预测性，从而为长期运营经济性评估提供依据。</w:t>
      </w:r>
    </w:p>
    <w:p w14:paraId="4FF611F1">
      <w:pPr>
        <w:pStyle w:val="3"/>
        <w:keepNext/>
        <w:widowControl/>
        <w:numPr>
          <w:ilvl w:val="0"/>
          <w:numId w:val="6"/>
        </w:numPr>
        <w:topLinePunct w:val="0"/>
        <w:ind w:left="0" w:leftChars="0" w:firstLine="0" w:firstLineChars="0"/>
        <w:rPr>
          <w:rFonts w:hint="eastAsia" w:ascii="黑体" w:hAnsi="黑体" w:eastAsia="黑体" w:cs="黑体"/>
          <w:b w:val="0"/>
        </w:rPr>
      </w:pPr>
      <w:r>
        <w:t>综合选址评价与多目标决策方法</w:t>
      </w:r>
    </w:p>
    <w:p w14:paraId="704B42E6">
      <w:pPr>
        <w:pStyle w:val="11"/>
        <w:widowControl/>
      </w:pPr>
      <w:r>
        <w:t xml:space="preserve">在整合选址因素和成本因素的基础上，本研究采用 </w:t>
      </w:r>
      <w:r>
        <w:rPr>
          <w:b/>
        </w:rPr>
        <w:t>多目标规划方法</w:t>
      </w:r>
      <w:r>
        <w:t xml:space="preserve"> 或 </w:t>
      </w:r>
      <w:r>
        <w:rPr>
          <w:b/>
        </w:rPr>
        <w:t>综合评价方法</w:t>
      </w:r>
      <w:r>
        <w:t>构建统一的综合评价模型。</w:t>
      </w:r>
    </w:p>
    <w:p w14:paraId="1631A694">
      <w:pPr>
        <w:pStyle w:val="11"/>
        <w:widowControl/>
      </w:pPr>
      <w:r>
        <w:t>该模型将输出不同候选站点的优先级排序，为企业在城市新建项目中提供量化、可视化的决策依据。</w:t>
      </w:r>
    </w:p>
    <w:p w14:paraId="540175D5">
      <w:pPr>
        <w:pStyle w:val="3"/>
        <w:keepNext/>
        <w:widowControl/>
        <w:numPr>
          <w:ilvl w:val="0"/>
          <w:numId w:val="6"/>
        </w:numPr>
        <w:topLinePunct w:val="0"/>
        <w:ind w:left="0" w:leftChars="0" w:firstLine="0" w:firstLineChars="0"/>
        <w:rPr>
          <w:rFonts w:hint="eastAsia" w:ascii="黑体" w:hAnsi="黑体" w:eastAsia="黑体" w:cs="黑体"/>
          <w:b w:val="0"/>
        </w:rPr>
      </w:pPr>
      <w:r>
        <w:t>模型验证与敏感性分析方法</w:t>
      </w:r>
    </w:p>
    <w:p w14:paraId="218A797E">
      <w:pPr>
        <w:pStyle w:val="11"/>
        <w:widowControl/>
      </w:pPr>
      <w:r>
        <w:t>为确保模型的适用性与稳健性，本研究将开展以下验证：</w:t>
      </w:r>
    </w:p>
    <w:p w14:paraId="77FD927D">
      <w:pPr>
        <w:pStyle w:val="11"/>
        <w:widowControl/>
      </w:pPr>
      <w:r>
        <w:rPr>
          <w:b/>
        </w:rPr>
        <w:t>交叉验证法</w:t>
      </w:r>
      <w:r>
        <w:t>：检验综合评价模型、成本预测模型的泛化能力；</w:t>
      </w:r>
    </w:p>
    <w:p w14:paraId="49430255">
      <w:pPr>
        <w:pStyle w:val="11"/>
        <w:widowControl/>
      </w:pPr>
      <w:r>
        <w:rPr>
          <w:b/>
        </w:rPr>
        <w:t>敏感性分析</w:t>
      </w:r>
      <w:r>
        <w:t>：对关键参数（如权重、成本系数、需求指标等）进行敏感性测试，评估其对选址结果的影响；</w:t>
      </w:r>
    </w:p>
    <w:p w14:paraId="16E3605C">
      <w:pPr>
        <w:pStyle w:val="11"/>
        <w:widowControl/>
      </w:pPr>
      <w:r>
        <w:rPr>
          <w:b/>
        </w:rPr>
        <w:t>外部案例验证</w:t>
      </w:r>
      <w:r>
        <w:t>：在条件允许情况下，选取新城市（或新增站点）进行模型外推验证，检验研究成果的可复用性。</w:t>
      </w:r>
    </w:p>
    <w:p w14:paraId="7F32C727">
      <w:pPr>
        <w:pStyle w:val="11"/>
        <w:widowControl/>
        <w:rPr>
          <w:rFonts w:hint="eastAsia" w:eastAsia="宋体"/>
          <w:lang w:val="en-US" w:eastAsia="zh-CN"/>
        </w:rPr>
      </w:pPr>
    </w:p>
    <w:p w14:paraId="4B48898E">
      <w:pPr>
        <w:pStyle w:val="2"/>
        <w:keepNext/>
        <w:widowControl/>
        <w:numPr>
          <w:ilvl w:val="0"/>
          <w:numId w:val="1"/>
        </w:numPr>
        <w:topLinePunct w:val="0"/>
        <w:ind w:left="0" w:leftChars="0" w:firstLine="0" w:firstLineChars="0"/>
        <w:rPr>
          <w:rFonts w:hint="eastAsia" w:ascii="黑体" w:hAnsi="黑体" w:eastAsia="黑体" w:cs="黑体"/>
          <w:b w:val="0"/>
        </w:rPr>
      </w:pPr>
      <w:r>
        <w:t>论文总体框架</w:t>
      </w:r>
    </w:p>
    <w:p w14:paraId="3397BB29">
      <w:pPr>
        <w:pStyle w:val="2"/>
        <w:keepNext/>
        <w:numPr>
          <w:ilvl w:val="0"/>
          <w:numId w:val="7"/>
        </w:numPr>
        <w:ind w:left="0" w:leftChars="0" w:firstLine="0" w:firstLineChars="0"/>
        <w:rPr>
          <w:rFonts w:hint="eastAsia" w:ascii="黑体" w:hAnsi="黑体" w:eastAsia="黑体" w:cs="黑体"/>
          <w:b w:val="0"/>
        </w:rPr>
      </w:pPr>
      <w:r>
        <w:t>绪论</w:t>
      </w:r>
    </w:p>
    <w:p w14:paraId="2D601783">
      <w:pPr>
        <w:pStyle w:val="3"/>
        <w:keepNext/>
        <w:numPr>
          <w:ilvl w:val="0"/>
          <w:numId w:val="8"/>
        </w:numPr>
        <w:ind w:left="0" w:leftChars="0" w:firstLine="0" w:firstLineChars="0"/>
        <w:rPr>
          <w:rFonts w:hint="eastAsia" w:ascii="黑体" w:hAnsi="黑体" w:eastAsia="黑体" w:cs="黑体"/>
          <w:b w:val="0"/>
        </w:rPr>
      </w:pPr>
      <w:r>
        <w:t>研究背景与意义</w:t>
      </w:r>
    </w:p>
    <w:p w14:paraId="29F3E5FD">
      <w:pPr>
        <w:pStyle w:val="11"/>
        <w:numPr>
          <w:ilvl w:val="0"/>
          <w:numId w:val="9"/>
        </w:numPr>
        <w:ind w:left="0" w:leftChars="0" w:firstLine="480" w:firstLineChars="0"/>
        <w:rPr>
          <w:rFonts w:hint="eastAsia" w:ascii="宋体" w:hAnsi="宋体" w:eastAsia="宋体" w:cs="宋体"/>
          <w:b w:val="0"/>
        </w:rPr>
      </w:pPr>
      <w:r>
        <w:t>电动自行车行业发展现状与趋势</w:t>
      </w:r>
    </w:p>
    <w:p w14:paraId="47585D46">
      <w:pPr>
        <w:pStyle w:val="11"/>
        <w:numPr>
          <w:ilvl w:val="0"/>
          <w:numId w:val="9"/>
        </w:numPr>
        <w:ind w:left="0" w:leftChars="0" w:firstLine="480" w:firstLineChars="0"/>
        <w:rPr>
          <w:rFonts w:hint="eastAsia" w:ascii="宋体" w:hAnsi="宋体" w:eastAsia="宋体" w:cs="宋体"/>
          <w:b w:val="0"/>
        </w:rPr>
      </w:pPr>
      <w:r>
        <w:t>电动自行车充电安全问题与市场需求</w:t>
      </w:r>
    </w:p>
    <w:p w14:paraId="6EFBED43">
      <w:pPr>
        <w:pStyle w:val="11"/>
        <w:numPr>
          <w:ilvl w:val="0"/>
          <w:numId w:val="9"/>
        </w:numPr>
        <w:ind w:left="0" w:leftChars="0" w:firstLine="480" w:firstLineChars="0"/>
        <w:rPr>
          <w:rFonts w:hint="eastAsia" w:ascii="宋体" w:hAnsi="宋体" w:eastAsia="宋体" w:cs="宋体"/>
          <w:b w:val="0"/>
        </w:rPr>
      </w:pPr>
      <w:r>
        <w:t>电动自行车充电桩运营的重要性与研究价值</w:t>
      </w:r>
    </w:p>
    <w:p w14:paraId="6836CF82">
      <w:pPr>
        <w:pStyle w:val="3"/>
        <w:keepNext/>
        <w:numPr>
          <w:ilvl w:val="0"/>
          <w:numId w:val="8"/>
        </w:numPr>
        <w:ind w:left="0" w:leftChars="0" w:firstLine="0" w:firstLineChars="0"/>
        <w:rPr>
          <w:rFonts w:hint="eastAsia" w:ascii="黑体" w:hAnsi="黑体" w:eastAsia="黑体" w:cs="黑体"/>
          <w:b w:val="0"/>
        </w:rPr>
      </w:pPr>
      <w:r>
        <w:t>国内外研究现状述评</w:t>
      </w:r>
    </w:p>
    <w:p w14:paraId="66D5D769">
      <w:pPr>
        <w:pStyle w:val="11"/>
        <w:numPr>
          <w:ilvl w:val="0"/>
          <w:numId w:val="10"/>
        </w:numPr>
        <w:ind w:left="0" w:leftChars="0" w:firstLine="480" w:firstLineChars="0"/>
        <w:rPr>
          <w:rFonts w:hint="eastAsia" w:ascii="宋体" w:hAnsi="宋体" w:eastAsia="宋体" w:cs="宋体"/>
          <w:b w:val="0"/>
        </w:rPr>
      </w:pPr>
      <w:r>
        <w:t>国外电动自行车充电桩研究进展</w:t>
      </w:r>
    </w:p>
    <w:p w14:paraId="62EAF8AF">
      <w:pPr>
        <w:pStyle w:val="11"/>
        <w:numPr>
          <w:ilvl w:val="0"/>
          <w:numId w:val="10"/>
        </w:numPr>
        <w:ind w:left="0" w:leftChars="0" w:firstLine="480" w:firstLineChars="0"/>
        <w:rPr>
          <w:rFonts w:hint="eastAsia" w:ascii="宋体" w:hAnsi="宋体" w:eastAsia="宋体" w:cs="宋体"/>
          <w:b w:val="0"/>
        </w:rPr>
      </w:pPr>
      <w:r>
        <w:t>国内电动自行车充电桩研究焦点</w:t>
      </w:r>
    </w:p>
    <w:p w14:paraId="6C30246B">
      <w:pPr>
        <w:pStyle w:val="11"/>
        <w:numPr>
          <w:ilvl w:val="0"/>
          <w:numId w:val="10"/>
        </w:numPr>
        <w:ind w:left="0" w:leftChars="0" w:firstLine="480" w:firstLineChars="0"/>
        <w:rPr>
          <w:rFonts w:hint="eastAsia" w:ascii="宋体" w:hAnsi="宋体" w:eastAsia="宋体" w:cs="宋体"/>
          <w:b w:val="0"/>
        </w:rPr>
      </w:pPr>
      <w:r>
        <w:t>现有研究存在的不足与本研究切入点</w:t>
      </w:r>
    </w:p>
    <w:p w14:paraId="326A0F0A">
      <w:pPr>
        <w:pStyle w:val="3"/>
        <w:keepNext/>
        <w:numPr>
          <w:ilvl w:val="0"/>
          <w:numId w:val="8"/>
        </w:numPr>
        <w:ind w:left="0" w:leftChars="0" w:firstLine="0" w:firstLineChars="0"/>
        <w:rPr>
          <w:rFonts w:hint="eastAsia" w:ascii="黑体" w:hAnsi="黑体" w:eastAsia="黑体" w:cs="黑体"/>
          <w:b w:val="0"/>
        </w:rPr>
      </w:pPr>
      <w:r>
        <w:t>研究内容与研究目标</w:t>
      </w:r>
    </w:p>
    <w:p w14:paraId="6011BFC2">
      <w:pPr>
        <w:pStyle w:val="11"/>
        <w:numPr>
          <w:ilvl w:val="0"/>
          <w:numId w:val="11"/>
        </w:numPr>
        <w:ind w:left="0" w:leftChars="0" w:firstLine="480" w:firstLineChars="0"/>
        <w:rPr>
          <w:rFonts w:hint="eastAsia" w:ascii="宋体" w:hAnsi="宋体" w:eastAsia="宋体" w:cs="宋体"/>
          <w:b w:val="0"/>
        </w:rPr>
      </w:pPr>
      <w:r>
        <w:t>主要研究内容界定</w:t>
      </w:r>
    </w:p>
    <w:p w14:paraId="7DD072D8">
      <w:pPr>
        <w:pStyle w:val="11"/>
        <w:numPr>
          <w:ilvl w:val="0"/>
          <w:numId w:val="11"/>
        </w:numPr>
        <w:ind w:left="0" w:leftChars="0" w:firstLine="480" w:firstLineChars="0"/>
        <w:rPr>
          <w:rFonts w:hint="eastAsia" w:ascii="宋体" w:hAnsi="宋体" w:eastAsia="宋体" w:cs="宋体"/>
          <w:b w:val="0"/>
        </w:rPr>
      </w:pPr>
      <w:r>
        <w:t>研究目标设定与预期成果</w:t>
      </w:r>
    </w:p>
    <w:p w14:paraId="64B41F4C">
      <w:pPr>
        <w:pStyle w:val="3"/>
        <w:keepNext/>
        <w:numPr>
          <w:ilvl w:val="0"/>
          <w:numId w:val="8"/>
        </w:numPr>
        <w:ind w:left="0" w:leftChars="0" w:firstLine="0" w:firstLineChars="0"/>
        <w:rPr>
          <w:rFonts w:hint="eastAsia" w:ascii="黑体" w:hAnsi="黑体" w:eastAsia="黑体" w:cs="黑体"/>
          <w:b w:val="0"/>
        </w:rPr>
      </w:pPr>
      <w:r>
        <w:t>研究方法与技术路线</w:t>
      </w:r>
    </w:p>
    <w:p w14:paraId="5FA4A0B0">
      <w:pPr>
        <w:pStyle w:val="11"/>
        <w:numPr>
          <w:ilvl w:val="0"/>
          <w:numId w:val="12"/>
        </w:numPr>
        <w:ind w:left="0" w:leftChars="0" w:firstLine="480" w:firstLineChars="0"/>
        <w:rPr>
          <w:rFonts w:hint="eastAsia" w:ascii="宋体" w:hAnsi="宋体" w:eastAsia="宋体" w:cs="宋体"/>
          <w:b w:val="0"/>
        </w:rPr>
      </w:pPr>
      <w:r>
        <w:t>文献研究法</w:t>
      </w:r>
    </w:p>
    <w:p w14:paraId="22089625">
      <w:pPr>
        <w:pStyle w:val="11"/>
        <w:numPr>
          <w:ilvl w:val="0"/>
          <w:numId w:val="12"/>
        </w:numPr>
        <w:ind w:left="0" w:leftChars="0" w:firstLine="480" w:firstLineChars="0"/>
        <w:rPr>
          <w:rFonts w:hint="eastAsia" w:ascii="宋体" w:hAnsi="宋体" w:eastAsia="宋体" w:cs="宋体"/>
          <w:b w:val="0"/>
        </w:rPr>
      </w:pPr>
      <w:r>
        <w:t>案例分析法</w:t>
      </w:r>
    </w:p>
    <w:p w14:paraId="62578E2B">
      <w:pPr>
        <w:pStyle w:val="11"/>
        <w:numPr>
          <w:ilvl w:val="0"/>
          <w:numId w:val="12"/>
        </w:numPr>
        <w:ind w:left="0" w:leftChars="0" w:firstLine="480" w:firstLineChars="0"/>
        <w:rPr>
          <w:rFonts w:hint="eastAsia" w:ascii="宋体" w:hAnsi="宋体" w:eastAsia="宋体" w:cs="宋体"/>
          <w:b w:val="0"/>
        </w:rPr>
      </w:pPr>
      <w:r>
        <w:t>数据分析法</w:t>
      </w:r>
    </w:p>
    <w:p w14:paraId="4BAAE7CE">
      <w:pPr>
        <w:pStyle w:val="11"/>
        <w:numPr>
          <w:ilvl w:val="0"/>
          <w:numId w:val="12"/>
        </w:numPr>
        <w:ind w:left="0" w:leftChars="0" w:firstLine="480" w:firstLineChars="0"/>
        <w:rPr>
          <w:rFonts w:hint="eastAsia" w:ascii="宋体" w:hAnsi="宋体" w:eastAsia="宋体" w:cs="宋体"/>
          <w:b w:val="0"/>
        </w:rPr>
      </w:pPr>
      <w:r>
        <w:t>研究技术路线图设计</w:t>
      </w:r>
    </w:p>
    <w:p w14:paraId="620241F2">
      <w:pPr>
        <w:pStyle w:val="3"/>
        <w:keepNext/>
        <w:numPr>
          <w:ilvl w:val="0"/>
          <w:numId w:val="8"/>
        </w:numPr>
        <w:ind w:left="0" w:leftChars="0" w:firstLine="0" w:firstLineChars="0"/>
        <w:rPr>
          <w:rFonts w:hint="eastAsia" w:ascii="黑体" w:hAnsi="黑体" w:eastAsia="黑体" w:cs="黑体"/>
          <w:b w:val="0"/>
        </w:rPr>
      </w:pPr>
      <w:r>
        <w:t>论文结构与创新点</w:t>
      </w:r>
    </w:p>
    <w:p w14:paraId="582DADDC">
      <w:pPr>
        <w:pStyle w:val="11"/>
        <w:numPr>
          <w:ilvl w:val="0"/>
          <w:numId w:val="13"/>
        </w:numPr>
        <w:ind w:left="0" w:leftChars="0" w:firstLine="480" w:firstLineChars="0"/>
        <w:rPr>
          <w:rFonts w:hint="eastAsia" w:ascii="宋体" w:hAnsi="宋体" w:eastAsia="宋体" w:cs="宋体"/>
          <w:b w:val="0"/>
        </w:rPr>
      </w:pPr>
      <w:r>
        <w:t>论文章节安排</w:t>
      </w:r>
    </w:p>
    <w:p w14:paraId="3FD586C4">
      <w:pPr>
        <w:pStyle w:val="11"/>
        <w:numPr>
          <w:ilvl w:val="0"/>
          <w:numId w:val="13"/>
        </w:numPr>
        <w:ind w:left="0" w:leftChars="0" w:firstLine="480" w:firstLineChars="0"/>
        <w:rPr>
          <w:rFonts w:hint="eastAsia" w:ascii="宋体" w:hAnsi="宋体" w:eastAsia="宋体" w:cs="宋体"/>
          <w:b w:val="0"/>
        </w:rPr>
      </w:pPr>
      <w:r>
        <w:t>研究可能的创新之处</w:t>
      </w:r>
    </w:p>
    <w:p w14:paraId="33B7AE12">
      <w:pPr>
        <w:pStyle w:val="2"/>
        <w:keepNext/>
        <w:numPr>
          <w:ilvl w:val="0"/>
          <w:numId w:val="7"/>
        </w:numPr>
        <w:ind w:left="0" w:leftChars="0" w:firstLine="0" w:firstLineChars="0"/>
        <w:rPr>
          <w:rFonts w:hint="eastAsia" w:ascii="黑体" w:hAnsi="黑体" w:eastAsia="黑体" w:cs="黑体"/>
          <w:b w:val="0"/>
        </w:rPr>
      </w:pPr>
      <w:r>
        <w:t>理论基础与文献综述</w:t>
      </w:r>
    </w:p>
    <w:p w14:paraId="0C9B9FD4">
      <w:pPr>
        <w:pStyle w:val="3"/>
        <w:keepNext/>
        <w:numPr>
          <w:ilvl w:val="0"/>
          <w:numId w:val="14"/>
        </w:numPr>
        <w:ind w:left="0" w:leftChars="0" w:firstLine="0" w:firstLineChars="0"/>
        <w:rPr>
          <w:rFonts w:hint="eastAsia" w:ascii="黑体" w:hAnsi="黑体" w:eastAsia="黑体" w:cs="黑体"/>
          <w:b w:val="0"/>
        </w:rPr>
      </w:pPr>
      <w:r>
        <w:t>核心概念界定</w:t>
      </w:r>
    </w:p>
    <w:p w14:paraId="392FED57">
      <w:pPr>
        <w:pStyle w:val="11"/>
        <w:numPr>
          <w:ilvl w:val="0"/>
          <w:numId w:val="15"/>
        </w:numPr>
        <w:ind w:left="0" w:leftChars="0" w:firstLine="480" w:firstLineChars="0"/>
        <w:rPr>
          <w:rFonts w:hint="eastAsia" w:ascii="宋体" w:hAnsi="宋体" w:eastAsia="宋体" w:cs="宋体"/>
          <w:b w:val="0"/>
        </w:rPr>
      </w:pPr>
      <w:r>
        <w:t>电动自行车充电桩</w:t>
      </w:r>
    </w:p>
    <w:p w14:paraId="07B842E2">
      <w:pPr>
        <w:pStyle w:val="11"/>
        <w:numPr>
          <w:ilvl w:val="0"/>
          <w:numId w:val="15"/>
        </w:numPr>
        <w:ind w:left="0" w:leftChars="0" w:firstLine="480" w:firstLineChars="0"/>
        <w:rPr>
          <w:rFonts w:hint="eastAsia" w:ascii="宋体" w:hAnsi="宋体" w:eastAsia="宋体" w:cs="宋体"/>
          <w:b w:val="0"/>
        </w:rPr>
      </w:pPr>
      <w:r>
        <w:t>充电桩运营模式</w:t>
      </w:r>
    </w:p>
    <w:p w14:paraId="2A75F7F2">
      <w:pPr>
        <w:pStyle w:val="11"/>
        <w:numPr>
          <w:ilvl w:val="0"/>
          <w:numId w:val="15"/>
        </w:numPr>
        <w:ind w:left="0" w:leftChars="0" w:firstLine="480" w:firstLineChars="0"/>
        <w:rPr>
          <w:rFonts w:hint="eastAsia" w:ascii="宋体" w:hAnsi="宋体" w:eastAsia="宋体" w:cs="宋体"/>
          <w:b w:val="0"/>
        </w:rPr>
      </w:pPr>
      <w:r>
        <w:t>选址评价</w:t>
      </w:r>
    </w:p>
    <w:p w14:paraId="07FB9CEF">
      <w:pPr>
        <w:pStyle w:val="11"/>
        <w:numPr>
          <w:ilvl w:val="0"/>
          <w:numId w:val="15"/>
        </w:numPr>
        <w:ind w:left="0" w:leftChars="0" w:firstLine="480" w:firstLineChars="0"/>
        <w:rPr>
          <w:rFonts w:hint="eastAsia" w:ascii="宋体" w:hAnsi="宋体" w:eastAsia="宋体" w:cs="宋体"/>
          <w:b w:val="0"/>
        </w:rPr>
      </w:pPr>
      <w:r>
        <w:t>布局优化</w:t>
      </w:r>
    </w:p>
    <w:p w14:paraId="3C1EDA1C">
      <w:pPr>
        <w:pStyle w:val="3"/>
        <w:keepNext/>
        <w:numPr>
          <w:ilvl w:val="0"/>
          <w:numId w:val="14"/>
        </w:numPr>
        <w:ind w:left="0" w:leftChars="0" w:firstLine="0" w:firstLineChars="0"/>
        <w:rPr>
          <w:rFonts w:hint="eastAsia" w:ascii="黑体" w:hAnsi="黑体" w:eastAsia="黑体" w:cs="黑体"/>
          <w:b w:val="0"/>
        </w:rPr>
      </w:pPr>
      <w:r>
        <w:t>相关基础理论</w:t>
      </w:r>
    </w:p>
    <w:p w14:paraId="6AE6A437">
      <w:pPr>
        <w:pStyle w:val="11"/>
        <w:numPr>
          <w:ilvl w:val="0"/>
          <w:numId w:val="16"/>
        </w:numPr>
        <w:ind w:left="0" w:leftChars="0" w:firstLine="480" w:firstLineChars="0"/>
        <w:rPr>
          <w:rFonts w:hint="eastAsia" w:ascii="宋体" w:hAnsi="宋体" w:eastAsia="宋体" w:cs="宋体"/>
          <w:b w:val="0"/>
        </w:rPr>
      </w:pPr>
      <w:r>
        <w:t>公共设施选址理论</w:t>
      </w:r>
    </w:p>
    <w:p w14:paraId="47FB5110">
      <w:pPr>
        <w:pStyle w:val="11"/>
        <w:numPr>
          <w:ilvl w:val="0"/>
          <w:numId w:val="16"/>
        </w:numPr>
        <w:ind w:left="0" w:leftChars="0" w:firstLine="480" w:firstLineChars="0"/>
        <w:rPr>
          <w:rFonts w:hint="eastAsia" w:ascii="宋体" w:hAnsi="宋体" w:eastAsia="宋体" w:cs="宋体"/>
          <w:b w:val="0"/>
        </w:rPr>
      </w:pPr>
      <w:r>
        <w:t>消费者行为理论</w:t>
      </w:r>
    </w:p>
    <w:p w14:paraId="5DDB42C1">
      <w:pPr>
        <w:pStyle w:val="11"/>
        <w:numPr>
          <w:ilvl w:val="0"/>
          <w:numId w:val="16"/>
        </w:numPr>
        <w:ind w:left="0" w:leftChars="0" w:firstLine="480" w:firstLineChars="0"/>
        <w:rPr>
          <w:rFonts w:hint="eastAsia" w:ascii="宋体" w:hAnsi="宋体" w:eastAsia="宋体" w:cs="宋体"/>
          <w:b w:val="0"/>
        </w:rPr>
      </w:pPr>
      <w:r>
        <w:t>成本收益理论</w:t>
      </w:r>
    </w:p>
    <w:p w14:paraId="2D9D5D96">
      <w:pPr>
        <w:pStyle w:val="11"/>
        <w:numPr>
          <w:ilvl w:val="0"/>
          <w:numId w:val="16"/>
        </w:numPr>
        <w:ind w:left="0" w:leftChars="0" w:firstLine="480" w:firstLineChars="0"/>
        <w:rPr>
          <w:rFonts w:hint="eastAsia" w:ascii="宋体" w:hAnsi="宋体" w:eastAsia="宋体" w:cs="宋体"/>
          <w:b w:val="0"/>
        </w:rPr>
      </w:pPr>
      <w:r>
        <w:t>可持续发展理论</w:t>
      </w:r>
    </w:p>
    <w:p w14:paraId="7E3B29F6">
      <w:pPr>
        <w:pStyle w:val="3"/>
        <w:keepNext/>
        <w:numPr>
          <w:ilvl w:val="0"/>
          <w:numId w:val="14"/>
        </w:numPr>
        <w:ind w:left="0" w:leftChars="0" w:firstLine="0" w:firstLineChars="0"/>
        <w:rPr>
          <w:rFonts w:hint="eastAsia" w:ascii="黑体" w:hAnsi="黑体" w:eastAsia="黑体" w:cs="黑体"/>
          <w:b w:val="0"/>
        </w:rPr>
      </w:pPr>
      <w:r>
        <w:t>国内外充电桩选址研究综述</w:t>
      </w:r>
    </w:p>
    <w:p w14:paraId="4AAB738B">
      <w:pPr>
        <w:pStyle w:val="11"/>
        <w:numPr>
          <w:ilvl w:val="0"/>
          <w:numId w:val="17"/>
        </w:numPr>
        <w:ind w:left="0" w:leftChars="0" w:firstLine="480" w:firstLineChars="0"/>
        <w:rPr>
          <w:rFonts w:hint="eastAsia" w:ascii="宋体" w:hAnsi="宋体" w:eastAsia="宋体" w:cs="宋体"/>
          <w:b w:val="0"/>
        </w:rPr>
      </w:pPr>
      <w:r>
        <w:t>选址影响因素研究</w:t>
      </w:r>
    </w:p>
    <w:p w14:paraId="439EA00E">
      <w:pPr>
        <w:pStyle w:val="11"/>
        <w:numPr>
          <w:ilvl w:val="0"/>
          <w:numId w:val="17"/>
        </w:numPr>
        <w:ind w:left="0" w:leftChars="0" w:firstLine="480" w:firstLineChars="0"/>
        <w:rPr>
          <w:rFonts w:hint="eastAsia" w:ascii="宋体" w:hAnsi="宋体" w:eastAsia="宋体" w:cs="宋体"/>
          <w:b w:val="0"/>
        </w:rPr>
      </w:pPr>
      <w:r>
        <w:t>选址模型与方法研究</w:t>
      </w:r>
    </w:p>
    <w:p w14:paraId="23C9183A">
      <w:pPr>
        <w:pStyle w:val="11"/>
        <w:numPr>
          <w:ilvl w:val="0"/>
          <w:numId w:val="17"/>
        </w:numPr>
        <w:ind w:left="0" w:leftChars="0" w:firstLine="480" w:firstLineChars="0"/>
        <w:rPr>
          <w:rFonts w:hint="eastAsia" w:ascii="宋体" w:hAnsi="宋体" w:eastAsia="宋体" w:cs="宋体"/>
          <w:b w:val="0"/>
        </w:rPr>
      </w:pPr>
      <w:r>
        <w:t>不同场景下的选址应用研究</w:t>
      </w:r>
    </w:p>
    <w:p w14:paraId="7A9BCDC4">
      <w:pPr>
        <w:pStyle w:val="3"/>
        <w:keepNext/>
        <w:numPr>
          <w:ilvl w:val="0"/>
          <w:numId w:val="14"/>
        </w:numPr>
        <w:ind w:left="0" w:leftChars="0" w:firstLine="0" w:firstLineChars="0"/>
        <w:rPr>
          <w:rFonts w:hint="eastAsia" w:ascii="黑体" w:hAnsi="黑体" w:eastAsia="黑体" w:cs="黑体"/>
          <w:b w:val="0"/>
        </w:rPr>
      </w:pPr>
      <w:r>
        <w:t>国内外充电桩运营与布局研究综述</w:t>
      </w:r>
    </w:p>
    <w:p w14:paraId="650A23ED">
      <w:pPr>
        <w:pStyle w:val="11"/>
        <w:numPr>
          <w:ilvl w:val="0"/>
          <w:numId w:val="18"/>
        </w:numPr>
        <w:ind w:left="0" w:leftChars="0" w:firstLine="480" w:firstLineChars="0"/>
        <w:rPr>
          <w:rFonts w:hint="eastAsia" w:ascii="宋体" w:hAnsi="宋体" w:eastAsia="宋体" w:cs="宋体"/>
          <w:b w:val="0"/>
        </w:rPr>
      </w:pPr>
      <w:r>
        <w:t>运营模式创新研究</w:t>
      </w:r>
    </w:p>
    <w:p w14:paraId="6654F664">
      <w:pPr>
        <w:pStyle w:val="11"/>
        <w:numPr>
          <w:ilvl w:val="0"/>
          <w:numId w:val="18"/>
        </w:numPr>
        <w:ind w:left="0" w:leftChars="0" w:firstLine="480" w:firstLineChars="0"/>
        <w:rPr>
          <w:rFonts w:hint="eastAsia" w:ascii="宋体" w:hAnsi="宋体" w:eastAsia="宋体" w:cs="宋体"/>
          <w:b w:val="0"/>
        </w:rPr>
      </w:pPr>
      <w:r>
        <w:t>盈利模式分析研究</w:t>
      </w:r>
    </w:p>
    <w:p w14:paraId="57DF689E">
      <w:pPr>
        <w:pStyle w:val="11"/>
        <w:numPr>
          <w:ilvl w:val="0"/>
          <w:numId w:val="18"/>
        </w:numPr>
        <w:ind w:left="0" w:leftChars="0" w:firstLine="480" w:firstLineChars="0"/>
        <w:rPr>
          <w:rFonts w:hint="eastAsia" w:ascii="宋体" w:hAnsi="宋体" w:eastAsia="宋体" w:cs="宋体"/>
          <w:b w:val="0"/>
        </w:rPr>
      </w:pPr>
      <w:r>
        <w:t>布局优化策略研究</w:t>
      </w:r>
    </w:p>
    <w:p w14:paraId="483FAFF3">
      <w:pPr>
        <w:pStyle w:val="3"/>
        <w:keepNext/>
        <w:numPr>
          <w:ilvl w:val="0"/>
          <w:numId w:val="14"/>
        </w:numPr>
        <w:ind w:left="0" w:leftChars="0" w:firstLine="0" w:firstLineChars="0"/>
        <w:rPr>
          <w:rFonts w:hint="eastAsia" w:ascii="黑体" w:hAnsi="黑体" w:eastAsia="黑体" w:cs="黑体"/>
          <w:b w:val="0"/>
        </w:rPr>
      </w:pPr>
      <w:r>
        <w:t>文献述评与研究启示</w:t>
      </w:r>
    </w:p>
    <w:p w14:paraId="560D6AE8">
      <w:pPr>
        <w:pStyle w:val="11"/>
        <w:numPr>
          <w:ilvl w:val="0"/>
          <w:numId w:val="19"/>
        </w:numPr>
        <w:ind w:left="0" w:leftChars="0" w:firstLine="480" w:firstLineChars="0"/>
        <w:rPr>
          <w:rFonts w:hint="eastAsia" w:ascii="宋体" w:hAnsi="宋体" w:eastAsia="宋体" w:cs="宋体"/>
          <w:b w:val="0"/>
        </w:rPr>
      </w:pPr>
      <w:r>
        <w:t>现有研究总结</w:t>
      </w:r>
    </w:p>
    <w:p w14:paraId="63A3F38E">
      <w:pPr>
        <w:pStyle w:val="11"/>
        <w:numPr>
          <w:ilvl w:val="0"/>
          <w:numId w:val="19"/>
        </w:numPr>
        <w:ind w:left="0" w:leftChars="0" w:firstLine="480" w:firstLineChars="0"/>
        <w:rPr>
          <w:rFonts w:hint="eastAsia" w:ascii="宋体" w:hAnsi="宋体" w:eastAsia="宋体" w:cs="宋体"/>
          <w:b w:val="0"/>
        </w:rPr>
      </w:pPr>
      <w:r>
        <w:t>对本研究的借鉴意义</w:t>
      </w:r>
    </w:p>
    <w:p w14:paraId="5C589C25">
      <w:pPr>
        <w:pStyle w:val="2"/>
        <w:keepNext/>
        <w:numPr>
          <w:ilvl w:val="0"/>
          <w:numId w:val="7"/>
        </w:numPr>
        <w:ind w:left="0" w:leftChars="0" w:firstLine="0" w:firstLineChars="0"/>
        <w:rPr>
          <w:b w:val="0"/>
        </w:rPr>
      </w:pPr>
      <w:r>
        <w:t>C公司充电桩运营现状分析</w:t>
      </w:r>
    </w:p>
    <w:p w14:paraId="5E8039D8">
      <w:pPr>
        <w:pStyle w:val="3"/>
        <w:keepNext/>
        <w:numPr>
          <w:ilvl w:val="0"/>
          <w:numId w:val="20"/>
        </w:numPr>
        <w:ind w:left="0" w:leftChars="0" w:firstLine="0" w:firstLineChars="0"/>
        <w:rPr>
          <w:b w:val="0"/>
        </w:rPr>
      </w:pPr>
      <w:r>
        <w:t>C公司概况</w:t>
      </w:r>
    </w:p>
    <w:p w14:paraId="66B121F4">
      <w:pPr>
        <w:pStyle w:val="11"/>
        <w:numPr>
          <w:ilvl w:val="0"/>
          <w:numId w:val="21"/>
        </w:numPr>
        <w:ind w:left="0" w:leftChars="0" w:firstLine="480" w:firstLineChars="0"/>
        <w:rPr>
          <w:rFonts w:hint="eastAsia" w:ascii="宋体" w:hAnsi="宋体" w:eastAsia="宋体" w:cs="宋体"/>
          <w:b w:val="0"/>
        </w:rPr>
      </w:pPr>
      <w:r>
        <w:t>公司发展历程与业务范围</w:t>
      </w:r>
    </w:p>
    <w:p w14:paraId="6A54F74D">
      <w:pPr>
        <w:pStyle w:val="11"/>
        <w:numPr>
          <w:ilvl w:val="0"/>
          <w:numId w:val="21"/>
        </w:numPr>
        <w:ind w:left="0" w:leftChars="0" w:firstLine="480" w:firstLineChars="0"/>
        <w:rPr>
          <w:rFonts w:hint="eastAsia" w:ascii="宋体" w:hAnsi="宋体" w:eastAsia="宋体" w:cs="宋体"/>
          <w:b w:val="0"/>
        </w:rPr>
      </w:pPr>
      <w:r>
        <w:t>公司充电桩业务板块介绍</w:t>
      </w:r>
    </w:p>
    <w:p w14:paraId="4D187163">
      <w:pPr>
        <w:pStyle w:val="11"/>
        <w:numPr>
          <w:ilvl w:val="0"/>
          <w:numId w:val="21"/>
        </w:numPr>
        <w:ind w:left="0" w:leftChars="0" w:firstLine="480" w:firstLineChars="0"/>
        <w:rPr>
          <w:rFonts w:hint="eastAsia" w:ascii="宋体" w:hAnsi="宋体" w:eastAsia="宋体" w:cs="宋体"/>
          <w:b w:val="0"/>
        </w:rPr>
      </w:pPr>
      <w:r>
        <w:t>公司在行业内的竞争地位</w:t>
      </w:r>
    </w:p>
    <w:p w14:paraId="074CABCB">
      <w:pPr>
        <w:pStyle w:val="3"/>
        <w:keepNext/>
        <w:numPr>
          <w:ilvl w:val="0"/>
          <w:numId w:val="20"/>
        </w:numPr>
        <w:ind w:left="0" w:leftChars="0" w:firstLine="0" w:firstLineChars="0"/>
        <w:rPr>
          <w:b w:val="0"/>
        </w:rPr>
      </w:pPr>
      <w:r>
        <w:t>C公司充电桩运营现状</w:t>
      </w:r>
    </w:p>
    <w:p w14:paraId="0763171D">
      <w:pPr>
        <w:pStyle w:val="11"/>
        <w:numPr>
          <w:ilvl w:val="0"/>
          <w:numId w:val="22"/>
        </w:numPr>
        <w:ind w:left="0" w:leftChars="0" w:firstLine="480" w:firstLineChars="0"/>
        <w:rPr>
          <w:rFonts w:hint="eastAsia" w:ascii="宋体" w:hAnsi="宋体" w:eastAsia="宋体" w:cs="宋体"/>
          <w:b w:val="0"/>
        </w:rPr>
      </w:pPr>
      <w:r>
        <w:t>现有充电桩数量、类型与分布情况</w:t>
      </w:r>
    </w:p>
    <w:p w14:paraId="752F3C29">
      <w:pPr>
        <w:pStyle w:val="11"/>
        <w:numPr>
          <w:ilvl w:val="0"/>
          <w:numId w:val="22"/>
        </w:numPr>
        <w:ind w:left="0" w:leftChars="0" w:firstLine="480" w:firstLineChars="0"/>
        <w:rPr>
          <w:rFonts w:hint="eastAsia" w:ascii="宋体" w:hAnsi="宋体" w:eastAsia="宋体" w:cs="宋体"/>
          <w:b w:val="0"/>
        </w:rPr>
      </w:pPr>
      <w:r>
        <w:t>充电桩使用效率与用户反馈</w:t>
      </w:r>
    </w:p>
    <w:p w14:paraId="43BB203B">
      <w:pPr>
        <w:pStyle w:val="11"/>
        <w:numPr>
          <w:ilvl w:val="0"/>
          <w:numId w:val="22"/>
        </w:numPr>
        <w:ind w:left="0" w:leftChars="0" w:firstLine="480" w:firstLineChars="0"/>
        <w:rPr>
          <w:rFonts w:hint="eastAsia" w:ascii="宋体" w:hAnsi="宋体" w:eastAsia="宋体" w:cs="宋体"/>
          <w:b w:val="0"/>
        </w:rPr>
      </w:pPr>
      <w:r>
        <w:t>主要运营数据指标分析（如覆盖率、使用率、故障率等）</w:t>
      </w:r>
    </w:p>
    <w:p w14:paraId="3998F45A">
      <w:pPr>
        <w:pStyle w:val="3"/>
        <w:keepNext/>
        <w:numPr>
          <w:ilvl w:val="0"/>
          <w:numId w:val="20"/>
        </w:numPr>
        <w:ind w:left="0" w:leftChars="0" w:firstLine="0" w:firstLineChars="0"/>
        <w:rPr>
          <w:b w:val="0"/>
        </w:rPr>
      </w:pPr>
      <w:r>
        <w:t>C公司充电桩现有选址策略与流程</w:t>
      </w:r>
    </w:p>
    <w:p w14:paraId="0DEFDC5C">
      <w:pPr>
        <w:pStyle w:val="11"/>
        <w:numPr>
          <w:ilvl w:val="0"/>
          <w:numId w:val="23"/>
        </w:numPr>
        <w:ind w:left="0" w:leftChars="0" w:firstLine="480" w:firstLineChars="0"/>
        <w:rPr>
          <w:rFonts w:hint="eastAsia" w:ascii="宋体" w:hAnsi="宋体" w:eastAsia="宋体" w:cs="宋体"/>
          <w:b w:val="0"/>
        </w:rPr>
      </w:pPr>
      <w:r>
        <w:t>当前选址决策依据</w:t>
      </w:r>
    </w:p>
    <w:p w14:paraId="4F7CD0F9">
      <w:pPr>
        <w:pStyle w:val="11"/>
        <w:numPr>
          <w:ilvl w:val="0"/>
          <w:numId w:val="23"/>
        </w:numPr>
        <w:ind w:left="0" w:leftChars="0" w:firstLine="480" w:firstLineChars="0"/>
        <w:rPr>
          <w:rFonts w:hint="eastAsia" w:ascii="宋体" w:hAnsi="宋体" w:eastAsia="宋体" w:cs="宋体"/>
          <w:b w:val="0"/>
        </w:rPr>
      </w:pPr>
      <w:r>
        <w:t>现有选址操作流程</w:t>
      </w:r>
    </w:p>
    <w:p w14:paraId="3CCF5437">
      <w:pPr>
        <w:pStyle w:val="11"/>
        <w:numPr>
          <w:ilvl w:val="0"/>
          <w:numId w:val="23"/>
        </w:numPr>
        <w:ind w:left="0" w:leftChars="0" w:firstLine="480" w:firstLineChars="0"/>
        <w:rPr>
          <w:rFonts w:hint="eastAsia" w:ascii="宋体" w:hAnsi="宋体" w:eastAsia="宋体" w:cs="宋体"/>
          <w:b w:val="0"/>
        </w:rPr>
      </w:pPr>
      <w:r>
        <w:t>选址团队与职责分工</w:t>
      </w:r>
    </w:p>
    <w:p w14:paraId="4F84E84E">
      <w:pPr>
        <w:pStyle w:val="3"/>
        <w:keepNext/>
        <w:numPr>
          <w:ilvl w:val="0"/>
          <w:numId w:val="20"/>
        </w:numPr>
        <w:ind w:left="0" w:leftChars="0" w:firstLine="0" w:firstLineChars="0"/>
        <w:rPr>
          <w:b w:val="0"/>
        </w:rPr>
      </w:pPr>
      <w:r>
        <w:t>C公司充电桩运营中存在的问题与挑战</w:t>
      </w:r>
    </w:p>
    <w:p w14:paraId="3C79DE73">
      <w:pPr>
        <w:pStyle w:val="11"/>
        <w:numPr>
          <w:ilvl w:val="0"/>
          <w:numId w:val="24"/>
        </w:numPr>
        <w:ind w:left="0" w:leftChars="0" w:firstLine="480" w:firstLineChars="0"/>
        <w:rPr>
          <w:rFonts w:hint="eastAsia" w:ascii="宋体" w:hAnsi="宋体" w:eastAsia="宋体" w:cs="宋体"/>
          <w:b w:val="0"/>
        </w:rPr>
      </w:pPr>
      <w:r>
        <w:t>选址方面存在的问题</w:t>
      </w:r>
    </w:p>
    <w:p w14:paraId="51520246">
      <w:pPr>
        <w:pStyle w:val="11"/>
        <w:numPr>
          <w:ilvl w:val="0"/>
          <w:numId w:val="24"/>
        </w:numPr>
        <w:ind w:left="0" w:leftChars="0" w:firstLine="480" w:firstLineChars="0"/>
        <w:rPr>
          <w:rFonts w:hint="eastAsia" w:ascii="宋体" w:hAnsi="宋体" w:eastAsia="宋体" w:cs="宋体"/>
          <w:b w:val="0"/>
        </w:rPr>
      </w:pPr>
      <w:r>
        <w:t>运营管理方面存在的问题</w:t>
      </w:r>
    </w:p>
    <w:p w14:paraId="615337D9">
      <w:pPr>
        <w:pStyle w:val="11"/>
        <w:numPr>
          <w:ilvl w:val="0"/>
          <w:numId w:val="24"/>
        </w:numPr>
        <w:ind w:left="0" w:leftChars="0" w:firstLine="480" w:firstLineChars="0"/>
        <w:rPr>
          <w:rFonts w:hint="eastAsia" w:ascii="宋体" w:hAnsi="宋体" w:eastAsia="宋体" w:cs="宋体"/>
          <w:b w:val="0"/>
        </w:rPr>
      </w:pPr>
      <w:r>
        <w:t>市场竞争与政策环境带来的挑战</w:t>
      </w:r>
    </w:p>
    <w:p w14:paraId="3869E4C0">
      <w:pPr>
        <w:pStyle w:val="3"/>
        <w:keepNext/>
        <w:numPr>
          <w:ilvl w:val="0"/>
          <w:numId w:val="20"/>
        </w:numPr>
        <w:ind w:left="0" w:leftChars="0" w:firstLine="0" w:firstLineChars="0"/>
        <w:rPr>
          <w:rFonts w:hint="eastAsia" w:ascii="黑体" w:hAnsi="黑体" w:eastAsia="黑体" w:cs="黑体"/>
          <w:b w:val="0"/>
        </w:rPr>
      </w:pPr>
      <w:r>
        <w:t>问题成因初步分析</w:t>
      </w:r>
    </w:p>
    <w:p w14:paraId="208CE55B">
      <w:pPr>
        <w:pStyle w:val="11"/>
        <w:numPr>
          <w:ilvl w:val="0"/>
          <w:numId w:val="25"/>
        </w:numPr>
        <w:ind w:left="0" w:leftChars="0" w:firstLine="480" w:firstLineChars="0"/>
        <w:rPr>
          <w:rFonts w:hint="eastAsia" w:ascii="宋体" w:hAnsi="宋体" w:eastAsia="宋体" w:cs="宋体"/>
          <w:b w:val="0"/>
        </w:rPr>
      </w:pPr>
      <w:r>
        <w:t>内部管理因素</w:t>
      </w:r>
    </w:p>
    <w:p w14:paraId="46385BEA">
      <w:pPr>
        <w:pStyle w:val="11"/>
        <w:numPr>
          <w:ilvl w:val="0"/>
          <w:numId w:val="25"/>
        </w:numPr>
        <w:ind w:left="0" w:leftChars="0" w:firstLine="480" w:firstLineChars="0"/>
        <w:rPr>
          <w:rFonts w:hint="eastAsia" w:ascii="宋体" w:hAnsi="宋体" w:eastAsia="宋体" w:cs="宋体"/>
          <w:b w:val="0"/>
        </w:rPr>
      </w:pPr>
      <w:r>
        <w:t>外部环境因素</w:t>
      </w:r>
    </w:p>
    <w:p w14:paraId="1C395B5A">
      <w:pPr>
        <w:pStyle w:val="2"/>
        <w:keepNext/>
        <w:numPr>
          <w:ilvl w:val="0"/>
          <w:numId w:val="7"/>
        </w:numPr>
        <w:ind w:left="0" w:leftChars="0" w:firstLine="0" w:firstLineChars="0"/>
        <w:rPr>
          <w:rFonts w:hint="eastAsia" w:ascii="黑体" w:hAnsi="黑体" w:eastAsia="黑体" w:cs="黑体"/>
          <w:b w:val="0"/>
        </w:rPr>
      </w:pPr>
      <w:r>
        <w:t>选址影响因素与成本结构分析</w:t>
      </w:r>
    </w:p>
    <w:p w14:paraId="67F9E3BA">
      <w:pPr>
        <w:pStyle w:val="3"/>
        <w:keepNext/>
        <w:numPr>
          <w:ilvl w:val="0"/>
          <w:numId w:val="26"/>
        </w:numPr>
        <w:ind w:left="0" w:leftChars="0" w:firstLine="0" w:firstLineChars="0"/>
        <w:rPr>
          <w:rFonts w:hint="eastAsia" w:ascii="黑体" w:hAnsi="黑体" w:eastAsia="黑体" w:cs="黑体"/>
          <w:b w:val="0"/>
        </w:rPr>
      </w:pPr>
      <w:r>
        <w:t>电动自行车充电桩选址影响因素识别</w:t>
      </w:r>
    </w:p>
    <w:p w14:paraId="4AC5F59F">
      <w:pPr>
        <w:pStyle w:val="4"/>
        <w:keepNext/>
        <w:numPr>
          <w:ilvl w:val="0"/>
          <w:numId w:val="27"/>
        </w:numPr>
        <w:ind w:left="0" w:leftChars="0" w:firstLine="0" w:firstLineChars="0"/>
        <w:rPr>
          <w:rFonts w:hint="eastAsia" w:ascii="黑体" w:hAnsi="黑体" w:eastAsia="黑体" w:cs="黑体"/>
          <w:b w:val="0"/>
        </w:rPr>
      </w:pPr>
      <w:r>
        <w:t>需求侧影响因素</w:t>
      </w:r>
    </w:p>
    <w:p w14:paraId="0547DC7D">
      <w:pPr>
        <w:pStyle w:val="11"/>
        <w:numPr>
          <w:ilvl w:val="0"/>
          <w:numId w:val="28"/>
        </w:numPr>
        <w:ind w:left="0" w:leftChars="0" w:firstLine="480" w:firstLineChars="0"/>
        <w:rPr>
          <w:rFonts w:hint="eastAsia" w:ascii="宋体" w:hAnsi="宋体" w:eastAsia="宋体" w:cs="宋体"/>
          <w:b w:val="0"/>
        </w:rPr>
      </w:pPr>
      <w:r>
        <w:t>电动自行车保有量与密度</w:t>
      </w:r>
    </w:p>
    <w:p w14:paraId="439E1E4F">
      <w:pPr>
        <w:pStyle w:val="11"/>
        <w:numPr>
          <w:ilvl w:val="0"/>
          <w:numId w:val="28"/>
        </w:numPr>
        <w:ind w:left="0" w:leftChars="0" w:firstLine="480" w:firstLineChars="0"/>
        <w:rPr>
          <w:rFonts w:hint="eastAsia" w:ascii="宋体" w:hAnsi="宋体" w:eastAsia="宋体" w:cs="宋体"/>
          <w:b w:val="0"/>
        </w:rPr>
      </w:pPr>
      <w:r>
        <w:t>用户充电习惯与偏好</w:t>
      </w:r>
    </w:p>
    <w:p w14:paraId="0928D1F0">
      <w:pPr>
        <w:pStyle w:val="11"/>
        <w:numPr>
          <w:ilvl w:val="0"/>
          <w:numId w:val="28"/>
        </w:numPr>
        <w:ind w:left="0" w:leftChars="0" w:firstLine="480" w:firstLineChars="0"/>
        <w:rPr>
          <w:rFonts w:hint="eastAsia" w:ascii="宋体" w:hAnsi="宋体" w:eastAsia="宋体" w:cs="宋体"/>
          <w:b w:val="0"/>
        </w:rPr>
      </w:pPr>
      <w:r>
        <w:t>目标区域人流量</w:t>
      </w:r>
    </w:p>
    <w:p w14:paraId="2EF28302">
      <w:pPr>
        <w:pStyle w:val="4"/>
        <w:keepNext/>
        <w:numPr>
          <w:ilvl w:val="0"/>
          <w:numId w:val="27"/>
        </w:numPr>
        <w:ind w:left="0" w:leftChars="0" w:firstLine="0" w:firstLineChars="0"/>
        <w:rPr>
          <w:rFonts w:hint="eastAsia" w:ascii="黑体" w:hAnsi="黑体" w:eastAsia="黑体" w:cs="黑体"/>
          <w:b w:val="0"/>
        </w:rPr>
      </w:pPr>
      <w:r>
        <w:t>供给侧影响因素</w:t>
      </w:r>
    </w:p>
    <w:p w14:paraId="50FCEF02">
      <w:pPr>
        <w:pStyle w:val="11"/>
        <w:numPr>
          <w:ilvl w:val="0"/>
          <w:numId w:val="29"/>
        </w:numPr>
        <w:ind w:left="0" w:leftChars="0" w:firstLine="480" w:firstLineChars="0"/>
        <w:rPr>
          <w:rFonts w:hint="eastAsia" w:ascii="宋体" w:hAnsi="宋体" w:eastAsia="宋体" w:cs="宋体"/>
          <w:b w:val="0"/>
        </w:rPr>
      </w:pPr>
      <w:r>
        <w:t>场地可获得性与租金成本</w:t>
      </w:r>
    </w:p>
    <w:p w14:paraId="184F6771">
      <w:pPr>
        <w:pStyle w:val="11"/>
        <w:numPr>
          <w:ilvl w:val="0"/>
          <w:numId w:val="29"/>
        </w:numPr>
        <w:ind w:left="0" w:leftChars="0" w:firstLine="480" w:firstLineChars="0"/>
        <w:rPr>
          <w:rFonts w:hint="eastAsia" w:ascii="宋体" w:hAnsi="宋体" w:eastAsia="宋体" w:cs="宋体"/>
          <w:b w:val="0"/>
        </w:rPr>
      </w:pPr>
      <w:r>
        <w:t>电力接入条件与成本</w:t>
      </w:r>
    </w:p>
    <w:p w14:paraId="7A093CF4">
      <w:pPr>
        <w:pStyle w:val="11"/>
        <w:numPr>
          <w:ilvl w:val="0"/>
          <w:numId w:val="29"/>
        </w:numPr>
        <w:ind w:left="0" w:leftChars="0" w:firstLine="480" w:firstLineChars="0"/>
        <w:rPr>
          <w:rFonts w:hint="eastAsia" w:ascii="宋体" w:hAnsi="宋体" w:eastAsia="宋体" w:cs="宋体"/>
          <w:b w:val="0"/>
        </w:rPr>
      </w:pPr>
      <w:r>
        <w:t>周边现有充电桩竞争情况</w:t>
      </w:r>
    </w:p>
    <w:p w14:paraId="18DB9257">
      <w:pPr>
        <w:pStyle w:val="4"/>
        <w:keepNext/>
        <w:numPr>
          <w:ilvl w:val="0"/>
          <w:numId w:val="27"/>
        </w:numPr>
        <w:ind w:left="0" w:leftChars="0" w:firstLine="0" w:firstLineChars="0"/>
        <w:rPr>
          <w:rFonts w:hint="eastAsia" w:ascii="黑体" w:hAnsi="黑体" w:eastAsia="黑体" w:cs="黑体"/>
          <w:b w:val="0"/>
        </w:rPr>
      </w:pPr>
      <w:r>
        <w:t>环境与政策因素</w:t>
      </w:r>
    </w:p>
    <w:p w14:paraId="6FDEB0B6">
      <w:pPr>
        <w:pStyle w:val="11"/>
        <w:numPr>
          <w:ilvl w:val="0"/>
          <w:numId w:val="30"/>
        </w:numPr>
        <w:ind w:left="0" w:leftChars="0" w:firstLine="480" w:firstLineChars="0"/>
        <w:rPr>
          <w:rFonts w:hint="eastAsia" w:ascii="宋体" w:hAnsi="宋体" w:eastAsia="宋体" w:cs="宋体"/>
          <w:b w:val="0"/>
        </w:rPr>
      </w:pPr>
      <w:r>
        <w:t>区域规划与土地利用性质</w:t>
      </w:r>
    </w:p>
    <w:p w14:paraId="0B69D5B3">
      <w:pPr>
        <w:pStyle w:val="11"/>
        <w:numPr>
          <w:ilvl w:val="0"/>
          <w:numId w:val="30"/>
        </w:numPr>
        <w:ind w:left="0" w:leftChars="0" w:firstLine="480" w:firstLineChars="0"/>
        <w:rPr>
          <w:rFonts w:hint="eastAsia" w:ascii="宋体" w:hAnsi="宋体" w:eastAsia="宋体" w:cs="宋体"/>
          <w:b w:val="0"/>
        </w:rPr>
      </w:pPr>
      <w:r>
        <w:t>相关政策支持与限制</w:t>
      </w:r>
    </w:p>
    <w:p w14:paraId="293E749D">
      <w:pPr>
        <w:pStyle w:val="11"/>
        <w:numPr>
          <w:ilvl w:val="0"/>
          <w:numId w:val="30"/>
        </w:numPr>
        <w:ind w:left="0" w:leftChars="0" w:firstLine="480" w:firstLineChars="0"/>
        <w:rPr>
          <w:rFonts w:hint="eastAsia" w:ascii="宋体" w:hAnsi="宋体" w:eastAsia="宋体" w:cs="宋体"/>
          <w:b w:val="0"/>
        </w:rPr>
      </w:pPr>
      <w:r>
        <w:t>交通便利性与安全性</w:t>
      </w:r>
    </w:p>
    <w:p w14:paraId="73D53F53">
      <w:pPr>
        <w:pStyle w:val="4"/>
        <w:keepNext/>
        <w:numPr>
          <w:ilvl w:val="0"/>
          <w:numId w:val="27"/>
        </w:numPr>
        <w:ind w:left="0" w:leftChars="0" w:firstLine="0" w:firstLineChars="0"/>
        <w:rPr>
          <w:rFonts w:hint="eastAsia" w:ascii="黑体" w:hAnsi="黑体" w:eastAsia="黑体" w:cs="黑体"/>
          <w:b w:val="0"/>
        </w:rPr>
      </w:pPr>
      <w:r>
        <w:t>技术与运营因素</w:t>
      </w:r>
    </w:p>
    <w:p w14:paraId="7736B1D7">
      <w:pPr>
        <w:pStyle w:val="11"/>
        <w:numPr>
          <w:ilvl w:val="0"/>
          <w:numId w:val="31"/>
        </w:numPr>
        <w:ind w:left="0" w:leftChars="0" w:firstLine="480" w:firstLineChars="0"/>
        <w:rPr>
          <w:rFonts w:hint="eastAsia" w:ascii="宋体" w:hAnsi="宋体" w:eastAsia="宋体" w:cs="宋体"/>
          <w:b w:val="0"/>
        </w:rPr>
      </w:pPr>
      <w:r>
        <w:t>设备安装与维护便利性</w:t>
      </w:r>
    </w:p>
    <w:p w14:paraId="2FA899DB">
      <w:pPr>
        <w:pStyle w:val="11"/>
        <w:numPr>
          <w:ilvl w:val="0"/>
          <w:numId w:val="31"/>
        </w:numPr>
        <w:ind w:left="0" w:leftChars="0" w:firstLine="480" w:firstLineChars="0"/>
        <w:rPr>
          <w:rFonts w:hint="eastAsia" w:ascii="宋体" w:hAnsi="宋体" w:eastAsia="宋体" w:cs="宋体"/>
          <w:b w:val="0"/>
        </w:rPr>
      </w:pPr>
      <w:r>
        <w:t>网络信号覆盖</w:t>
      </w:r>
    </w:p>
    <w:p w14:paraId="4374C680">
      <w:pPr>
        <w:pStyle w:val="11"/>
        <w:numPr>
          <w:ilvl w:val="0"/>
          <w:numId w:val="31"/>
        </w:numPr>
        <w:ind w:left="0" w:leftChars="0" w:firstLine="480" w:firstLineChars="0"/>
        <w:rPr>
          <w:rFonts w:hint="eastAsia" w:ascii="宋体" w:hAnsi="宋体" w:eastAsia="宋体" w:cs="宋体"/>
          <w:b w:val="0"/>
        </w:rPr>
      </w:pPr>
      <w:r>
        <w:t>运营管理便捷性</w:t>
      </w:r>
    </w:p>
    <w:p w14:paraId="308B7B69">
      <w:pPr>
        <w:pStyle w:val="3"/>
        <w:keepNext/>
        <w:numPr>
          <w:ilvl w:val="0"/>
          <w:numId w:val="26"/>
        </w:numPr>
        <w:ind w:left="0" w:leftChars="0" w:firstLine="0" w:firstLineChars="0"/>
        <w:rPr>
          <w:rFonts w:hint="eastAsia" w:ascii="黑体" w:hAnsi="黑体" w:eastAsia="黑体" w:cs="黑体"/>
          <w:b w:val="0"/>
        </w:rPr>
      </w:pPr>
      <w:r>
        <w:t>关键选址影响因素筛选与分析</w:t>
      </w:r>
    </w:p>
    <w:p w14:paraId="5D39F405">
      <w:pPr>
        <w:pStyle w:val="11"/>
        <w:numPr>
          <w:ilvl w:val="0"/>
          <w:numId w:val="32"/>
        </w:numPr>
        <w:ind w:left="0" w:leftChars="0" w:firstLine="480" w:firstLineChars="0"/>
        <w:rPr>
          <w:rFonts w:hint="eastAsia" w:ascii="宋体" w:hAnsi="宋体" w:eastAsia="宋体" w:cs="宋体"/>
          <w:b w:val="0"/>
        </w:rPr>
      </w:pPr>
      <w:r>
        <w:t>基于文献与行业经验的初步筛选</w:t>
      </w:r>
    </w:p>
    <w:p w14:paraId="54D2E7AF">
      <w:pPr>
        <w:pStyle w:val="11"/>
        <w:numPr>
          <w:ilvl w:val="0"/>
          <w:numId w:val="32"/>
        </w:numPr>
        <w:ind w:left="0" w:leftChars="0" w:firstLine="480" w:firstLineChars="0"/>
        <w:rPr>
          <w:rFonts w:hint="eastAsia" w:ascii="宋体" w:hAnsi="宋体" w:eastAsia="宋体" w:cs="宋体"/>
          <w:b w:val="0"/>
        </w:rPr>
      </w:pPr>
      <w:r>
        <w:t>针对C公司特点的因素重要性分析</w:t>
      </w:r>
    </w:p>
    <w:p w14:paraId="4BEC8BE5">
      <w:pPr>
        <w:pStyle w:val="11"/>
        <w:numPr>
          <w:ilvl w:val="0"/>
          <w:numId w:val="32"/>
        </w:numPr>
        <w:ind w:left="0" w:leftChars="0" w:firstLine="480" w:firstLineChars="0"/>
        <w:rPr>
          <w:rFonts w:hint="eastAsia" w:ascii="宋体" w:hAnsi="宋体" w:eastAsia="宋体" w:cs="宋体"/>
          <w:b w:val="0"/>
        </w:rPr>
      </w:pPr>
      <w:r>
        <w:t>确定核心影响因素体系</w:t>
      </w:r>
    </w:p>
    <w:p w14:paraId="5D563923">
      <w:pPr>
        <w:pStyle w:val="3"/>
        <w:keepNext/>
        <w:numPr>
          <w:ilvl w:val="0"/>
          <w:numId w:val="26"/>
        </w:numPr>
        <w:ind w:left="0" w:leftChars="0" w:firstLine="0" w:firstLineChars="0"/>
        <w:rPr>
          <w:b w:val="0"/>
        </w:rPr>
      </w:pPr>
      <w:r>
        <w:t>C公司充电桩运营成本结构分析</w:t>
      </w:r>
    </w:p>
    <w:p w14:paraId="4F5CA2B1">
      <w:pPr>
        <w:pStyle w:val="4"/>
        <w:keepNext/>
        <w:numPr>
          <w:ilvl w:val="0"/>
          <w:numId w:val="33"/>
        </w:numPr>
        <w:ind w:left="0" w:leftChars="0" w:firstLine="0" w:firstLineChars="0"/>
        <w:rPr>
          <w:rFonts w:hint="eastAsia" w:ascii="黑体" w:hAnsi="黑体" w:eastAsia="黑体" w:cs="黑体"/>
          <w:b w:val="0"/>
        </w:rPr>
      </w:pPr>
      <w:r>
        <w:t>初始投资成本</w:t>
      </w:r>
    </w:p>
    <w:p w14:paraId="1CAB65C2">
      <w:pPr>
        <w:pStyle w:val="11"/>
        <w:numPr>
          <w:ilvl w:val="0"/>
          <w:numId w:val="34"/>
        </w:numPr>
        <w:ind w:left="0" w:leftChars="0" w:firstLine="480" w:firstLineChars="0"/>
        <w:rPr>
          <w:rFonts w:hint="eastAsia" w:ascii="宋体" w:hAnsi="宋体" w:eastAsia="宋体" w:cs="宋体"/>
          <w:b w:val="0"/>
        </w:rPr>
      </w:pPr>
      <w:r>
        <w:t>设备采购与安装成本</w:t>
      </w:r>
    </w:p>
    <w:p w14:paraId="7FA179CF">
      <w:pPr>
        <w:pStyle w:val="11"/>
        <w:numPr>
          <w:ilvl w:val="0"/>
          <w:numId w:val="34"/>
        </w:numPr>
        <w:ind w:left="0" w:leftChars="0" w:firstLine="480" w:firstLineChars="0"/>
        <w:rPr>
          <w:rFonts w:hint="eastAsia" w:ascii="宋体" w:hAnsi="宋体" w:eastAsia="宋体" w:cs="宋体"/>
          <w:b w:val="0"/>
        </w:rPr>
      </w:pPr>
      <w:r>
        <w:t>场地租赁与改造成本</w:t>
      </w:r>
    </w:p>
    <w:p w14:paraId="711E1BB8">
      <w:pPr>
        <w:pStyle w:val="11"/>
        <w:numPr>
          <w:ilvl w:val="0"/>
          <w:numId w:val="34"/>
        </w:numPr>
        <w:ind w:left="0" w:leftChars="0" w:firstLine="480" w:firstLineChars="0"/>
        <w:rPr>
          <w:rFonts w:hint="eastAsia" w:ascii="宋体" w:hAnsi="宋体" w:eastAsia="宋体" w:cs="宋体"/>
          <w:b w:val="0"/>
        </w:rPr>
      </w:pPr>
      <w:r>
        <w:t>电力接入与配套设施成本</w:t>
      </w:r>
    </w:p>
    <w:p w14:paraId="3F37BC34">
      <w:pPr>
        <w:pStyle w:val="4"/>
        <w:keepNext/>
        <w:numPr>
          <w:ilvl w:val="0"/>
          <w:numId w:val="33"/>
        </w:numPr>
        <w:ind w:left="0" w:leftChars="0" w:firstLine="0" w:firstLineChars="0"/>
        <w:rPr>
          <w:rFonts w:hint="eastAsia" w:ascii="黑体" w:hAnsi="黑体" w:eastAsia="黑体" w:cs="黑体"/>
          <w:b w:val="0"/>
        </w:rPr>
      </w:pPr>
      <w:r>
        <w:t>运营维护成本</w:t>
      </w:r>
    </w:p>
    <w:p w14:paraId="3A04360A">
      <w:pPr>
        <w:pStyle w:val="11"/>
        <w:numPr>
          <w:ilvl w:val="0"/>
          <w:numId w:val="35"/>
        </w:numPr>
        <w:ind w:left="0" w:leftChars="0" w:firstLine="480" w:firstLineChars="0"/>
        <w:rPr>
          <w:b w:val="0"/>
        </w:rPr>
      </w:pPr>
      <w:r>
        <w:t>electricity cost</w:t>
      </w:r>
    </w:p>
    <w:p w14:paraId="663BC0F7">
      <w:pPr>
        <w:pStyle w:val="11"/>
        <w:numPr>
          <w:ilvl w:val="0"/>
          <w:numId w:val="35"/>
        </w:numPr>
        <w:ind w:left="0" w:leftChars="0" w:firstLine="480" w:firstLineChars="0"/>
        <w:rPr>
          <w:rFonts w:hint="eastAsia" w:ascii="宋体" w:hAnsi="宋体" w:eastAsia="宋体" w:cs="宋体"/>
          <w:b w:val="0"/>
        </w:rPr>
      </w:pPr>
      <w:r>
        <w:t>人工与运维成本</w:t>
      </w:r>
    </w:p>
    <w:p w14:paraId="3D974F7D">
      <w:pPr>
        <w:pStyle w:val="11"/>
        <w:numPr>
          <w:ilvl w:val="0"/>
          <w:numId w:val="35"/>
        </w:numPr>
        <w:ind w:left="0" w:leftChars="0" w:firstLine="480" w:firstLineChars="0"/>
        <w:rPr>
          <w:rFonts w:hint="eastAsia" w:ascii="宋体" w:hAnsi="宋体" w:eastAsia="宋体" w:cs="宋体"/>
          <w:b w:val="0"/>
        </w:rPr>
      </w:pPr>
      <w:r>
        <w:t>场地租金与管理费用</w:t>
      </w:r>
    </w:p>
    <w:p w14:paraId="0711D629">
      <w:pPr>
        <w:pStyle w:val="11"/>
        <w:numPr>
          <w:ilvl w:val="0"/>
          <w:numId w:val="35"/>
        </w:numPr>
        <w:ind w:left="0" w:leftChars="0" w:firstLine="480" w:firstLineChars="0"/>
        <w:rPr>
          <w:rFonts w:hint="eastAsia" w:ascii="宋体" w:hAnsi="宋体" w:eastAsia="宋体" w:cs="宋体"/>
          <w:b w:val="0"/>
        </w:rPr>
      </w:pPr>
      <w:r>
        <w:t>营销与推广成本</w:t>
      </w:r>
    </w:p>
    <w:p w14:paraId="3BC94877">
      <w:pPr>
        <w:pStyle w:val="4"/>
        <w:keepNext/>
        <w:numPr>
          <w:ilvl w:val="0"/>
          <w:numId w:val="33"/>
        </w:numPr>
        <w:ind w:left="0" w:leftChars="0" w:firstLine="0" w:firstLineChars="0"/>
        <w:rPr>
          <w:rFonts w:hint="eastAsia" w:ascii="黑体" w:hAnsi="黑体" w:eastAsia="黑体" w:cs="黑体"/>
          <w:b w:val="0"/>
        </w:rPr>
      </w:pPr>
      <w:r>
        <w:t>其他成本</w:t>
      </w:r>
    </w:p>
    <w:p w14:paraId="1F99385D">
      <w:pPr>
        <w:pStyle w:val="11"/>
        <w:numPr>
          <w:ilvl w:val="0"/>
          <w:numId w:val="36"/>
        </w:numPr>
        <w:ind w:left="0" w:leftChars="0" w:firstLine="480" w:firstLineChars="0"/>
        <w:rPr>
          <w:rFonts w:hint="eastAsia" w:ascii="宋体" w:hAnsi="宋体" w:eastAsia="宋体" w:cs="宋体"/>
          <w:b w:val="0"/>
        </w:rPr>
      </w:pPr>
      <w:r>
        <w:t>折旧与摊销</w:t>
      </w:r>
    </w:p>
    <w:p w14:paraId="2C8F56BA">
      <w:pPr>
        <w:pStyle w:val="11"/>
        <w:numPr>
          <w:ilvl w:val="0"/>
          <w:numId w:val="36"/>
        </w:numPr>
        <w:ind w:left="0" w:leftChars="0" w:firstLine="480" w:firstLineChars="0"/>
        <w:rPr>
          <w:rFonts w:hint="eastAsia" w:ascii="宋体" w:hAnsi="宋体" w:eastAsia="宋体" w:cs="宋体"/>
          <w:b w:val="0"/>
        </w:rPr>
      </w:pPr>
      <w:r>
        <w:t>税费及其他</w:t>
      </w:r>
    </w:p>
    <w:p w14:paraId="36A6919A">
      <w:pPr>
        <w:pStyle w:val="3"/>
        <w:keepNext/>
        <w:numPr>
          <w:ilvl w:val="0"/>
          <w:numId w:val="26"/>
        </w:numPr>
        <w:ind w:left="0" w:leftChars="0" w:firstLine="0" w:firstLineChars="0"/>
        <w:rPr>
          <w:rFonts w:hint="eastAsia" w:ascii="黑体" w:hAnsi="黑体" w:eastAsia="黑体" w:cs="黑体"/>
          <w:b w:val="0"/>
        </w:rPr>
      </w:pPr>
      <w:r>
        <w:t>选址对成本与收益的影响机制分析</w:t>
      </w:r>
    </w:p>
    <w:p w14:paraId="74BCA885">
      <w:pPr>
        <w:pStyle w:val="11"/>
        <w:numPr>
          <w:ilvl w:val="0"/>
          <w:numId w:val="37"/>
        </w:numPr>
        <w:ind w:left="0" w:leftChars="0" w:firstLine="480" w:firstLineChars="0"/>
        <w:rPr>
          <w:rFonts w:hint="eastAsia" w:ascii="宋体" w:hAnsi="宋体" w:eastAsia="宋体" w:cs="宋体"/>
          <w:b w:val="0"/>
        </w:rPr>
      </w:pPr>
      <w:r>
        <w:t>不同选址方案的成本差异比较</w:t>
      </w:r>
    </w:p>
    <w:p w14:paraId="2284C39D">
      <w:pPr>
        <w:pStyle w:val="11"/>
        <w:numPr>
          <w:ilvl w:val="0"/>
          <w:numId w:val="37"/>
        </w:numPr>
        <w:ind w:left="0" w:leftChars="0" w:firstLine="480" w:firstLineChars="0"/>
        <w:rPr>
          <w:rFonts w:hint="eastAsia" w:ascii="宋体" w:hAnsi="宋体" w:eastAsia="宋体" w:cs="宋体"/>
          <w:b w:val="0"/>
        </w:rPr>
      </w:pPr>
      <w:r>
        <w:t>选址对用户流量及充电收入的影响</w:t>
      </w:r>
    </w:p>
    <w:p w14:paraId="791FC1AD">
      <w:pPr>
        <w:pStyle w:val="11"/>
        <w:numPr>
          <w:ilvl w:val="0"/>
          <w:numId w:val="37"/>
        </w:numPr>
        <w:ind w:left="0" w:leftChars="0" w:firstLine="480" w:firstLineChars="0"/>
        <w:rPr>
          <w:rFonts w:hint="eastAsia" w:ascii="宋体" w:hAnsi="宋体" w:eastAsia="宋体" w:cs="宋体"/>
          <w:b w:val="0"/>
        </w:rPr>
      </w:pPr>
      <w:r>
        <w:t>选址与成本收益平衡点的关系</w:t>
      </w:r>
    </w:p>
    <w:p w14:paraId="16B56412">
      <w:pPr>
        <w:pStyle w:val="2"/>
        <w:keepNext/>
        <w:numPr>
          <w:ilvl w:val="0"/>
          <w:numId w:val="7"/>
        </w:numPr>
        <w:ind w:left="0" w:leftChars="0" w:firstLine="0" w:firstLineChars="0"/>
        <w:rPr>
          <w:rFonts w:hint="eastAsia" w:ascii="黑体" w:hAnsi="黑体" w:eastAsia="黑体" w:cs="黑体"/>
          <w:b w:val="0"/>
        </w:rPr>
      </w:pPr>
      <w:r>
        <w:t>综合选址评价模型构建与案例分析</w:t>
      </w:r>
    </w:p>
    <w:p w14:paraId="03EBE1B6">
      <w:pPr>
        <w:pStyle w:val="3"/>
        <w:keepNext/>
        <w:numPr>
          <w:ilvl w:val="0"/>
          <w:numId w:val="38"/>
        </w:numPr>
        <w:ind w:left="0" w:leftChars="0" w:firstLine="0" w:firstLineChars="0"/>
        <w:rPr>
          <w:rFonts w:hint="eastAsia" w:ascii="黑体" w:hAnsi="黑体" w:eastAsia="黑体" w:cs="黑体"/>
          <w:b w:val="0"/>
        </w:rPr>
      </w:pPr>
      <w:r>
        <w:t>综合选址评价指标体系构建</w:t>
      </w:r>
    </w:p>
    <w:p w14:paraId="28D9CD53">
      <w:pPr>
        <w:pStyle w:val="11"/>
        <w:numPr>
          <w:ilvl w:val="0"/>
          <w:numId w:val="39"/>
        </w:numPr>
        <w:ind w:left="0" w:leftChars="0" w:firstLine="480" w:firstLineChars="0"/>
        <w:rPr>
          <w:rFonts w:hint="eastAsia" w:ascii="宋体" w:hAnsi="宋体" w:eastAsia="宋体" w:cs="宋体"/>
          <w:b w:val="0"/>
        </w:rPr>
      </w:pPr>
      <w:r>
        <w:t>指标体系构建原则</w:t>
      </w:r>
    </w:p>
    <w:p w14:paraId="63036AE1">
      <w:pPr>
        <w:pStyle w:val="11"/>
        <w:numPr>
          <w:ilvl w:val="0"/>
          <w:numId w:val="39"/>
        </w:numPr>
        <w:ind w:left="0" w:leftChars="0" w:firstLine="480" w:firstLineChars="0"/>
        <w:rPr>
          <w:rFonts w:hint="eastAsia" w:ascii="宋体" w:hAnsi="宋体" w:eastAsia="宋体" w:cs="宋体"/>
          <w:b w:val="0"/>
        </w:rPr>
      </w:pPr>
      <w:r>
        <w:t>评价指标初选与细化</w:t>
      </w:r>
    </w:p>
    <w:p w14:paraId="628AA145">
      <w:pPr>
        <w:pStyle w:val="11"/>
        <w:numPr>
          <w:ilvl w:val="0"/>
          <w:numId w:val="39"/>
        </w:numPr>
        <w:ind w:left="0" w:leftChars="0" w:firstLine="480" w:firstLineChars="0"/>
        <w:rPr>
          <w:rFonts w:hint="eastAsia" w:ascii="宋体" w:hAnsi="宋体" w:eastAsia="宋体" w:cs="宋体"/>
          <w:b w:val="0"/>
        </w:rPr>
      </w:pPr>
      <w:r>
        <w:t>指标含义与量化方法</w:t>
      </w:r>
    </w:p>
    <w:p w14:paraId="520EBECC">
      <w:pPr>
        <w:pStyle w:val="11"/>
        <w:numPr>
          <w:ilvl w:val="0"/>
          <w:numId w:val="39"/>
        </w:numPr>
        <w:ind w:left="0" w:leftChars="0" w:firstLine="480" w:firstLineChars="0"/>
        <w:rPr>
          <w:rFonts w:hint="eastAsia" w:ascii="宋体" w:hAnsi="宋体" w:eastAsia="宋体" w:cs="宋体"/>
          <w:b w:val="0"/>
        </w:rPr>
      </w:pPr>
      <w:r>
        <w:t>指标权重确定方法选择与应用（如AHP法、熵权法等）</w:t>
      </w:r>
    </w:p>
    <w:p w14:paraId="2982E729">
      <w:pPr>
        <w:pStyle w:val="3"/>
        <w:keepNext/>
        <w:numPr>
          <w:ilvl w:val="0"/>
          <w:numId w:val="38"/>
        </w:numPr>
        <w:ind w:left="0" w:leftChars="0" w:firstLine="0" w:firstLineChars="0"/>
        <w:rPr>
          <w:rFonts w:hint="eastAsia" w:ascii="黑体" w:hAnsi="黑体" w:eastAsia="黑体" w:cs="黑体"/>
          <w:b w:val="0"/>
        </w:rPr>
      </w:pPr>
      <w:r>
        <w:t>综合选址评价模型构建</w:t>
      </w:r>
    </w:p>
    <w:p w14:paraId="29E38712">
      <w:pPr>
        <w:pStyle w:val="11"/>
        <w:numPr>
          <w:ilvl w:val="0"/>
          <w:numId w:val="40"/>
        </w:numPr>
        <w:ind w:left="0" w:leftChars="0" w:firstLine="480" w:firstLineChars="0"/>
        <w:rPr>
          <w:rFonts w:hint="eastAsia" w:ascii="宋体" w:hAnsi="宋体" w:eastAsia="宋体" w:cs="宋体"/>
          <w:b w:val="0"/>
        </w:rPr>
      </w:pPr>
      <w:r>
        <w:t>模型构建思路</w:t>
      </w:r>
    </w:p>
    <w:p w14:paraId="2D1A32CF">
      <w:pPr>
        <w:pStyle w:val="11"/>
        <w:numPr>
          <w:ilvl w:val="0"/>
          <w:numId w:val="40"/>
        </w:numPr>
        <w:ind w:left="0" w:leftChars="0" w:firstLine="480" w:firstLineChars="0"/>
        <w:rPr>
          <w:rFonts w:hint="eastAsia" w:ascii="宋体" w:hAnsi="宋体" w:eastAsia="宋体" w:cs="宋体"/>
          <w:b w:val="0"/>
        </w:rPr>
      </w:pPr>
      <w:r>
        <w:t>评价方法选择（如TOPSIS法、模糊综合评价法、灰色关联分析法等）</w:t>
      </w:r>
    </w:p>
    <w:p w14:paraId="37FAB583">
      <w:pPr>
        <w:pStyle w:val="11"/>
        <w:numPr>
          <w:ilvl w:val="0"/>
          <w:numId w:val="40"/>
        </w:numPr>
        <w:ind w:left="0" w:leftChars="0" w:firstLine="480" w:firstLineChars="0"/>
        <w:rPr>
          <w:rFonts w:hint="eastAsia" w:ascii="宋体" w:hAnsi="宋体" w:eastAsia="宋体" w:cs="宋体"/>
          <w:b w:val="0"/>
        </w:rPr>
      </w:pPr>
      <w:r>
        <w:t>模型具体形式与计算步骤</w:t>
      </w:r>
    </w:p>
    <w:p w14:paraId="4873713F">
      <w:pPr>
        <w:pStyle w:val="3"/>
        <w:keepNext/>
        <w:numPr>
          <w:ilvl w:val="0"/>
          <w:numId w:val="38"/>
        </w:numPr>
        <w:ind w:left="0" w:leftChars="0" w:firstLine="0" w:firstLineChars="0"/>
        <w:rPr>
          <w:b w:val="0"/>
        </w:rPr>
      </w:pPr>
      <w:r>
        <w:t>C公司目标区域概况与数据收集</w:t>
      </w:r>
    </w:p>
    <w:p w14:paraId="2A2C672D">
      <w:pPr>
        <w:pStyle w:val="11"/>
        <w:numPr>
          <w:ilvl w:val="0"/>
          <w:numId w:val="41"/>
        </w:numPr>
        <w:ind w:left="0" w:leftChars="0" w:firstLine="480" w:firstLineChars="0"/>
        <w:rPr>
          <w:rFonts w:hint="eastAsia" w:ascii="宋体" w:hAnsi="宋体" w:eastAsia="宋体" w:cs="宋体"/>
          <w:b w:val="0"/>
        </w:rPr>
      </w:pPr>
      <w:r>
        <w:t>案例研究区域选择依据</w:t>
      </w:r>
    </w:p>
    <w:p w14:paraId="2D0F0225">
      <w:pPr>
        <w:pStyle w:val="11"/>
        <w:numPr>
          <w:ilvl w:val="0"/>
          <w:numId w:val="41"/>
        </w:numPr>
        <w:ind w:left="0" w:leftChars="0" w:firstLine="480" w:firstLineChars="0"/>
        <w:rPr>
          <w:rFonts w:hint="eastAsia" w:ascii="宋体" w:hAnsi="宋体" w:eastAsia="宋体" w:cs="宋体"/>
          <w:b w:val="0"/>
        </w:rPr>
      </w:pPr>
      <w:r>
        <w:t>研究区域基本情况介绍</w:t>
      </w:r>
    </w:p>
    <w:p w14:paraId="65C79FC9">
      <w:pPr>
        <w:pStyle w:val="11"/>
        <w:numPr>
          <w:ilvl w:val="0"/>
          <w:numId w:val="41"/>
        </w:numPr>
        <w:ind w:left="0" w:leftChars="0" w:firstLine="480" w:firstLineChars="0"/>
        <w:rPr>
          <w:rFonts w:hint="eastAsia" w:ascii="宋体" w:hAnsi="宋体" w:eastAsia="宋体" w:cs="宋体"/>
          <w:b w:val="0"/>
        </w:rPr>
      </w:pPr>
      <w:r>
        <w:t>数据来源与收集方法</w:t>
      </w:r>
    </w:p>
    <w:p w14:paraId="25F4246F">
      <w:pPr>
        <w:pStyle w:val="3"/>
        <w:keepNext/>
        <w:numPr>
          <w:ilvl w:val="0"/>
          <w:numId w:val="38"/>
        </w:numPr>
        <w:ind w:left="0" w:leftChars="0" w:firstLine="0" w:firstLineChars="0"/>
        <w:rPr>
          <w:rFonts w:hint="eastAsia" w:ascii="黑体" w:hAnsi="黑体" w:eastAsia="黑体" w:cs="黑体"/>
          <w:b w:val="0"/>
        </w:rPr>
      </w:pPr>
      <w:r>
        <w:t>综合选址评价模型实证应用</w:t>
      </w:r>
    </w:p>
    <w:p w14:paraId="76A3EF86">
      <w:pPr>
        <w:pStyle w:val="11"/>
        <w:numPr>
          <w:ilvl w:val="0"/>
          <w:numId w:val="42"/>
        </w:numPr>
        <w:ind w:left="0" w:leftChars="0" w:firstLine="480" w:firstLineChars="0"/>
        <w:rPr>
          <w:rFonts w:hint="eastAsia" w:ascii="宋体" w:hAnsi="宋体" w:eastAsia="宋体" w:cs="宋体"/>
          <w:b w:val="0"/>
        </w:rPr>
      </w:pPr>
      <w:r>
        <w:t>备选地址选取与基本信息</w:t>
      </w:r>
    </w:p>
    <w:p w14:paraId="5B54B59C">
      <w:pPr>
        <w:pStyle w:val="11"/>
        <w:numPr>
          <w:ilvl w:val="0"/>
          <w:numId w:val="42"/>
        </w:numPr>
        <w:ind w:left="0" w:leftChars="0" w:firstLine="480" w:firstLineChars="0"/>
        <w:rPr>
          <w:rFonts w:hint="eastAsia" w:ascii="宋体" w:hAnsi="宋体" w:eastAsia="宋体" w:cs="宋体"/>
          <w:b w:val="0"/>
        </w:rPr>
      </w:pPr>
      <w:r>
        <w:t>各备选地址指标数据计算与处理</w:t>
      </w:r>
    </w:p>
    <w:p w14:paraId="3C0EB8B2">
      <w:pPr>
        <w:pStyle w:val="11"/>
        <w:numPr>
          <w:ilvl w:val="0"/>
          <w:numId w:val="42"/>
        </w:numPr>
        <w:ind w:left="0" w:leftChars="0" w:firstLine="480" w:firstLineChars="0"/>
        <w:rPr>
          <w:rFonts w:hint="eastAsia" w:ascii="宋体" w:hAnsi="宋体" w:eastAsia="宋体" w:cs="宋体"/>
          <w:b w:val="0"/>
        </w:rPr>
      </w:pPr>
      <w:r>
        <w:t>基于评价模型的备选地址排序与优选</w:t>
      </w:r>
    </w:p>
    <w:p w14:paraId="5B3CFC73">
      <w:pPr>
        <w:pStyle w:val="3"/>
        <w:keepNext/>
        <w:numPr>
          <w:ilvl w:val="0"/>
          <w:numId w:val="38"/>
        </w:numPr>
        <w:ind w:left="0" w:leftChars="0" w:firstLine="0" w:firstLineChars="0"/>
        <w:rPr>
          <w:rFonts w:hint="eastAsia" w:ascii="黑体" w:hAnsi="黑体" w:eastAsia="黑体" w:cs="黑体"/>
          <w:b w:val="0"/>
        </w:rPr>
      </w:pPr>
      <w:r>
        <w:t>评价结果分析与验证</w:t>
      </w:r>
    </w:p>
    <w:p w14:paraId="7ADE0A3C">
      <w:pPr>
        <w:pStyle w:val="11"/>
        <w:numPr>
          <w:ilvl w:val="0"/>
          <w:numId w:val="43"/>
        </w:numPr>
        <w:ind w:left="0" w:leftChars="0" w:firstLine="480" w:firstLineChars="0"/>
        <w:rPr>
          <w:rFonts w:hint="eastAsia" w:ascii="宋体" w:hAnsi="宋体" w:eastAsia="宋体" w:cs="宋体"/>
          <w:b w:val="0"/>
        </w:rPr>
      </w:pPr>
      <w:r>
        <w:t>模型评价结果解读</w:t>
      </w:r>
    </w:p>
    <w:p w14:paraId="30ABC376">
      <w:pPr>
        <w:pStyle w:val="11"/>
        <w:numPr>
          <w:ilvl w:val="0"/>
          <w:numId w:val="43"/>
        </w:numPr>
        <w:ind w:left="0" w:leftChars="0" w:firstLine="480" w:firstLineChars="0"/>
        <w:rPr>
          <w:rFonts w:hint="eastAsia" w:ascii="宋体" w:hAnsi="宋体" w:eastAsia="宋体" w:cs="宋体"/>
          <w:b w:val="0"/>
        </w:rPr>
      </w:pPr>
      <w:r>
        <w:t>与实际运营情况对比分析</w:t>
      </w:r>
    </w:p>
    <w:p w14:paraId="1FFF63EB">
      <w:pPr>
        <w:pStyle w:val="11"/>
        <w:numPr>
          <w:ilvl w:val="0"/>
          <w:numId w:val="43"/>
        </w:numPr>
        <w:ind w:left="0" w:leftChars="0" w:firstLine="480" w:firstLineChars="0"/>
        <w:rPr>
          <w:rFonts w:hint="eastAsia" w:ascii="宋体" w:hAnsi="宋体" w:eastAsia="宋体" w:cs="宋体"/>
          <w:b w:val="0"/>
        </w:rPr>
      </w:pPr>
      <w:r>
        <w:t>模型有效性与适用性讨论</w:t>
      </w:r>
    </w:p>
    <w:p w14:paraId="6CCAA165">
      <w:pPr>
        <w:pStyle w:val="2"/>
        <w:keepNext/>
        <w:numPr>
          <w:ilvl w:val="0"/>
          <w:numId w:val="7"/>
        </w:numPr>
        <w:ind w:left="0" w:leftChars="0" w:firstLine="0" w:firstLineChars="0"/>
        <w:rPr>
          <w:rFonts w:hint="eastAsia" w:ascii="黑体" w:hAnsi="黑体" w:eastAsia="黑体" w:cs="黑体"/>
          <w:b w:val="0"/>
        </w:rPr>
      </w:pPr>
      <w:r>
        <w:t>运营策略与布局优化建议</w:t>
      </w:r>
    </w:p>
    <w:p w14:paraId="045C881D">
      <w:pPr>
        <w:pStyle w:val="3"/>
        <w:keepNext/>
        <w:numPr>
          <w:ilvl w:val="0"/>
          <w:numId w:val="44"/>
        </w:numPr>
        <w:ind w:left="0" w:leftChars="0" w:firstLine="0" w:firstLineChars="0"/>
        <w:rPr>
          <w:b w:val="0"/>
        </w:rPr>
      </w:pPr>
      <w:r>
        <w:t>C公司充电桩运营策略优化建议</w:t>
      </w:r>
    </w:p>
    <w:p w14:paraId="62571042">
      <w:pPr>
        <w:pStyle w:val="11"/>
        <w:numPr>
          <w:ilvl w:val="0"/>
          <w:numId w:val="45"/>
        </w:numPr>
        <w:ind w:left="0" w:leftChars="0" w:firstLine="480" w:firstLineChars="0"/>
        <w:rPr>
          <w:rFonts w:hint="eastAsia" w:ascii="宋体" w:hAnsi="宋体" w:eastAsia="宋体" w:cs="宋体"/>
          <w:b w:val="0"/>
        </w:rPr>
      </w:pPr>
      <w:r>
        <w:t>目标市场定位与细分策略</w:t>
      </w:r>
    </w:p>
    <w:p w14:paraId="73001118">
      <w:pPr>
        <w:pStyle w:val="11"/>
        <w:numPr>
          <w:ilvl w:val="0"/>
          <w:numId w:val="45"/>
        </w:numPr>
        <w:ind w:left="0" w:leftChars="0" w:firstLine="480" w:firstLineChars="0"/>
        <w:rPr>
          <w:rFonts w:hint="eastAsia" w:ascii="宋体" w:hAnsi="宋体" w:eastAsia="宋体" w:cs="宋体"/>
          <w:b w:val="0"/>
        </w:rPr>
      </w:pPr>
      <w:r>
        <w:t>产品与服务优化策略</w:t>
      </w:r>
    </w:p>
    <w:p w14:paraId="0FB19B99">
      <w:pPr>
        <w:pStyle w:val="11"/>
        <w:numPr>
          <w:ilvl w:val="0"/>
          <w:numId w:val="46"/>
        </w:numPr>
        <w:ind w:left="0" w:leftChars="0" w:firstLine="480" w:firstLineChars="0"/>
        <w:rPr>
          <w:rFonts w:hint="eastAsia" w:ascii="宋体" w:hAnsi="宋体" w:eastAsia="宋体" w:cs="宋体"/>
          <w:b w:val="0"/>
        </w:rPr>
      </w:pPr>
      <w:r>
        <w:t>充电桩类型与功能升级</w:t>
      </w:r>
    </w:p>
    <w:p w14:paraId="73D1E944">
      <w:pPr>
        <w:pStyle w:val="11"/>
        <w:numPr>
          <w:ilvl w:val="0"/>
          <w:numId w:val="46"/>
        </w:numPr>
        <w:ind w:left="0" w:leftChars="0" w:firstLine="480" w:firstLineChars="0"/>
        <w:rPr>
          <w:rFonts w:hint="eastAsia" w:ascii="宋体" w:hAnsi="宋体" w:eastAsia="宋体" w:cs="宋体"/>
          <w:b w:val="0"/>
        </w:rPr>
      </w:pPr>
      <w:r>
        <w:t>增值服务开发（如广告、便民服务等）</w:t>
      </w:r>
    </w:p>
    <w:p w14:paraId="778CE667">
      <w:pPr>
        <w:pStyle w:val="11"/>
        <w:numPr>
          <w:ilvl w:val="0"/>
          <w:numId w:val="45"/>
        </w:numPr>
        <w:ind w:left="0" w:leftChars="0" w:firstLine="480" w:firstLineChars="0"/>
        <w:rPr>
          <w:rFonts w:hint="eastAsia" w:ascii="宋体" w:hAnsi="宋体" w:eastAsia="宋体" w:cs="宋体"/>
          <w:b w:val="0"/>
        </w:rPr>
      </w:pPr>
      <w:r>
        <w:t>定价与促销策略</w:t>
      </w:r>
    </w:p>
    <w:p w14:paraId="475EC8BC">
      <w:pPr>
        <w:pStyle w:val="11"/>
        <w:numPr>
          <w:ilvl w:val="0"/>
          <w:numId w:val="47"/>
        </w:numPr>
        <w:ind w:left="0" w:leftChars="0" w:firstLine="480" w:firstLineChars="0"/>
        <w:rPr>
          <w:rFonts w:hint="eastAsia" w:ascii="宋体" w:hAnsi="宋体" w:eastAsia="宋体" w:cs="宋体"/>
          <w:b w:val="0"/>
        </w:rPr>
      </w:pPr>
      <w:r>
        <w:t>灵活的定价机制设计</w:t>
      </w:r>
    </w:p>
    <w:p w14:paraId="48BA2712">
      <w:pPr>
        <w:pStyle w:val="11"/>
        <w:numPr>
          <w:ilvl w:val="0"/>
          <w:numId w:val="47"/>
        </w:numPr>
        <w:ind w:left="0" w:leftChars="0" w:firstLine="480" w:firstLineChars="0"/>
        <w:rPr>
          <w:rFonts w:hint="eastAsia" w:ascii="宋体" w:hAnsi="宋体" w:eastAsia="宋体" w:cs="宋体"/>
          <w:b w:val="0"/>
        </w:rPr>
      </w:pPr>
      <w:r>
        <w:t>针对性的促销活动策划</w:t>
      </w:r>
    </w:p>
    <w:p w14:paraId="1A3842DC">
      <w:pPr>
        <w:pStyle w:val="11"/>
        <w:numPr>
          <w:ilvl w:val="0"/>
          <w:numId w:val="45"/>
        </w:numPr>
        <w:ind w:left="0" w:leftChars="0" w:firstLine="480" w:firstLineChars="0"/>
        <w:rPr>
          <w:rFonts w:hint="eastAsia" w:ascii="宋体" w:hAnsi="宋体" w:eastAsia="宋体" w:cs="宋体"/>
          <w:b w:val="0"/>
        </w:rPr>
      </w:pPr>
      <w:r>
        <w:t>客户关系管理与用户体验提升策略</w:t>
      </w:r>
    </w:p>
    <w:p w14:paraId="312FEB66">
      <w:pPr>
        <w:pStyle w:val="11"/>
        <w:numPr>
          <w:ilvl w:val="0"/>
          <w:numId w:val="45"/>
        </w:numPr>
        <w:ind w:left="0" w:leftChars="0" w:firstLine="480" w:firstLineChars="0"/>
        <w:rPr>
          <w:rFonts w:hint="eastAsia" w:ascii="宋体" w:hAnsi="宋体" w:eastAsia="宋体" w:cs="宋体"/>
          <w:b w:val="0"/>
        </w:rPr>
      </w:pPr>
      <w:r>
        <w:t>智能化与数字化运营管理策略</w:t>
      </w:r>
    </w:p>
    <w:p w14:paraId="63F8DD9D">
      <w:pPr>
        <w:pStyle w:val="3"/>
        <w:keepNext/>
        <w:numPr>
          <w:ilvl w:val="0"/>
          <w:numId w:val="44"/>
        </w:numPr>
        <w:ind w:left="0" w:leftChars="0" w:firstLine="0" w:firstLineChars="0"/>
        <w:rPr>
          <w:b w:val="0"/>
        </w:rPr>
      </w:pPr>
      <w:r>
        <w:t>C公司充电桩布局优化建议</w:t>
      </w:r>
    </w:p>
    <w:p w14:paraId="50A97AE0">
      <w:pPr>
        <w:pStyle w:val="11"/>
        <w:numPr>
          <w:ilvl w:val="0"/>
          <w:numId w:val="48"/>
        </w:numPr>
        <w:ind w:left="0" w:leftChars="0" w:firstLine="480" w:firstLineChars="0"/>
        <w:rPr>
          <w:rFonts w:hint="eastAsia" w:ascii="宋体" w:hAnsi="宋体" w:eastAsia="宋体" w:cs="宋体"/>
          <w:b w:val="0"/>
        </w:rPr>
      </w:pPr>
      <w:r>
        <w:t>基于需求的区域布局优化原则</w:t>
      </w:r>
    </w:p>
    <w:p w14:paraId="60A70A75">
      <w:pPr>
        <w:pStyle w:val="11"/>
        <w:numPr>
          <w:ilvl w:val="0"/>
          <w:numId w:val="48"/>
        </w:numPr>
        <w:ind w:left="0" w:leftChars="0" w:firstLine="480" w:firstLineChars="0"/>
        <w:rPr>
          <w:rFonts w:hint="eastAsia" w:ascii="宋体" w:hAnsi="宋体" w:eastAsia="宋体" w:cs="宋体"/>
          <w:b w:val="0"/>
        </w:rPr>
      </w:pPr>
      <w:r>
        <w:t>不同类型区域（如社区、商圈、学校、医院等）的布局策略</w:t>
      </w:r>
    </w:p>
    <w:p w14:paraId="5A0EE01D">
      <w:pPr>
        <w:pStyle w:val="11"/>
        <w:numPr>
          <w:ilvl w:val="0"/>
          <w:numId w:val="48"/>
        </w:numPr>
        <w:ind w:left="0" w:leftChars="0" w:firstLine="480" w:firstLineChars="0"/>
        <w:rPr>
          <w:rFonts w:hint="eastAsia" w:ascii="宋体" w:hAnsi="宋体" w:eastAsia="宋体" w:cs="宋体"/>
          <w:b w:val="0"/>
        </w:rPr>
      </w:pPr>
      <w:r>
        <w:t>充电桩密度与容量配置优化</w:t>
      </w:r>
    </w:p>
    <w:p w14:paraId="4F9F5ED1">
      <w:pPr>
        <w:pStyle w:val="11"/>
        <w:numPr>
          <w:ilvl w:val="0"/>
          <w:numId w:val="48"/>
        </w:numPr>
        <w:ind w:left="0" w:leftChars="0" w:firstLine="480" w:firstLineChars="0"/>
        <w:rPr>
          <w:rFonts w:hint="eastAsia" w:ascii="宋体" w:hAnsi="宋体" w:eastAsia="宋体" w:cs="宋体"/>
          <w:b w:val="0"/>
        </w:rPr>
      </w:pPr>
      <w:r>
        <w:t>与其他公共设施协同布局建议</w:t>
      </w:r>
    </w:p>
    <w:p w14:paraId="5B46ED64">
      <w:pPr>
        <w:pStyle w:val="3"/>
        <w:keepNext/>
        <w:numPr>
          <w:ilvl w:val="0"/>
          <w:numId w:val="44"/>
        </w:numPr>
        <w:ind w:left="0" w:leftChars="0" w:firstLine="0" w:firstLineChars="0"/>
        <w:rPr>
          <w:rFonts w:hint="eastAsia" w:ascii="黑体" w:hAnsi="黑体" w:eastAsia="黑体" w:cs="黑体"/>
          <w:b w:val="0"/>
        </w:rPr>
      </w:pPr>
      <w:r>
        <w:t>提升充电桩利用率的具体措施</w:t>
      </w:r>
    </w:p>
    <w:p w14:paraId="0AD5C2C0">
      <w:pPr>
        <w:pStyle w:val="11"/>
        <w:numPr>
          <w:ilvl w:val="0"/>
          <w:numId w:val="49"/>
        </w:numPr>
        <w:ind w:left="0" w:leftChars="0" w:firstLine="480" w:firstLineChars="0"/>
        <w:rPr>
          <w:rFonts w:hint="eastAsia" w:ascii="宋体" w:hAnsi="宋体" w:eastAsia="宋体" w:cs="宋体"/>
          <w:b w:val="0"/>
        </w:rPr>
      </w:pPr>
      <w:r>
        <w:t>线上线下相结合的引流措施</w:t>
      </w:r>
    </w:p>
    <w:p w14:paraId="2E2D2FFA">
      <w:pPr>
        <w:pStyle w:val="11"/>
        <w:numPr>
          <w:ilvl w:val="0"/>
          <w:numId w:val="49"/>
        </w:numPr>
        <w:ind w:left="0" w:leftChars="0" w:firstLine="480" w:firstLineChars="0"/>
        <w:rPr>
          <w:rFonts w:hint="eastAsia" w:ascii="宋体" w:hAnsi="宋体" w:eastAsia="宋体" w:cs="宋体"/>
          <w:b w:val="0"/>
        </w:rPr>
      </w:pPr>
      <w:r>
        <w:t>错峰充电与预约充电机制</w:t>
      </w:r>
    </w:p>
    <w:p w14:paraId="08ECEB7C">
      <w:pPr>
        <w:pStyle w:val="11"/>
        <w:numPr>
          <w:ilvl w:val="0"/>
          <w:numId w:val="49"/>
        </w:numPr>
        <w:ind w:left="0" w:leftChars="0" w:firstLine="480" w:firstLineChars="0"/>
        <w:rPr>
          <w:rFonts w:hint="eastAsia" w:ascii="宋体" w:hAnsi="宋体" w:eastAsia="宋体" w:cs="宋体"/>
          <w:b w:val="0"/>
        </w:rPr>
      </w:pPr>
      <w:r>
        <w:t>针对特定用户群体的定向服务</w:t>
      </w:r>
    </w:p>
    <w:p w14:paraId="42E12DED">
      <w:pPr>
        <w:pStyle w:val="3"/>
        <w:keepNext/>
        <w:numPr>
          <w:ilvl w:val="0"/>
          <w:numId w:val="44"/>
        </w:numPr>
        <w:ind w:left="0" w:leftChars="0" w:firstLine="0" w:firstLineChars="0"/>
        <w:rPr>
          <w:rFonts w:hint="eastAsia" w:ascii="黑体" w:hAnsi="黑体" w:eastAsia="黑体" w:cs="黑体"/>
          <w:b w:val="0"/>
        </w:rPr>
      </w:pPr>
      <w:r>
        <w:t>成本控制与盈利模式创新建议</w:t>
      </w:r>
    </w:p>
    <w:p w14:paraId="1B1DBA56">
      <w:pPr>
        <w:pStyle w:val="11"/>
        <w:numPr>
          <w:ilvl w:val="0"/>
          <w:numId w:val="50"/>
        </w:numPr>
        <w:ind w:left="0" w:leftChars="0" w:firstLine="480" w:firstLineChars="0"/>
        <w:rPr>
          <w:rFonts w:hint="eastAsia" w:ascii="宋体" w:hAnsi="宋体" w:eastAsia="宋体" w:cs="宋体"/>
          <w:b w:val="0"/>
        </w:rPr>
      </w:pPr>
      <w:r>
        <w:t>精细化成本管理措施</w:t>
      </w:r>
    </w:p>
    <w:p w14:paraId="6414D9E3">
      <w:pPr>
        <w:pStyle w:val="11"/>
        <w:numPr>
          <w:ilvl w:val="0"/>
          <w:numId w:val="50"/>
        </w:numPr>
        <w:ind w:left="0" w:leftChars="0" w:firstLine="480" w:firstLineChars="0"/>
        <w:rPr>
          <w:rFonts w:hint="eastAsia" w:ascii="宋体" w:hAnsi="宋体" w:eastAsia="宋体" w:cs="宋体"/>
          <w:b w:val="0"/>
        </w:rPr>
      </w:pPr>
      <w:r>
        <w:t>多元化盈利渠道拓展</w:t>
      </w:r>
    </w:p>
    <w:p w14:paraId="7084AB2C">
      <w:pPr>
        <w:pStyle w:val="11"/>
        <w:numPr>
          <w:ilvl w:val="0"/>
          <w:numId w:val="50"/>
        </w:numPr>
        <w:ind w:left="0" w:leftChars="0" w:firstLine="480" w:firstLineChars="0"/>
        <w:rPr>
          <w:rFonts w:hint="eastAsia" w:ascii="宋体" w:hAnsi="宋体" w:eastAsia="宋体" w:cs="宋体"/>
          <w:b w:val="0"/>
        </w:rPr>
      </w:pPr>
      <w:r>
        <w:t>战略合作与资源整合建议</w:t>
      </w:r>
    </w:p>
    <w:p w14:paraId="4EA40BE9">
      <w:pPr>
        <w:pStyle w:val="3"/>
        <w:keepNext/>
        <w:numPr>
          <w:ilvl w:val="0"/>
          <w:numId w:val="44"/>
        </w:numPr>
        <w:ind w:left="0" w:leftChars="0" w:firstLine="0" w:firstLineChars="0"/>
        <w:rPr>
          <w:rFonts w:hint="eastAsia" w:ascii="黑体" w:hAnsi="黑体" w:eastAsia="黑体" w:cs="黑体"/>
          <w:b w:val="0"/>
        </w:rPr>
      </w:pPr>
      <w:r>
        <w:t>政策利用与风险防范建议</w:t>
      </w:r>
    </w:p>
    <w:p w14:paraId="6A77C621">
      <w:pPr>
        <w:pStyle w:val="11"/>
        <w:numPr>
          <w:ilvl w:val="0"/>
          <w:numId w:val="51"/>
        </w:numPr>
        <w:ind w:left="0" w:leftChars="0" w:firstLine="480" w:firstLineChars="0"/>
        <w:rPr>
          <w:rFonts w:hint="eastAsia" w:ascii="宋体" w:hAnsi="宋体" w:eastAsia="宋体" w:cs="宋体"/>
          <w:b w:val="0"/>
        </w:rPr>
      </w:pPr>
      <w:r>
        <w:t>积极争取政策支持与补贴</w:t>
      </w:r>
    </w:p>
    <w:p w14:paraId="6242C072">
      <w:pPr>
        <w:pStyle w:val="11"/>
        <w:numPr>
          <w:ilvl w:val="0"/>
          <w:numId w:val="51"/>
        </w:numPr>
        <w:ind w:left="0" w:leftChars="0" w:firstLine="480" w:firstLineChars="0"/>
        <w:rPr>
          <w:rFonts w:hint="eastAsia" w:ascii="宋体" w:hAnsi="宋体" w:eastAsia="宋体" w:cs="宋体"/>
          <w:b w:val="0"/>
        </w:rPr>
      </w:pPr>
      <w:r>
        <w:t>主要运营风险识别与应对措施</w:t>
      </w:r>
    </w:p>
    <w:p w14:paraId="5F2C5AAD">
      <w:pPr>
        <w:pStyle w:val="2"/>
        <w:keepNext/>
        <w:numPr>
          <w:ilvl w:val="0"/>
          <w:numId w:val="7"/>
        </w:numPr>
        <w:ind w:left="0" w:leftChars="0" w:firstLine="0" w:firstLineChars="0"/>
        <w:rPr>
          <w:rFonts w:hint="eastAsia" w:ascii="黑体" w:hAnsi="黑体" w:eastAsia="黑体" w:cs="黑体"/>
          <w:b w:val="0"/>
        </w:rPr>
      </w:pPr>
      <w:r>
        <w:t>结论与展望</w:t>
      </w:r>
    </w:p>
    <w:p w14:paraId="54504B47">
      <w:pPr>
        <w:pStyle w:val="3"/>
        <w:keepNext/>
        <w:numPr>
          <w:ilvl w:val="0"/>
          <w:numId w:val="52"/>
        </w:numPr>
        <w:ind w:left="0" w:leftChars="0" w:firstLine="0" w:firstLineChars="0"/>
        <w:rPr>
          <w:rFonts w:hint="eastAsia" w:ascii="黑体" w:hAnsi="黑体" w:eastAsia="黑体" w:cs="黑体"/>
          <w:b w:val="0"/>
        </w:rPr>
      </w:pPr>
      <w:r>
        <w:t>主要研究结论</w:t>
      </w:r>
    </w:p>
    <w:p w14:paraId="6073489A">
      <w:pPr>
        <w:pStyle w:val="11"/>
        <w:numPr>
          <w:ilvl w:val="0"/>
          <w:numId w:val="53"/>
        </w:numPr>
        <w:ind w:left="0" w:leftChars="0" w:firstLine="480" w:firstLineChars="0"/>
        <w:rPr>
          <w:rFonts w:hint="eastAsia" w:ascii="宋体" w:hAnsi="宋体" w:eastAsia="宋体" w:cs="宋体"/>
          <w:b w:val="0"/>
        </w:rPr>
      </w:pPr>
      <w:r>
        <w:t>关于C公司运营现状与问题的结论</w:t>
      </w:r>
    </w:p>
    <w:p w14:paraId="7B40C692">
      <w:pPr>
        <w:pStyle w:val="11"/>
        <w:numPr>
          <w:ilvl w:val="0"/>
          <w:numId w:val="53"/>
        </w:numPr>
        <w:ind w:left="0" w:leftChars="0" w:firstLine="480" w:firstLineChars="0"/>
        <w:rPr>
          <w:rFonts w:hint="eastAsia" w:ascii="宋体" w:hAnsi="宋体" w:eastAsia="宋体" w:cs="宋体"/>
          <w:b w:val="0"/>
        </w:rPr>
      </w:pPr>
      <w:r>
        <w:t>关于选址影响因素与成本结构的结论</w:t>
      </w:r>
    </w:p>
    <w:p w14:paraId="515C5BB3">
      <w:pPr>
        <w:pStyle w:val="11"/>
        <w:numPr>
          <w:ilvl w:val="0"/>
          <w:numId w:val="53"/>
        </w:numPr>
        <w:ind w:left="0" w:leftChars="0" w:firstLine="480" w:firstLineChars="0"/>
        <w:rPr>
          <w:rFonts w:hint="eastAsia" w:ascii="宋体" w:hAnsi="宋体" w:eastAsia="宋体" w:cs="宋体"/>
          <w:b w:val="0"/>
        </w:rPr>
      </w:pPr>
      <w:r>
        <w:t>关于综合选址评价模型应用效果的结论</w:t>
      </w:r>
    </w:p>
    <w:p w14:paraId="6DB11C51">
      <w:pPr>
        <w:pStyle w:val="11"/>
        <w:numPr>
          <w:ilvl w:val="0"/>
          <w:numId w:val="53"/>
        </w:numPr>
        <w:ind w:left="0" w:leftChars="0" w:firstLine="480" w:firstLineChars="0"/>
        <w:rPr>
          <w:rFonts w:hint="eastAsia" w:ascii="宋体" w:hAnsi="宋体" w:eastAsia="宋体" w:cs="宋体"/>
          <w:b w:val="0"/>
        </w:rPr>
      </w:pPr>
      <w:r>
        <w:t>关于运营策略与布局优化建议的核心结论</w:t>
      </w:r>
    </w:p>
    <w:p w14:paraId="5953E799">
      <w:pPr>
        <w:pStyle w:val="3"/>
        <w:keepNext/>
        <w:numPr>
          <w:ilvl w:val="0"/>
          <w:numId w:val="52"/>
        </w:numPr>
        <w:ind w:left="0" w:leftChars="0" w:firstLine="0" w:firstLineChars="0"/>
        <w:rPr>
          <w:rFonts w:hint="eastAsia" w:ascii="黑体" w:hAnsi="黑体" w:eastAsia="黑体" w:cs="黑体"/>
          <w:b w:val="0"/>
        </w:rPr>
      </w:pPr>
      <w:r>
        <w:t>研究不足</w:t>
      </w:r>
    </w:p>
    <w:p w14:paraId="0975F854">
      <w:pPr>
        <w:pStyle w:val="11"/>
        <w:numPr>
          <w:ilvl w:val="0"/>
          <w:numId w:val="54"/>
        </w:numPr>
        <w:ind w:left="0" w:leftChars="0" w:firstLine="480" w:firstLineChars="0"/>
        <w:rPr>
          <w:rFonts w:hint="eastAsia" w:ascii="宋体" w:hAnsi="宋体" w:eastAsia="宋体" w:cs="宋体"/>
          <w:b w:val="0"/>
        </w:rPr>
      </w:pPr>
      <w:r>
        <w:t>理论研究深度的局限性</w:t>
      </w:r>
    </w:p>
    <w:p w14:paraId="4681F323">
      <w:pPr>
        <w:pStyle w:val="11"/>
        <w:numPr>
          <w:ilvl w:val="0"/>
          <w:numId w:val="54"/>
        </w:numPr>
        <w:ind w:left="0" w:leftChars="0" w:firstLine="480" w:firstLineChars="0"/>
        <w:rPr>
          <w:rFonts w:hint="eastAsia" w:ascii="宋体" w:hAnsi="宋体" w:eastAsia="宋体" w:cs="宋体"/>
          <w:b w:val="0"/>
        </w:rPr>
      </w:pPr>
      <w:r>
        <w:t>实证研究范围与数据的局限性</w:t>
      </w:r>
    </w:p>
    <w:p w14:paraId="762F0A32">
      <w:pPr>
        <w:pStyle w:val="11"/>
        <w:numPr>
          <w:ilvl w:val="0"/>
          <w:numId w:val="54"/>
        </w:numPr>
        <w:ind w:left="0" w:leftChars="0" w:firstLine="480" w:firstLineChars="0"/>
        <w:rPr>
          <w:rFonts w:hint="eastAsia" w:ascii="宋体" w:hAnsi="宋体" w:eastAsia="宋体" w:cs="宋体"/>
          <w:b w:val="0"/>
        </w:rPr>
      </w:pPr>
      <w:r>
        <w:t>模型构建与应用的局限性</w:t>
      </w:r>
    </w:p>
    <w:p w14:paraId="692CD5CF">
      <w:pPr>
        <w:pStyle w:val="3"/>
        <w:keepNext/>
        <w:numPr>
          <w:ilvl w:val="0"/>
          <w:numId w:val="52"/>
        </w:numPr>
        <w:ind w:left="0" w:leftChars="0" w:firstLine="0" w:firstLineChars="0"/>
        <w:rPr>
          <w:rFonts w:hint="eastAsia" w:ascii="黑体" w:hAnsi="黑体" w:eastAsia="黑体" w:cs="黑体"/>
          <w:b w:val="0"/>
        </w:rPr>
      </w:pPr>
      <w:r>
        <w:t>未来研究展望</w:t>
      </w:r>
    </w:p>
    <w:p w14:paraId="422C235A">
      <w:pPr>
        <w:pStyle w:val="11"/>
        <w:numPr>
          <w:ilvl w:val="0"/>
          <w:numId w:val="55"/>
        </w:numPr>
        <w:ind w:left="0" w:leftChars="0" w:firstLine="480" w:firstLineChars="0"/>
        <w:rPr>
          <w:rFonts w:hint="eastAsia" w:ascii="宋体" w:hAnsi="宋体" w:eastAsia="宋体" w:cs="宋体"/>
          <w:b w:val="0"/>
        </w:rPr>
      </w:pPr>
      <w:r>
        <w:t>拓展研究视角与内容建议</w:t>
      </w:r>
    </w:p>
    <w:p w14:paraId="77D6F2EA">
      <w:pPr>
        <w:pStyle w:val="11"/>
        <w:numPr>
          <w:ilvl w:val="0"/>
          <w:numId w:val="55"/>
        </w:numPr>
        <w:ind w:left="0" w:leftChars="0" w:firstLine="480" w:firstLineChars="0"/>
        <w:rPr>
          <w:rFonts w:hint="eastAsia" w:ascii="宋体" w:hAnsi="宋体" w:eastAsia="宋体" w:cs="宋体"/>
          <w:b w:val="0"/>
        </w:rPr>
      </w:pPr>
      <w:r>
        <w:t>改进研究方法与数据获取方式建议</w:t>
      </w:r>
    </w:p>
    <w:p w14:paraId="5868B8B1">
      <w:pPr>
        <w:pStyle w:val="11"/>
        <w:numPr>
          <w:ilvl w:val="0"/>
          <w:numId w:val="55"/>
        </w:numPr>
        <w:ind w:left="0" w:leftChars="0" w:firstLine="480" w:firstLineChars="0"/>
        <w:rPr>
          <w:rFonts w:hint="eastAsia" w:ascii="宋体" w:hAnsi="宋体" w:eastAsia="宋体" w:cs="宋体"/>
          <w:b w:val="0"/>
        </w:rPr>
      </w:pPr>
      <w:r>
        <w:t>结合行业发展新趋势的研究方向</w:t>
      </w:r>
    </w:p>
    <w:p w14:paraId="75B17B33">
      <w:pPr>
        <w:pStyle w:val="11"/>
        <w:widowControl/>
      </w:pPr>
    </w:p>
    <w:p w14:paraId="26E55A16">
      <w:pPr>
        <w:pStyle w:val="15"/>
        <w:keepNext w:val="0"/>
        <w:keepLines w:val="0"/>
        <w:widowControl/>
        <w:suppressLineNumbers w:val="0"/>
        <w:spacing w:before="100" w:beforeAutospacing="1" w:after="100" w:afterAutospacing="1"/>
        <w:ind w:left="0" w:right="0"/>
      </w:pPr>
    </w:p>
    <w:p w14:paraId="6F561BFE">
      <w:pPr>
        <w:pStyle w:val="2"/>
        <w:keepNext/>
        <w:widowControl/>
        <w:numPr>
          <w:ilvl w:val="0"/>
          <w:numId w:val="1"/>
        </w:numPr>
        <w:topLinePunct w:val="0"/>
        <w:ind w:left="0" w:leftChars="0" w:firstLine="0" w:firstLineChars="0"/>
        <w:rPr>
          <w:rFonts w:hint="eastAsia" w:ascii="黑体" w:hAnsi="黑体" w:eastAsia="黑体" w:cs="黑体"/>
          <w:b w:val="0"/>
        </w:rPr>
      </w:pPr>
      <w:r>
        <w:t>预期成果</w:t>
      </w:r>
    </w:p>
    <w:p w14:paraId="5C42EAC3">
      <w:pPr>
        <w:pStyle w:val="11"/>
        <w:widowControl/>
      </w:pPr>
      <w:r>
        <w:t>构建社区电动自行车充电桩的选址指标体系；形成安装成本与维护成本模型；建立综合决策模型；提出可用于企业扩张的选址与运营策略。</w:t>
      </w:r>
    </w:p>
    <w:p w14:paraId="2182DB42">
      <w:pPr>
        <w:jc w:val="left"/>
        <w:rPr>
          <w:rFonts w:hint="eastAsia" w:ascii="宋体" w:hAnsi="宋体" w:cs="AdobeSongStd-Light"/>
          <w:b/>
          <w:kern w:val="0"/>
          <w:sz w:val="28"/>
          <w:szCs w:val="28"/>
        </w:rPr>
      </w:pPr>
    </w:p>
    <w:p w14:paraId="13B8EE25">
      <w:pPr>
        <w:jc w:val="left"/>
        <w:rPr>
          <w:rFonts w:hint="default" w:ascii="宋体" w:hAnsi="宋体" w:eastAsia="宋体" w:cs="AdobeSongStd-Light"/>
          <w:b/>
          <w:kern w:val="0"/>
          <w:sz w:val="28"/>
          <w:szCs w:val="28"/>
          <w:lang w:val="en-US" w:eastAsia="zh-CN"/>
        </w:rPr>
      </w:pPr>
      <w:r>
        <w:rPr>
          <w:rFonts w:hint="eastAsia" w:ascii="宋体" w:hAnsi="宋体" w:cs="AdobeSongStd-Light"/>
          <w:b/>
          <w:kern w:val="0"/>
          <w:sz w:val="28"/>
          <w:szCs w:val="28"/>
          <w:lang w:val="en-US" w:eastAsia="zh-CN"/>
        </w:rPr>
        <w:t>参考文献</w:t>
      </w:r>
    </w:p>
    <w:p w14:paraId="734F479E">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b w:val="0"/>
          <w:i w:val="0"/>
          <w:color w:val="666666"/>
          <w:sz w:val="21"/>
          <w:szCs w:val="21"/>
        </w:rPr>
        <w:t>[1]陶冶.基于数据驱动的充电设施选址优化及V2G充放电策略研究[D].武汉理工大学,2019.DOI:10.27381/d.cnki.gwlgu.2019.001877.</w:t>
      </w:r>
    </w:p>
    <w:p w14:paraId="21262C48">
      <w:pPr>
        <w:keepNext w:val="0"/>
        <w:keepLines w:val="0"/>
        <w:widowControl/>
        <w:suppressLineNumbers w:val="0"/>
        <w:jc w:val="left"/>
        <w:rPr>
          <w:rFonts w:hint="eastAsia" w:asciiTheme="minorEastAsia" w:hAnsiTheme="minorEastAsia" w:eastAsiaTheme="minorEastAsia" w:cstheme="minorEastAsia"/>
          <w:b w:val="0"/>
          <w:i w:val="0"/>
          <w:color w:val="666666"/>
          <w:sz w:val="21"/>
          <w:szCs w:val="21"/>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[2]李伟.聊城市电动汽车智能充换电服务网络发展规划[D].山东大学,2018.</w:t>
      </w:r>
    </w:p>
    <w:p w14:paraId="3E1CA22C">
      <w:pPr>
        <w:keepNext w:val="0"/>
        <w:keepLines w:val="0"/>
        <w:widowControl/>
        <w:suppressLineNumbers w:val="0"/>
        <w:jc w:val="left"/>
        <w:rPr>
          <w:rFonts w:hint="eastAsia" w:asciiTheme="minorEastAsia" w:hAnsiTheme="minorEastAsia" w:eastAsiaTheme="minorEastAsia" w:cstheme="minorEastAsia"/>
          <w:b w:val="0"/>
          <w:i w:val="0"/>
          <w:color w:val="666666"/>
          <w:sz w:val="21"/>
          <w:szCs w:val="21"/>
        </w:rPr>
      </w:pPr>
      <w:r>
        <w:rPr>
          <w:rFonts w:hint="eastAsia" w:asciiTheme="minorEastAsia" w:hAnsiTheme="minorEastAsia" w:eastAsiaTheme="minorEastAsia" w:cstheme="minorEastAsia"/>
          <w:b w:val="0"/>
          <w:i w:val="0"/>
          <w:color w:val="666666"/>
          <w:sz w:val="21"/>
          <w:szCs w:val="21"/>
        </w:rPr>
        <w:t>[</w:t>
      </w:r>
      <w:r>
        <w:rPr>
          <w:rFonts w:hint="eastAsia" w:asciiTheme="minorEastAsia" w:hAnsiTheme="minorEastAsia" w:eastAsiaTheme="minorEastAsia" w:cstheme="minorEastAsia"/>
          <w:b w:val="0"/>
          <w:i w:val="0"/>
          <w:color w:val="666666"/>
          <w:sz w:val="21"/>
          <w:szCs w:val="21"/>
          <w:lang w:val="en-US" w:eastAsia="zh-CN"/>
        </w:rPr>
        <w:t>3</w:t>
      </w:r>
      <w:r>
        <w:rPr>
          <w:rFonts w:hint="eastAsia" w:asciiTheme="minorEastAsia" w:hAnsiTheme="minorEastAsia" w:eastAsiaTheme="minorEastAsia" w:cstheme="minorEastAsia"/>
          <w:b w:val="0"/>
          <w:i w:val="0"/>
          <w:color w:val="666666"/>
          <w:sz w:val="21"/>
          <w:szCs w:val="21"/>
        </w:rPr>
        <w:t>]钟蓉.“双积分”政策时代电动汽车的市场渗透影响研究[D].上海交通大学,2018.DOI:10.27307/d.cnki.gsjtu.2018.001374.</w:t>
      </w:r>
    </w:p>
    <w:p w14:paraId="20F57A3D">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[4]刘思瑜.DG供电局充电桩业务市场营销策略研究[D].广东工业大学,2024.DOI:10.27029/d.cnki.ggdgu.2024.002357.</w:t>
      </w:r>
    </w:p>
    <w:p w14:paraId="070EB73D">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[5]衡永恒.徐州市公共场所新能源充电桩管理问题及对策研究[D].中国矿业大学,2024.DOI:10.27623/d.cnki.gzkyu.2024.000570.</w:t>
      </w:r>
    </w:p>
    <w:p w14:paraId="2773709F">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[6]赛秋玥.面向用户偏好的电动共享汽车站点布局及优化研究[D].北京交通大学,2023.DOI:10.26944/d.cnki.gbfju.2023.003871.</w:t>
      </w:r>
    </w:p>
    <w:p w14:paraId="6EB391F7">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[7]杨文志.Y充电桩公司风险管理研究[D].西安科技大学,2023.DOI:10.27397/d.cnki.gxaku.2023.001102.</w:t>
      </w:r>
    </w:p>
    <w:p w14:paraId="59D8A414">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[8]杨烨.电动汽车消费者行为分析及其对市场扩散的影响研究[D].华北电力大学(北京),2022.DOI:10.27140/d.cnki.ghbbu.2022.001654.</w:t>
      </w:r>
    </w:p>
    <w:p w14:paraId="5B204100">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[9]王芳.Y公司充电桩项目风险管理研究[D].河南工业大学,2022.DOI:10.27791/d.cnki.ghegy.2022.000297.</w:t>
      </w:r>
    </w:p>
    <w:p w14:paraId="5AA37583">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[10]王晓凡.离散仿真下的出租车电动化规模优化与适应性评价方法研究[D].武汉大学,2021.DOI:10.27379/d.cnki.gwhdu.2021.000434.</w:t>
      </w:r>
    </w:p>
    <w:p w14:paraId="3A5039EF">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[11]黄粲.碳中和背景下成都市充电基础设施发展问题与对策研究[D].四川大学,2022.DOI:10.27342/d.cnki.gscdu.2022.000787.</w:t>
      </w:r>
    </w:p>
    <w:p w14:paraId="39EF131E">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[12]王晓凡.离散仿真下的出租车电动化规模优化与适应性评价方法研究[D].武汉大学,2021.DOI:10.27379/d.cnki.gwhdu.2021.000434.</w:t>
      </w:r>
    </w:p>
    <w:p w14:paraId="39DCD749">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[13]潘裕馨.S公司电动汽车充电站风险分析与应对策略[D].上海外国语大学,2021.DOI:10.27316/d.cnki.gswyu.2021.000193.</w:t>
      </w:r>
    </w:p>
    <w:p w14:paraId="45C17976">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[14]田莎莎.河南省公共充电桩设施商业运营模式研究[D].长安大学,2020.DOI:10.26976/d.cnki.gchau.2020.001550.</w:t>
      </w:r>
    </w:p>
    <w:p w14:paraId="053ADB4B">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[15]汪海,赵璟妮,汪明珠.新能源汽车充电桩的开发应用探析[J].湖北农机化,2020,(01):20.</w:t>
      </w:r>
    </w:p>
    <w:p w14:paraId="56E8DFA3">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[16]冯依一.基于新能源技术的电动汽车充电系统设计研究[D].北京工业大学,2019.DOI:10.26935/d.cnki.gbjgu.2019.000616.</w:t>
      </w:r>
    </w:p>
    <w:p w14:paraId="60BCE4DD">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[17]黄小晴.基于需求的电动汽车充电站网络优化布局[D].南昌航空大学,2019.</w:t>
      </w:r>
    </w:p>
    <w:p w14:paraId="62646349">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[18]蔡萧遥.基于需求分析的充电桩分布规划选址方法研究[D].西华大学,2019.DOI:10.27411/d.cnki.gscgc.2019.000012.</w:t>
      </w:r>
    </w:p>
    <w:p w14:paraId="4F5CD43E">
      <w:pPr>
        <w:keepNext w:val="0"/>
        <w:keepLines w:val="0"/>
        <w:widowControl/>
        <w:suppressLineNumbers w:val="0"/>
        <w:jc w:val="left"/>
        <w:rPr>
          <w:rFonts w:hint="eastAsia" w:asciiTheme="minorEastAsia" w:hAnsiTheme="minorEastAsia" w:eastAsiaTheme="minorEastAsia" w:cstheme="minorEastAsia"/>
          <w:b w:val="0"/>
          <w:i w:val="0"/>
          <w:color w:val="666666"/>
          <w:sz w:val="21"/>
          <w:szCs w:val="21"/>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[19]刘荣斌.广州市新能源电动汽车充电设施项目风险管理研究[D].南华大学,2019.DOI:10.27234/d.cnki.gnhuu.2019.000555.</w:t>
      </w:r>
    </w:p>
    <w:p w14:paraId="2C889B2D">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b w:val="0"/>
          <w:i w:val="0"/>
          <w:color w:val="666666"/>
          <w:sz w:val="21"/>
          <w:szCs w:val="21"/>
        </w:rPr>
        <w:t>[</w:t>
      </w:r>
      <w:r>
        <w:rPr>
          <w:rFonts w:hint="eastAsia" w:asciiTheme="minorEastAsia" w:hAnsiTheme="minorEastAsia" w:eastAsiaTheme="minorEastAsia" w:cstheme="minorEastAsia"/>
          <w:b w:val="0"/>
          <w:i w:val="0"/>
          <w:color w:val="666666"/>
          <w:sz w:val="21"/>
          <w:szCs w:val="21"/>
          <w:lang w:val="en-US" w:eastAsia="zh-CN"/>
        </w:rPr>
        <w:t>2</w:t>
      </w:r>
      <w:r>
        <w:rPr>
          <w:rFonts w:hint="default" w:asciiTheme="minorEastAsia" w:hAnsiTheme="minorEastAsia" w:eastAsiaTheme="minorEastAsia" w:cstheme="minorEastAsia"/>
          <w:b w:val="0"/>
          <w:i w:val="0"/>
          <w:color w:val="666666"/>
          <w:sz w:val="21"/>
          <w:szCs w:val="21"/>
          <w:lang w:val="en-US" w:eastAsia="zh-CN"/>
        </w:rPr>
        <w:t>0</w:t>
      </w:r>
      <w:r>
        <w:rPr>
          <w:rFonts w:hint="eastAsia" w:asciiTheme="minorEastAsia" w:hAnsiTheme="minorEastAsia" w:eastAsiaTheme="minorEastAsia" w:cstheme="minorEastAsia"/>
          <w:b w:val="0"/>
          <w:i w:val="0"/>
          <w:color w:val="666666"/>
          <w:sz w:val="21"/>
          <w:szCs w:val="21"/>
        </w:rPr>
        <w:t>]葛中心.考虑充电站横纵向差异的电动汽车充电服务费定价策略[D].南京师范大学,2022.DOI:10.27245/d.cnki.gnjsu.2022.001101.</w:t>
      </w:r>
    </w:p>
    <w:p w14:paraId="0E7FEC70">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[21]胡海滨.浅析如何让电动车跑更“远”[J].江西电力,2018,42(09):46-48.</w:t>
      </w:r>
    </w:p>
    <w:p w14:paraId="5EA5D5B0">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[22]李洪峰,陈志刚,郭葳,等.小区电动车充电服务平台技术方案探讨[J].电力系统保护与控制,2018,46(17):138-144.</w:t>
      </w:r>
    </w:p>
    <w:p w14:paraId="41E8F534">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[23]陈旻,王会先.储能充电站运维一体化运营模式[J].中国电力企业管理,2018,(13):68-71.</w:t>
      </w:r>
    </w:p>
    <w:p w14:paraId="7FC22FAC">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[24]吴东来.不确定信息下车辆共享服务资源优化与配置研究[D].北京理工大学,2017.DOI:10.26948/d.cnki.gbjlu.2017.000891.</w:t>
      </w:r>
    </w:p>
    <w:p w14:paraId="448C3C13">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[25]任建宇.太原市电动汽车充换电站项目风险评价及规避策略研究[D].华北电力大学(北京),2017.</w:t>
      </w:r>
    </w:p>
    <w:p w14:paraId="083F3715">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[26]林虎,黄宇进.电动汽车产业投资运营模式初探——以电动车充电桩为例[J].中国商论,2017,(12):126-127.DOI:10.19699/j.cnki.issn2096-0298.2017.12.057.</w:t>
      </w:r>
    </w:p>
    <w:p w14:paraId="763BCB44">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[27]申善毅.上海电动汽车及其充电基础设施运营模式的研究[D].上海交通大学,2011.</w:t>
      </w:r>
    </w:p>
    <w:p w14:paraId="382A2E82">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[28]王妍斐.BJ市充电桩市场化经济分析[D].北京交通大学,2016.</w:t>
      </w:r>
    </w:p>
    <w:p w14:paraId="02CB3CE5">
      <w:pPr>
        <w:keepNext w:val="0"/>
        <w:keepLines w:val="0"/>
        <w:widowControl/>
        <w:suppressLineNumbers w:val="0"/>
        <w:jc w:val="left"/>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[29]彭巍.H大型停车场建设充电桩项目的可行性研究[D].华南理工大学,2016.</w:t>
      </w:r>
    </w:p>
    <w:p w14:paraId="33233898">
      <w:pPr>
        <w:keepNext w:val="0"/>
        <w:keepLines w:val="0"/>
        <w:widowControl/>
        <w:suppressLineNumbers w:val="0"/>
        <w:jc w:val="left"/>
        <w:rPr>
          <w:rFonts w:hint="eastAsia" w:ascii="宋体" w:hAnsi="宋体" w:cs="AdobeSongStd-Light"/>
          <w:b/>
          <w:kern w:val="0"/>
          <w:sz w:val="28"/>
          <w:szCs w:val="28"/>
        </w:rPr>
        <w:sectPr>
          <w:headerReference r:id="rId5" w:type="default"/>
          <w:footerReference r:id="rId6" w:type="default"/>
          <w:type w:val="oddPage"/>
          <w:pgSz w:w="11906" w:h="16838"/>
          <w:pgMar w:top="1440" w:right="1266" w:bottom="1440" w:left="1180" w:header="851" w:footer="992" w:gutter="0"/>
          <w:pgNumType w:fmt="decimal" w:start="1"/>
          <w:cols w:space="720" w:num="1"/>
          <w:docGrid w:type="lines" w:linePitch="312" w:charSpace="0"/>
        </w:sectPr>
      </w:pPr>
      <w:r>
        <w:rPr>
          <w:rFonts w:hint="eastAsia" w:asciiTheme="minorEastAsia" w:hAnsiTheme="minorEastAsia" w:eastAsiaTheme="minorEastAsia" w:cstheme="minorEastAsia"/>
          <w:i w:val="0"/>
          <w:iCs w:val="0"/>
          <w:caps w:val="0"/>
          <w:color w:val="666666"/>
          <w:spacing w:val="0"/>
          <w:kern w:val="0"/>
          <w:sz w:val="21"/>
          <w:szCs w:val="21"/>
          <w:shd w:val="clear" w:fill="FFFFFF"/>
          <w:lang w:val="en-US" w:eastAsia="zh-CN" w:bidi="ar"/>
        </w:rPr>
        <w:t>[30]余义.双积分替代补贴政策下汽车供应链的投资与定价优化研究[D].南京航空航天大学,2022.DOI:10.27239/d.cnki.gnhhu.2022.002508.</w:t>
      </w:r>
    </w:p>
    <w:p w14:paraId="5E3A0D3E">
      <w:pPr>
        <w:pStyle w:val="28"/>
        <w:jc w:val="both"/>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t>南京大学工程管理学院</w:t>
      </w:r>
    </w:p>
    <w:p w14:paraId="37B41D37">
      <w:pPr>
        <w:pStyle w:val="28"/>
      </w:pPr>
      <w:r>
        <w:t>工程管理专业学位论文开题报告初稿审查表</w:t>
      </w:r>
    </w:p>
    <w:tbl>
      <w:tblPr>
        <w:tblStyle w:val="17"/>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2"/>
        <w:gridCol w:w="1544"/>
        <w:gridCol w:w="485"/>
        <w:gridCol w:w="1170"/>
        <w:gridCol w:w="1712"/>
        <w:gridCol w:w="868"/>
        <w:gridCol w:w="1059"/>
        <w:gridCol w:w="1474"/>
      </w:tblGrid>
      <w:tr w14:paraId="1CDBC5B1">
        <w:tc>
          <w:tcPr>
            <w:tcW w:w="699" w:type="pct"/>
            <w:noWrap w:val="0"/>
            <w:vAlign w:val="top"/>
          </w:tcPr>
          <w:p w14:paraId="348D9405">
            <w:pPr>
              <w:spacing w:line="360" w:lineRule="exact"/>
              <w:jc w:val="center"/>
              <w:rPr>
                <w:rFonts w:hint="eastAsia" w:ascii="宋体" w:hAnsi="宋体"/>
                <w:szCs w:val="21"/>
              </w:rPr>
            </w:pPr>
            <w:r>
              <w:rPr>
                <w:rFonts w:hint="eastAsia" w:ascii="宋体" w:hAnsi="宋体"/>
                <w:szCs w:val="21"/>
              </w:rPr>
              <w:t>学号</w:t>
            </w:r>
          </w:p>
        </w:tc>
        <w:tc>
          <w:tcPr>
            <w:tcW w:w="798" w:type="pct"/>
            <w:noWrap w:val="0"/>
            <w:vAlign w:val="top"/>
          </w:tcPr>
          <w:p w14:paraId="6D45A207">
            <w:pPr>
              <w:spacing w:line="360" w:lineRule="exact"/>
              <w:jc w:val="center"/>
              <w:rPr>
                <w:rFonts w:hint="eastAsia" w:ascii="宋体" w:hAnsi="宋体"/>
                <w:szCs w:val="21"/>
              </w:rPr>
            </w:pPr>
            <w:r>
              <w:rPr>
                <w:rFonts w:hint="eastAsia" w:ascii="宋体" w:hAnsi="宋体"/>
                <w:szCs w:val="21"/>
              </w:rPr>
              <w:t>5</w:t>
            </w:r>
            <w:r>
              <w:rPr>
                <w:rFonts w:ascii="宋体" w:hAnsi="宋体"/>
                <w:szCs w:val="21"/>
              </w:rPr>
              <w:t>32024150155</w:t>
            </w:r>
          </w:p>
        </w:tc>
        <w:tc>
          <w:tcPr>
            <w:tcW w:w="250" w:type="pct"/>
            <w:noWrap w:val="0"/>
            <w:vAlign w:val="top"/>
          </w:tcPr>
          <w:p w14:paraId="2BC36C0C">
            <w:pPr>
              <w:spacing w:line="360" w:lineRule="exact"/>
              <w:jc w:val="center"/>
              <w:rPr>
                <w:rFonts w:hint="eastAsia" w:ascii="宋体" w:hAnsi="宋体"/>
                <w:szCs w:val="21"/>
              </w:rPr>
            </w:pPr>
            <w:r>
              <w:rPr>
                <w:rFonts w:hint="eastAsia" w:ascii="宋体" w:hAnsi="宋体"/>
                <w:szCs w:val="21"/>
              </w:rPr>
              <w:t>姓名</w:t>
            </w:r>
          </w:p>
        </w:tc>
        <w:tc>
          <w:tcPr>
            <w:tcW w:w="605" w:type="pct"/>
            <w:noWrap w:val="0"/>
            <w:vAlign w:val="top"/>
          </w:tcPr>
          <w:p w14:paraId="655AFBED">
            <w:pPr>
              <w:spacing w:line="360" w:lineRule="exact"/>
              <w:jc w:val="center"/>
              <w:rPr>
                <w:rFonts w:hint="eastAsia" w:ascii="宋体" w:hAnsi="宋体"/>
                <w:szCs w:val="21"/>
              </w:rPr>
            </w:pPr>
            <w:r>
              <w:rPr>
                <w:rFonts w:hint="eastAsia" w:ascii="宋体" w:hAnsi="宋体"/>
                <w:szCs w:val="21"/>
              </w:rPr>
              <w:t>于琮源</w:t>
            </w:r>
          </w:p>
        </w:tc>
        <w:tc>
          <w:tcPr>
            <w:tcW w:w="885" w:type="pct"/>
            <w:noWrap w:val="0"/>
            <w:vAlign w:val="top"/>
          </w:tcPr>
          <w:p w14:paraId="05FBF503">
            <w:pPr>
              <w:spacing w:line="360" w:lineRule="exact"/>
              <w:jc w:val="center"/>
              <w:rPr>
                <w:rFonts w:hint="eastAsia" w:ascii="宋体" w:hAnsi="宋体"/>
                <w:szCs w:val="21"/>
              </w:rPr>
            </w:pPr>
            <w:r>
              <w:rPr>
                <w:rFonts w:hint="eastAsia" w:ascii="宋体" w:hAnsi="宋体"/>
                <w:szCs w:val="21"/>
              </w:rPr>
              <w:t>班级</w:t>
            </w:r>
          </w:p>
        </w:tc>
        <w:tc>
          <w:tcPr>
            <w:tcW w:w="449" w:type="pct"/>
            <w:noWrap w:val="0"/>
            <w:vAlign w:val="top"/>
          </w:tcPr>
          <w:p w14:paraId="1CBAFFD6">
            <w:pPr>
              <w:spacing w:line="360" w:lineRule="exact"/>
              <w:jc w:val="center"/>
              <w:rPr>
                <w:rFonts w:hint="eastAsia" w:ascii="宋体" w:hAnsi="宋体"/>
                <w:szCs w:val="21"/>
              </w:rPr>
            </w:pPr>
            <w:r>
              <w:rPr>
                <w:rFonts w:hint="eastAsia" w:ascii="宋体" w:hAnsi="宋体"/>
                <w:szCs w:val="21"/>
              </w:rPr>
              <w:t>南京一班</w:t>
            </w:r>
          </w:p>
        </w:tc>
        <w:tc>
          <w:tcPr>
            <w:tcW w:w="547" w:type="pct"/>
            <w:noWrap w:val="0"/>
            <w:vAlign w:val="top"/>
          </w:tcPr>
          <w:p w14:paraId="410DC7EF">
            <w:pPr>
              <w:spacing w:line="360" w:lineRule="exact"/>
              <w:jc w:val="center"/>
              <w:rPr>
                <w:rFonts w:hint="eastAsia" w:ascii="宋体" w:hAnsi="宋体"/>
                <w:szCs w:val="21"/>
              </w:rPr>
            </w:pPr>
            <w:r>
              <w:rPr>
                <w:rFonts w:hint="eastAsia" w:ascii="宋体" w:hAnsi="宋体"/>
                <w:szCs w:val="21"/>
              </w:rPr>
              <w:t>联系方式</w:t>
            </w:r>
          </w:p>
        </w:tc>
        <w:tc>
          <w:tcPr>
            <w:tcW w:w="762" w:type="pct"/>
            <w:noWrap w:val="0"/>
            <w:vAlign w:val="top"/>
          </w:tcPr>
          <w:p w14:paraId="7BDA1848">
            <w:pPr>
              <w:spacing w:line="360" w:lineRule="exact"/>
              <w:jc w:val="center"/>
              <w:rPr>
                <w:rFonts w:hint="eastAsia" w:ascii="宋体" w:hAnsi="宋体"/>
                <w:szCs w:val="21"/>
              </w:rPr>
            </w:pPr>
            <w:r>
              <w:rPr>
                <w:rFonts w:hint="eastAsia" w:ascii="宋体" w:hAnsi="宋体"/>
                <w:szCs w:val="21"/>
              </w:rPr>
              <w:t>1</w:t>
            </w:r>
            <w:r>
              <w:rPr>
                <w:rFonts w:ascii="宋体" w:hAnsi="宋体"/>
                <w:szCs w:val="21"/>
              </w:rPr>
              <w:t>5150540418</w:t>
            </w:r>
          </w:p>
        </w:tc>
      </w:tr>
      <w:tr w14:paraId="65F5B790">
        <w:tc>
          <w:tcPr>
            <w:tcW w:w="699" w:type="pct"/>
            <w:noWrap w:val="0"/>
            <w:vAlign w:val="top"/>
          </w:tcPr>
          <w:p w14:paraId="4FF2A234">
            <w:pPr>
              <w:spacing w:line="360" w:lineRule="exact"/>
              <w:jc w:val="center"/>
              <w:rPr>
                <w:rFonts w:hint="eastAsia" w:ascii="宋体" w:hAnsi="宋体"/>
                <w:szCs w:val="21"/>
              </w:rPr>
            </w:pPr>
            <w:r>
              <w:rPr>
                <w:rFonts w:hint="eastAsia" w:ascii="宋体" w:hAnsi="宋体"/>
                <w:szCs w:val="21"/>
              </w:rPr>
              <w:t>现工作单位</w:t>
            </w:r>
          </w:p>
        </w:tc>
        <w:tc>
          <w:tcPr>
            <w:tcW w:w="1655" w:type="pct"/>
            <w:gridSpan w:val="3"/>
            <w:noWrap w:val="0"/>
            <w:vAlign w:val="top"/>
          </w:tcPr>
          <w:p w14:paraId="3C1DBCDF">
            <w:pPr>
              <w:spacing w:line="360" w:lineRule="exact"/>
              <w:jc w:val="center"/>
              <w:rPr>
                <w:rFonts w:hint="eastAsia" w:ascii="宋体" w:hAnsi="宋体"/>
                <w:szCs w:val="21"/>
              </w:rPr>
            </w:pPr>
            <w:r>
              <w:rPr>
                <w:rFonts w:hint="eastAsia" w:ascii="宋体" w:hAnsi="宋体"/>
                <w:szCs w:val="21"/>
              </w:rPr>
              <w:t>南京市琮琳信息科技有限公司</w:t>
            </w:r>
          </w:p>
        </w:tc>
        <w:tc>
          <w:tcPr>
            <w:tcW w:w="885" w:type="pct"/>
            <w:noWrap w:val="0"/>
            <w:vAlign w:val="top"/>
          </w:tcPr>
          <w:p w14:paraId="23600B97">
            <w:pPr>
              <w:spacing w:line="360" w:lineRule="exact"/>
              <w:jc w:val="center"/>
              <w:rPr>
                <w:rFonts w:hint="eastAsia" w:ascii="宋体" w:hAnsi="宋体"/>
                <w:szCs w:val="21"/>
              </w:rPr>
            </w:pPr>
            <w:r>
              <w:rPr>
                <w:rFonts w:hint="eastAsia" w:ascii="宋体" w:hAnsi="宋体"/>
                <w:szCs w:val="21"/>
              </w:rPr>
              <w:t>职称/职务</w:t>
            </w:r>
          </w:p>
        </w:tc>
        <w:tc>
          <w:tcPr>
            <w:tcW w:w="1759" w:type="pct"/>
            <w:gridSpan w:val="3"/>
            <w:noWrap w:val="0"/>
            <w:vAlign w:val="top"/>
          </w:tcPr>
          <w:p w14:paraId="67435228">
            <w:pPr>
              <w:spacing w:line="360" w:lineRule="exact"/>
              <w:jc w:val="center"/>
              <w:rPr>
                <w:rFonts w:hint="eastAsia" w:ascii="宋体" w:hAnsi="宋体"/>
                <w:szCs w:val="21"/>
              </w:rPr>
            </w:pPr>
            <w:r>
              <w:rPr>
                <w:rFonts w:hint="default" w:ascii="宋体" w:hAnsi="宋体"/>
                <w:szCs w:val="21"/>
                <w:lang w:val="en-US"/>
              </w:rPr>
              <w:t>副</w:t>
            </w:r>
            <w:r>
              <w:rPr>
                <w:rFonts w:hint="eastAsia" w:ascii="宋体" w:hAnsi="宋体"/>
                <w:szCs w:val="21"/>
              </w:rPr>
              <w:t>总经理</w:t>
            </w:r>
          </w:p>
        </w:tc>
      </w:tr>
      <w:tr w14:paraId="1F6733F1">
        <w:tc>
          <w:tcPr>
            <w:tcW w:w="699" w:type="pct"/>
            <w:noWrap w:val="0"/>
            <w:vAlign w:val="top"/>
          </w:tcPr>
          <w:p w14:paraId="19417FEB">
            <w:pPr>
              <w:spacing w:line="360" w:lineRule="exact"/>
              <w:jc w:val="center"/>
              <w:rPr>
                <w:rFonts w:hint="eastAsia" w:ascii="宋体" w:hAnsi="宋体"/>
                <w:szCs w:val="21"/>
              </w:rPr>
            </w:pPr>
            <w:r>
              <w:rPr>
                <w:rFonts w:hint="eastAsia" w:ascii="宋体" w:hAnsi="宋体"/>
                <w:szCs w:val="21"/>
              </w:rPr>
              <w:t>工作性质</w:t>
            </w:r>
          </w:p>
        </w:tc>
        <w:tc>
          <w:tcPr>
            <w:tcW w:w="1655" w:type="pct"/>
            <w:gridSpan w:val="3"/>
            <w:noWrap w:val="0"/>
            <w:vAlign w:val="top"/>
          </w:tcPr>
          <w:p w14:paraId="08D0195B">
            <w:pPr>
              <w:spacing w:line="360" w:lineRule="exact"/>
              <w:jc w:val="center"/>
              <w:rPr>
                <w:rFonts w:hint="eastAsia" w:ascii="宋体" w:hAnsi="宋体"/>
                <w:szCs w:val="21"/>
              </w:rPr>
            </w:pPr>
            <w:r>
              <w:rPr>
                <w:rFonts w:hint="eastAsia" w:ascii="宋体" w:hAnsi="宋体"/>
                <w:szCs w:val="21"/>
              </w:rPr>
              <w:t>项目管理</w:t>
            </w:r>
          </w:p>
        </w:tc>
        <w:tc>
          <w:tcPr>
            <w:tcW w:w="885" w:type="pct"/>
            <w:noWrap w:val="0"/>
            <w:vAlign w:val="top"/>
          </w:tcPr>
          <w:p w14:paraId="4C3C4C5E">
            <w:pPr>
              <w:spacing w:line="360" w:lineRule="exact"/>
              <w:jc w:val="center"/>
              <w:rPr>
                <w:rFonts w:hint="eastAsia" w:ascii="宋体" w:hAnsi="宋体"/>
                <w:szCs w:val="21"/>
              </w:rPr>
            </w:pPr>
            <w:r>
              <w:rPr>
                <w:rFonts w:hint="eastAsia" w:ascii="宋体" w:hAnsi="宋体"/>
                <w:szCs w:val="21"/>
              </w:rPr>
              <w:t>最后学位/学历</w:t>
            </w:r>
          </w:p>
        </w:tc>
        <w:tc>
          <w:tcPr>
            <w:tcW w:w="1759" w:type="pct"/>
            <w:gridSpan w:val="3"/>
            <w:noWrap w:val="0"/>
            <w:vAlign w:val="top"/>
          </w:tcPr>
          <w:p w14:paraId="30913F38">
            <w:pPr>
              <w:spacing w:line="360" w:lineRule="exact"/>
              <w:jc w:val="center"/>
              <w:rPr>
                <w:rFonts w:hint="eastAsia" w:ascii="宋体" w:hAnsi="宋体"/>
                <w:szCs w:val="21"/>
              </w:rPr>
            </w:pPr>
            <w:r>
              <w:rPr>
                <w:rFonts w:hint="eastAsia" w:ascii="宋体" w:hAnsi="宋体"/>
                <w:szCs w:val="21"/>
              </w:rPr>
              <w:t>学士学位</w:t>
            </w:r>
          </w:p>
        </w:tc>
      </w:tr>
      <w:tr w14:paraId="4835A2B0">
        <w:tc>
          <w:tcPr>
            <w:tcW w:w="699" w:type="pct"/>
            <w:noWrap w:val="0"/>
            <w:vAlign w:val="top"/>
          </w:tcPr>
          <w:p w14:paraId="2643C104">
            <w:pPr>
              <w:spacing w:line="360" w:lineRule="exact"/>
              <w:jc w:val="center"/>
              <w:rPr>
                <w:rFonts w:hint="eastAsia" w:ascii="宋体" w:hAnsi="宋体"/>
                <w:szCs w:val="21"/>
              </w:rPr>
            </w:pPr>
            <w:r>
              <w:rPr>
                <w:rFonts w:hint="eastAsia" w:ascii="宋体" w:hAnsi="宋体"/>
                <w:szCs w:val="21"/>
              </w:rPr>
              <w:t>研究方向</w:t>
            </w:r>
          </w:p>
        </w:tc>
        <w:tc>
          <w:tcPr>
            <w:tcW w:w="1655" w:type="pct"/>
            <w:gridSpan w:val="3"/>
            <w:noWrap w:val="0"/>
            <w:vAlign w:val="top"/>
          </w:tcPr>
          <w:p w14:paraId="40EB98D7">
            <w:pPr>
              <w:spacing w:line="360" w:lineRule="exact"/>
              <w:jc w:val="center"/>
              <w:rPr>
                <w:rFonts w:hint="default" w:ascii="宋体" w:hAnsi="宋体" w:eastAsia="宋体"/>
                <w:szCs w:val="21"/>
                <w:lang w:val="en-US" w:eastAsia="zh-CN"/>
              </w:rPr>
            </w:pPr>
            <w:r>
              <w:rPr>
                <w:rFonts w:hint="eastAsia" w:ascii="宋体" w:hAnsi="宋体"/>
                <w:szCs w:val="21"/>
                <w:lang w:val="en-US" w:eastAsia="zh-CN"/>
              </w:rPr>
              <w:t>运营管理</w:t>
            </w:r>
          </w:p>
        </w:tc>
        <w:tc>
          <w:tcPr>
            <w:tcW w:w="885" w:type="pct"/>
            <w:noWrap w:val="0"/>
            <w:vAlign w:val="top"/>
          </w:tcPr>
          <w:p w14:paraId="310813E7">
            <w:pPr>
              <w:spacing w:line="360" w:lineRule="exact"/>
              <w:jc w:val="center"/>
              <w:rPr>
                <w:rFonts w:hint="eastAsia" w:ascii="宋体" w:hAnsi="宋体"/>
                <w:szCs w:val="21"/>
              </w:rPr>
            </w:pPr>
            <w:r>
              <w:rPr>
                <w:rFonts w:hint="eastAsia" w:ascii="宋体" w:hAnsi="宋体"/>
                <w:szCs w:val="21"/>
              </w:rPr>
              <w:t>所在行业领域</w:t>
            </w:r>
          </w:p>
        </w:tc>
        <w:tc>
          <w:tcPr>
            <w:tcW w:w="1759" w:type="pct"/>
            <w:gridSpan w:val="3"/>
            <w:noWrap w:val="0"/>
            <w:vAlign w:val="top"/>
          </w:tcPr>
          <w:p w14:paraId="16336299">
            <w:pPr>
              <w:spacing w:line="360" w:lineRule="exact"/>
              <w:jc w:val="center"/>
              <w:rPr>
                <w:rFonts w:hint="eastAsia" w:ascii="宋体" w:hAnsi="宋体"/>
                <w:szCs w:val="21"/>
              </w:rPr>
            </w:pPr>
            <w:r>
              <w:rPr>
                <w:rFonts w:hint="eastAsia" w:ascii="宋体" w:hAnsi="宋体"/>
                <w:szCs w:val="21"/>
              </w:rPr>
              <w:t>新能源</w:t>
            </w:r>
          </w:p>
        </w:tc>
      </w:tr>
      <w:tr w14:paraId="27B8424B">
        <w:tc>
          <w:tcPr>
            <w:tcW w:w="699" w:type="pct"/>
            <w:noWrap w:val="0"/>
            <w:vAlign w:val="top"/>
          </w:tcPr>
          <w:p w14:paraId="27996307">
            <w:pPr>
              <w:spacing w:line="360" w:lineRule="exact"/>
              <w:jc w:val="center"/>
              <w:rPr>
                <w:rFonts w:hint="eastAsia" w:ascii="宋体" w:hAnsi="宋体"/>
                <w:szCs w:val="21"/>
              </w:rPr>
            </w:pPr>
            <w:r>
              <w:rPr>
                <w:rFonts w:hint="eastAsia" w:ascii="宋体" w:hAnsi="宋体"/>
                <w:szCs w:val="21"/>
              </w:rPr>
              <w:t>校内导师</w:t>
            </w:r>
          </w:p>
        </w:tc>
        <w:tc>
          <w:tcPr>
            <w:tcW w:w="1049" w:type="pct"/>
            <w:gridSpan w:val="2"/>
            <w:noWrap w:val="0"/>
            <w:vAlign w:val="top"/>
          </w:tcPr>
          <w:p w14:paraId="4CB6C429">
            <w:pPr>
              <w:spacing w:line="360" w:lineRule="exact"/>
              <w:jc w:val="center"/>
              <w:rPr>
                <w:rFonts w:hint="eastAsia" w:ascii="宋体" w:hAnsi="宋体"/>
                <w:szCs w:val="21"/>
              </w:rPr>
            </w:pPr>
            <w:r>
              <w:rPr>
                <w:rFonts w:hint="eastAsia" w:ascii="宋体" w:hAnsi="宋体"/>
                <w:szCs w:val="21"/>
              </w:rPr>
              <w:t>赵佳宝</w:t>
            </w:r>
          </w:p>
        </w:tc>
        <w:tc>
          <w:tcPr>
            <w:tcW w:w="605" w:type="pct"/>
            <w:noWrap w:val="0"/>
            <w:vAlign w:val="top"/>
          </w:tcPr>
          <w:p w14:paraId="45A3ED95">
            <w:pPr>
              <w:spacing w:line="360" w:lineRule="exact"/>
              <w:jc w:val="center"/>
              <w:rPr>
                <w:rFonts w:hint="eastAsia" w:ascii="宋体" w:hAnsi="宋体"/>
                <w:szCs w:val="21"/>
              </w:rPr>
            </w:pPr>
            <w:r>
              <w:rPr>
                <w:rFonts w:hint="eastAsia" w:ascii="宋体" w:hAnsi="宋体"/>
                <w:szCs w:val="21"/>
              </w:rPr>
              <w:t>所在学院</w:t>
            </w:r>
          </w:p>
        </w:tc>
        <w:tc>
          <w:tcPr>
            <w:tcW w:w="1334" w:type="pct"/>
            <w:gridSpan w:val="2"/>
            <w:noWrap w:val="0"/>
            <w:vAlign w:val="top"/>
          </w:tcPr>
          <w:p w14:paraId="6538C2F6">
            <w:pPr>
              <w:spacing w:line="360" w:lineRule="exact"/>
              <w:jc w:val="center"/>
              <w:rPr>
                <w:rFonts w:hint="eastAsia" w:ascii="宋体" w:hAnsi="宋体"/>
                <w:szCs w:val="21"/>
              </w:rPr>
            </w:pPr>
            <w:r>
              <w:rPr>
                <w:rFonts w:hint="eastAsia" w:ascii="宋体" w:hAnsi="宋体"/>
                <w:szCs w:val="21"/>
              </w:rPr>
              <w:t>工程管理学院</w:t>
            </w:r>
          </w:p>
        </w:tc>
        <w:tc>
          <w:tcPr>
            <w:tcW w:w="547" w:type="pct"/>
            <w:noWrap w:val="0"/>
            <w:vAlign w:val="top"/>
          </w:tcPr>
          <w:p w14:paraId="1E24E55D">
            <w:pPr>
              <w:spacing w:line="360" w:lineRule="exact"/>
              <w:jc w:val="center"/>
              <w:rPr>
                <w:rFonts w:hint="eastAsia" w:ascii="宋体" w:hAnsi="宋体"/>
                <w:szCs w:val="21"/>
              </w:rPr>
            </w:pPr>
            <w:r>
              <w:rPr>
                <w:rFonts w:hint="eastAsia" w:ascii="宋体" w:hAnsi="宋体"/>
                <w:szCs w:val="21"/>
              </w:rPr>
              <w:t>联系方式</w:t>
            </w:r>
          </w:p>
        </w:tc>
        <w:tc>
          <w:tcPr>
            <w:tcW w:w="762" w:type="pct"/>
            <w:noWrap w:val="0"/>
            <w:vAlign w:val="top"/>
          </w:tcPr>
          <w:p w14:paraId="0078BA6B">
            <w:pPr>
              <w:spacing w:line="360" w:lineRule="exact"/>
              <w:jc w:val="center"/>
              <w:rPr>
                <w:rFonts w:hint="eastAsia" w:ascii="宋体" w:hAnsi="宋体"/>
                <w:szCs w:val="21"/>
              </w:rPr>
            </w:pPr>
          </w:p>
        </w:tc>
      </w:tr>
      <w:tr w14:paraId="2E2A695C">
        <w:tc>
          <w:tcPr>
            <w:tcW w:w="699" w:type="pct"/>
            <w:noWrap w:val="0"/>
            <w:vAlign w:val="top"/>
          </w:tcPr>
          <w:p w14:paraId="51105117">
            <w:pPr>
              <w:spacing w:line="360" w:lineRule="exact"/>
              <w:jc w:val="center"/>
              <w:rPr>
                <w:rFonts w:hint="eastAsia" w:ascii="宋体" w:hAnsi="宋体"/>
                <w:szCs w:val="21"/>
              </w:rPr>
            </w:pPr>
            <w:r>
              <w:rPr>
                <w:rFonts w:hint="eastAsia" w:ascii="宋体" w:hAnsi="宋体"/>
                <w:szCs w:val="21"/>
              </w:rPr>
              <w:t>企业导师</w:t>
            </w:r>
          </w:p>
        </w:tc>
        <w:tc>
          <w:tcPr>
            <w:tcW w:w="1049" w:type="pct"/>
            <w:gridSpan w:val="2"/>
            <w:noWrap w:val="0"/>
            <w:vAlign w:val="top"/>
          </w:tcPr>
          <w:p w14:paraId="0924F676">
            <w:pPr>
              <w:spacing w:line="360" w:lineRule="exact"/>
              <w:jc w:val="center"/>
              <w:rPr>
                <w:rFonts w:hint="eastAsia" w:ascii="宋体" w:hAnsi="宋体"/>
                <w:szCs w:val="21"/>
              </w:rPr>
            </w:pPr>
            <w:r>
              <w:rPr>
                <w:rFonts w:hint="eastAsia" w:ascii="宋体" w:hAnsi="宋体"/>
                <w:szCs w:val="21"/>
              </w:rPr>
              <w:t>于亮</w:t>
            </w:r>
          </w:p>
        </w:tc>
        <w:tc>
          <w:tcPr>
            <w:tcW w:w="605" w:type="pct"/>
            <w:noWrap w:val="0"/>
            <w:vAlign w:val="top"/>
          </w:tcPr>
          <w:p w14:paraId="49C21C04">
            <w:pPr>
              <w:spacing w:line="360" w:lineRule="exact"/>
              <w:jc w:val="center"/>
              <w:rPr>
                <w:rFonts w:hint="eastAsia" w:ascii="宋体" w:hAnsi="宋体"/>
                <w:szCs w:val="21"/>
              </w:rPr>
            </w:pPr>
            <w:r>
              <w:rPr>
                <w:rFonts w:hint="eastAsia" w:ascii="宋体" w:hAnsi="宋体"/>
                <w:szCs w:val="21"/>
              </w:rPr>
              <w:t>所在单位</w:t>
            </w:r>
          </w:p>
        </w:tc>
        <w:tc>
          <w:tcPr>
            <w:tcW w:w="1334" w:type="pct"/>
            <w:gridSpan w:val="2"/>
            <w:noWrap w:val="0"/>
            <w:vAlign w:val="top"/>
          </w:tcPr>
          <w:p w14:paraId="489D8B3B">
            <w:pPr>
              <w:spacing w:line="360" w:lineRule="exact"/>
              <w:jc w:val="center"/>
              <w:rPr>
                <w:rFonts w:hint="eastAsia" w:ascii="宋体" w:hAnsi="宋体"/>
                <w:szCs w:val="21"/>
              </w:rPr>
            </w:pPr>
            <w:r>
              <w:rPr>
                <w:rFonts w:hint="eastAsia" w:ascii="宋体" w:hAnsi="宋体"/>
                <w:sz w:val="18"/>
                <w:szCs w:val="18"/>
              </w:rPr>
              <w:t>南京市琮琳信息科技有限公司</w:t>
            </w:r>
          </w:p>
        </w:tc>
        <w:tc>
          <w:tcPr>
            <w:tcW w:w="547" w:type="pct"/>
            <w:noWrap w:val="0"/>
            <w:vAlign w:val="top"/>
          </w:tcPr>
          <w:p w14:paraId="0AB47031">
            <w:pPr>
              <w:spacing w:line="360" w:lineRule="exact"/>
              <w:jc w:val="center"/>
              <w:rPr>
                <w:rFonts w:hint="eastAsia" w:ascii="宋体" w:hAnsi="宋体"/>
                <w:szCs w:val="21"/>
              </w:rPr>
            </w:pPr>
            <w:r>
              <w:rPr>
                <w:rFonts w:hint="eastAsia" w:ascii="宋体" w:hAnsi="宋体"/>
                <w:szCs w:val="21"/>
              </w:rPr>
              <w:t>联系方式</w:t>
            </w:r>
          </w:p>
        </w:tc>
        <w:tc>
          <w:tcPr>
            <w:tcW w:w="762" w:type="pct"/>
            <w:noWrap w:val="0"/>
            <w:vAlign w:val="top"/>
          </w:tcPr>
          <w:p w14:paraId="63EA1295">
            <w:pPr>
              <w:spacing w:line="360" w:lineRule="exact"/>
              <w:jc w:val="center"/>
              <w:rPr>
                <w:rFonts w:hint="eastAsia" w:ascii="宋体" w:hAnsi="宋体"/>
                <w:szCs w:val="21"/>
              </w:rPr>
            </w:pPr>
            <w:r>
              <w:rPr>
                <w:rFonts w:hint="eastAsia" w:ascii="宋体" w:hAnsi="宋体"/>
                <w:szCs w:val="21"/>
              </w:rPr>
              <w:t>1</w:t>
            </w:r>
            <w:r>
              <w:rPr>
                <w:rFonts w:ascii="宋体" w:hAnsi="宋体"/>
                <w:szCs w:val="21"/>
              </w:rPr>
              <w:t>3851769737</w:t>
            </w:r>
          </w:p>
        </w:tc>
      </w:tr>
      <w:tr w14:paraId="6ED204BB">
        <w:tc>
          <w:tcPr>
            <w:tcW w:w="699" w:type="pct"/>
            <w:noWrap w:val="0"/>
            <w:vAlign w:val="top"/>
          </w:tcPr>
          <w:p w14:paraId="2CCE2262">
            <w:pPr>
              <w:spacing w:line="360" w:lineRule="exact"/>
              <w:jc w:val="center"/>
              <w:rPr>
                <w:rFonts w:hint="eastAsia" w:ascii="宋体" w:hAnsi="宋体"/>
                <w:szCs w:val="21"/>
              </w:rPr>
            </w:pPr>
            <w:r>
              <w:rPr>
                <w:rFonts w:hint="eastAsia" w:ascii="宋体" w:hAnsi="宋体"/>
                <w:szCs w:val="21"/>
              </w:rPr>
              <w:t>论文题目</w:t>
            </w:r>
          </w:p>
        </w:tc>
        <w:tc>
          <w:tcPr>
            <w:tcW w:w="4300" w:type="pct"/>
            <w:gridSpan w:val="7"/>
            <w:noWrap w:val="0"/>
            <w:vAlign w:val="top"/>
          </w:tcPr>
          <w:p w14:paraId="68CD5F08">
            <w:pPr>
              <w:spacing w:line="360" w:lineRule="exact"/>
              <w:jc w:val="center"/>
              <w:rPr>
                <w:rFonts w:hint="eastAsia" w:ascii="宋体" w:hAnsi="宋体"/>
                <w:szCs w:val="21"/>
              </w:rPr>
            </w:pPr>
            <w:r>
              <w:rPr>
                <w:rFonts w:hint="eastAsia" w:ascii="宋体" w:hAnsi="宋体" w:eastAsia="宋体"/>
                <w:szCs w:val="21"/>
              </w:rPr>
              <w:t>C公司充电桩</w:t>
            </w:r>
            <w:r>
              <w:rPr>
                <w:rFonts w:hint="eastAsia" w:ascii="宋体" w:hAnsi="宋体" w:eastAsia="宋体"/>
                <w:szCs w:val="21"/>
                <w:lang w:val="en-US" w:eastAsia="zh-CN"/>
              </w:rPr>
              <w:t>选址问题研究</w:t>
            </w:r>
            <w:r>
              <w:rPr>
                <w:rFonts w:hint="eastAsia" w:ascii="宋体" w:hAnsi="宋体" w:eastAsia="宋体"/>
                <w:szCs w:val="21"/>
              </w:rPr>
              <w:tab/>
            </w:r>
            <w:r>
              <w:rPr>
                <w:rFonts w:hint="eastAsia" w:ascii="宋体" w:hAnsi="宋体" w:eastAsia="宋体"/>
                <w:szCs w:val="21"/>
              </w:rPr>
              <w:tab/>
            </w:r>
          </w:p>
        </w:tc>
      </w:tr>
      <w:tr w14:paraId="303EC642">
        <w:tc>
          <w:tcPr>
            <w:tcW w:w="699" w:type="pct"/>
            <w:noWrap w:val="0"/>
            <w:vAlign w:val="top"/>
          </w:tcPr>
          <w:p w14:paraId="7BFF93C9">
            <w:pPr>
              <w:spacing w:line="360" w:lineRule="exact"/>
              <w:jc w:val="center"/>
              <w:rPr>
                <w:rFonts w:hint="eastAsia" w:ascii="宋体" w:hAnsi="宋体"/>
                <w:szCs w:val="21"/>
              </w:rPr>
            </w:pPr>
            <w:r>
              <w:rPr>
                <w:rFonts w:hint="eastAsia" w:ascii="宋体" w:hAnsi="宋体"/>
                <w:szCs w:val="21"/>
              </w:rPr>
              <w:t>题目来源</w:t>
            </w:r>
          </w:p>
        </w:tc>
        <w:tc>
          <w:tcPr>
            <w:tcW w:w="4300" w:type="pct"/>
            <w:gridSpan w:val="7"/>
            <w:noWrap w:val="0"/>
            <w:vAlign w:val="top"/>
          </w:tcPr>
          <w:p w14:paraId="2757B422">
            <w:pPr>
              <w:pStyle w:val="11"/>
              <w:spacing w:line="240" w:lineRule="auto"/>
              <w:rPr>
                <w:rFonts w:hint="eastAsia" w:asciiTheme="minorEastAsia" w:hAnsiTheme="minorEastAsia" w:eastAsiaTheme="minorEastAsia" w:cstheme="minorEastAsia"/>
                <w:b w:val="0"/>
                <w:sz w:val="21"/>
                <w:szCs w:val="21"/>
              </w:rPr>
            </w:pPr>
            <w:r>
              <w:rPr>
                <w:rFonts w:hint="eastAsia" w:asciiTheme="minorEastAsia" w:hAnsiTheme="minorEastAsia" w:eastAsiaTheme="minorEastAsia" w:cstheme="minorEastAsia"/>
                <w:b/>
                <w:sz w:val="21"/>
                <w:szCs w:val="21"/>
              </w:rPr>
              <w:t>企业困境：</w:t>
            </w:r>
            <w:r>
              <w:rPr>
                <w:rFonts w:hint="eastAsia" w:asciiTheme="minorEastAsia" w:hAnsiTheme="minorEastAsia" w:eastAsiaTheme="minorEastAsia" w:cstheme="minorEastAsia"/>
                <w:b w:val="0"/>
                <w:sz w:val="21"/>
                <w:szCs w:val="21"/>
              </w:rPr>
              <w:t>C公司于南京、深圳、徐州三地进行社区充电桩布局时，因选址工作完全依托经验判断，缺乏系统化、科学化的方法体系支撑，引发了三大核心问题：其一，安装成本因选址差异而出现显著波动，难以达成成本的精准管控；其二，运营效率欠佳，基于经验的选址可能无法实现用户需求与场地条件的最优匹配，对设备利用率和服务质量产生不利影响；其三，投资回收周期延长，成本的不可控与运营效率的低下共同作用，直接致使投资回报速度减缓，对企业的扩张进程和盈利能力形成制约。</w:t>
            </w:r>
          </w:p>
          <w:p w14:paraId="7E45CCE8">
            <w:pPr>
              <w:pStyle w:val="11"/>
              <w:spacing w:line="240" w:lineRule="auto"/>
              <w:rPr>
                <w:rFonts w:hint="eastAsia" w:ascii="宋体" w:hAnsi="宋体"/>
                <w:szCs w:val="21"/>
              </w:rPr>
            </w:pPr>
            <w:r>
              <w:rPr>
                <w:rFonts w:hint="eastAsia" w:asciiTheme="minorEastAsia" w:hAnsiTheme="minorEastAsia" w:eastAsiaTheme="minorEastAsia" w:cstheme="minorEastAsia"/>
                <w:b/>
                <w:sz w:val="21"/>
                <w:szCs w:val="21"/>
              </w:rPr>
              <w:t>宏观环境：</w:t>
            </w:r>
            <w:r>
              <w:rPr>
                <w:rFonts w:hint="eastAsia" w:asciiTheme="minorEastAsia" w:hAnsiTheme="minorEastAsia" w:eastAsiaTheme="minorEastAsia" w:cstheme="minorEastAsia"/>
                <w:b w:val="0"/>
                <w:sz w:val="21"/>
                <w:szCs w:val="21"/>
              </w:rPr>
              <w:t>随着我国城市化推进，城市人口密度增大，居民短途出行需求强，电动自行车因经济、便捷、灵活，成为日常出行重要工具，保有量快速增长，充电设施需求迫切。但当前城市社区充电设施配套滞后，居民“私拉乱接”充电引发火灾频发，威胁公共安全。国家及地方政府高度关注，出台政策加强和规范充电基础设施规划建设，将其纳入公共安全治理和民生工程。同时，低空经济等发展推动城市基础设施升级，为社区充电设施优化营造有利条件。在此背景下，科学规划和建设社区电动自行车充电设施，是满足民生、响应政策、保障安全、推动城市可持续发展的重要举措。</w:t>
            </w:r>
          </w:p>
        </w:tc>
      </w:tr>
      <w:tr w14:paraId="4CE4E7B2">
        <w:tc>
          <w:tcPr>
            <w:tcW w:w="699" w:type="pct"/>
            <w:noWrap w:val="0"/>
            <w:vAlign w:val="top"/>
          </w:tcPr>
          <w:p w14:paraId="57E9B98F">
            <w:pPr>
              <w:spacing w:line="240" w:lineRule="auto"/>
              <w:jc w:val="center"/>
              <w:rPr>
                <w:rFonts w:hint="eastAsia" w:ascii="宋体" w:hAnsi="宋体"/>
                <w:szCs w:val="21"/>
              </w:rPr>
            </w:pPr>
            <w:r>
              <w:rPr>
                <w:rFonts w:hint="eastAsia" w:ascii="宋体" w:hAnsi="宋体"/>
                <w:szCs w:val="21"/>
              </w:rPr>
              <w:t>论文形式</w:t>
            </w:r>
          </w:p>
        </w:tc>
        <w:tc>
          <w:tcPr>
            <w:tcW w:w="4300" w:type="pct"/>
            <w:gridSpan w:val="7"/>
            <w:noWrap w:val="0"/>
            <w:vAlign w:val="top"/>
          </w:tcPr>
          <w:p w14:paraId="1873D023">
            <w:pPr>
              <w:spacing w:line="360" w:lineRule="exact"/>
              <w:jc w:val="center"/>
              <w:rPr>
                <w:rFonts w:hint="eastAsia" w:ascii="宋体" w:hAnsi="宋体"/>
                <w:szCs w:val="21"/>
              </w:rPr>
            </w:pPr>
            <w:r>
              <w:rPr>
                <w:rFonts w:hint="eastAsia" w:ascii="宋体" w:hAnsi="宋体"/>
                <w:szCs w:val="21"/>
              </w:rPr>
              <w:t>应用研究 + 模型构建</w:t>
            </w:r>
          </w:p>
        </w:tc>
      </w:tr>
      <w:tr w14:paraId="6F77FAE9">
        <w:tc>
          <w:tcPr>
            <w:tcW w:w="699" w:type="pct"/>
            <w:noWrap w:val="0"/>
            <w:vAlign w:val="top"/>
          </w:tcPr>
          <w:p w14:paraId="48C4D1A5">
            <w:pPr>
              <w:ind w:firstLine="210" w:firstLineChars="100"/>
              <w:rPr>
                <w:rFonts w:hint="eastAsia" w:ascii="宋体" w:hAnsi="宋体"/>
                <w:szCs w:val="21"/>
              </w:rPr>
            </w:pPr>
            <w:r>
              <w:rPr>
                <w:rFonts w:hint="eastAsia" w:ascii="宋体" w:hAnsi="宋体"/>
                <w:szCs w:val="21"/>
              </w:rPr>
              <w:t>摘要</w:t>
            </w:r>
          </w:p>
        </w:tc>
        <w:tc>
          <w:tcPr>
            <w:tcW w:w="4300" w:type="pct"/>
            <w:gridSpan w:val="7"/>
            <w:noWrap w:val="0"/>
            <w:vAlign w:val="top"/>
          </w:tcPr>
          <w:p w14:paraId="18F70AD2">
            <w:pPr>
              <w:rPr>
                <w:rFonts w:hint="eastAsia" w:ascii="宋体" w:hAnsi="宋体"/>
                <w:szCs w:val="21"/>
              </w:rPr>
            </w:pPr>
            <w:r>
              <w:rPr>
                <w:rFonts w:hint="eastAsia" w:ascii="宋体" w:hAnsi="宋体"/>
                <w:szCs w:val="21"/>
              </w:rPr>
              <w:t>随着城市电动自行车数量的迅速增加，社区充电安全和设施规划成为物业管理的重要议题。当前充电桩建设在选址合理性、成本控制、运行效率及投诉处理等方面仍存在显著不足。本研究拟基于近一年实际充电桩运营数据、居民投诉记录及设备维护信息，构建包含选址因素、成本结构和运行效率的综合评价模型。研究将采用 AHP、熵权法、回归分析、多目标规划等方法对影响因素进行提取、权重分配与模型验证，以形成适用于社区场景的优化策略和决策依据。本研究预期为物业提升充电设施管理效率、降低建设与运维成本提供科学参考。</w:t>
            </w:r>
          </w:p>
        </w:tc>
      </w:tr>
      <w:tr w14:paraId="7634FAC6">
        <w:tc>
          <w:tcPr>
            <w:tcW w:w="5000" w:type="pct"/>
            <w:gridSpan w:val="8"/>
            <w:noWrap w:val="0"/>
            <w:vAlign w:val="top"/>
          </w:tcPr>
          <w:p w14:paraId="62BD377C">
            <w:pPr>
              <w:autoSpaceDE w:val="0"/>
              <w:autoSpaceDN w:val="0"/>
              <w:adjustRightInd w:val="0"/>
              <w:spacing w:line="360" w:lineRule="exact"/>
              <w:jc w:val="left"/>
              <w:rPr>
                <w:rFonts w:ascii="宋体" w:hAnsi="宋体" w:cs="AdobeSongStd-Light"/>
                <w:kern w:val="0"/>
                <w:szCs w:val="21"/>
              </w:rPr>
            </w:pPr>
            <w:r>
              <w:rPr>
                <w:rFonts w:hint="eastAsia" w:ascii="宋体" w:hAnsi="宋体" w:cs="AdobeSongStd-Light"/>
                <w:kern w:val="0"/>
                <w:szCs w:val="21"/>
              </w:rPr>
              <w:t>请导师审查开题报告是否包含以下内容：</w:t>
            </w:r>
          </w:p>
          <w:p w14:paraId="355C74AD">
            <w:pPr>
              <w:autoSpaceDE w:val="0"/>
              <w:autoSpaceDN w:val="0"/>
              <w:adjustRightInd w:val="0"/>
              <w:spacing w:line="360" w:lineRule="exact"/>
              <w:jc w:val="left"/>
              <w:rPr>
                <w:rFonts w:ascii="宋体" w:hAnsi="宋体" w:cs="AdobeSongStd-Light"/>
                <w:kern w:val="0"/>
                <w:szCs w:val="21"/>
              </w:rPr>
            </w:pPr>
            <w:r>
              <w:rPr>
                <w:rFonts w:hint="eastAsia" w:ascii="宋体" w:hAnsi="宋体" w:cs="AdobeSongStd-Light"/>
                <w:kern w:val="0"/>
                <w:szCs w:val="21"/>
              </w:rPr>
              <w:t>①选题根据</w:t>
            </w:r>
          </w:p>
          <w:p w14:paraId="1003DD84">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a)</w:t>
            </w:r>
            <w:r>
              <w:rPr>
                <w:rFonts w:hint="eastAsia" w:ascii="宋体" w:hAnsi="宋体" w:cs="AdobeSongStd-Light"/>
                <w:kern w:val="0"/>
                <w:szCs w:val="21"/>
              </w:rPr>
              <w:t xml:space="preserve">题目来源                                                                   </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77A27ACD">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b)</w:t>
            </w:r>
            <w:r>
              <w:rPr>
                <w:rFonts w:hint="eastAsia" w:ascii="宋体" w:hAnsi="宋体" w:cs="AdobeSongStd-Light"/>
                <w:kern w:val="0"/>
                <w:szCs w:val="21"/>
              </w:rPr>
              <w:t>课题的研究意义、国内外研究现状分析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7939F957">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c)</w:t>
            </w:r>
            <w:r>
              <w:rPr>
                <w:rFonts w:hint="eastAsia" w:ascii="宋体" w:hAnsi="宋体" w:cs="AdobeSongStd-Light"/>
                <w:kern w:val="0"/>
                <w:szCs w:val="21"/>
              </w:rPr>
              <w:t>主要参考文献</w:t>
            </w:r>
            <w:r>
              <w:rPr>
                <w:rFonts w:ascii="宋体" w:hAnsi="宋体" w:cs="AdobeSongStd-Light"/>
                <w:kern w:val="0"/>
                <w:szCs w:val="21"/>
              </w:rPr>
              <w:t>(</w:t>
            </w:r>
            <w:r>
              <w:rPr>
                <w:rFonts w:hint="eastAsia" w:ascii="宋体" w:hAnsi="宋体" w:cs="AdobeSongStd-Light"/>
                <w:kern w:val="0"/>
                <w:szCs w:val="21"/>
              </w:rPr>
              <w:t>不少于</w:t>
            </w:r>
            <w:r>
              <w:rPr>
                <w:rFonts w:ascii="宋体" w:hAnsi="宋体" w:cs="AdobeSongStd-Light"/>
                <w:kern w:val="0"/>
                <w:szCs w:val="21"/>
              </w:rPr>
              <w:t>30</w:t>
            </w:r>
            <w:r>
              <w:rPr>
                <w:rFonts w:hint="eastAsia" w:ascii="宋体" w:hAnsi="宋体" w:cs="AdobeSongStd-Light"/>
                <w:kern w:val="0"/>
                <w:szCs w:val="21"/>
              </w:rPr>
              <w:t>篇，以近期的国内外期刊论文为主</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79A736E5">
            <w:pPr>
              <w:autoSpaceDE w:val="0"/>
              <w:autoSpaceDN w:val="0"/>
              <w:adjustRightInd w:val="0"/>
              <w:spacing w:line="360" w:lineRule="exact"/>
              <w:jc w:val="left"/>
              <w:rPr>
                <w:rFonts w:ascii="宋体" w:hAnsi="宋体" w:cs="AdobeSongStd-Light"/>
                <w:kern w:val="0"/>
                <w:szCs w:val="21"/>
              </w:rPr>
            </w:pPr>
            <w:r>
              <w:rPr>
                <w:rFonts w:hint="eastAsia" w:ascii="宋体" w:hAnsi="宋体" w:cs="AdobeSongStd-Light"/>
                <w:kern w:val="0"/>
                <w:szCs w:val="21"/>
              </w:rPr>
              <w:t>②研究方案</w:t>
            </w:r>
          </w:p>
          <w:p w14:paraId="17BFB818">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a)</w:t>
            </w:r>
            <w:r>
              <w:rPr>
                <w:rFonts w:hint="eastAsia" w:ascii="宋体" w:hAnsi="宋体" w:cs="AdobeSongStd-Light"/>
                <w:kern w:val="0"/>
                <w:szCs w:val="21"/>
              </w:rPr>
              <w:t>研究的目标、内容和关键问题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58FD5517">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b)</w:t>
            </w:r>
            <w:r>
              <w:rPr>
                <w:rFonts w:hint="eastAsia" w:ascii="宋体" w:hAnsi="宋体" w:cs="AdobeSongStd-Light"/>
                <w:kern w:val="0"/>
                <w:szCs w:val="21"/>
              </w:rPr>
              <w:t>拟采取的研究方法、技术路线、试验方案及可行性分析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7FA5F12F">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c)</w:t>
            </w:r>
            <w:r>
              <w:rPr>
                <w:rFonts w:hint="eastAsia" w:ascii="宋体" w:hAnsi="宋体" w:cs="AdobeSongStd-Light"/>
                <w:kern w:val="0"/>
                <w:szCs w:val="21"/>
              </w:rPr>
              <w:t>研究的可能创新点或将解决的实际应用问题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5EAF5DD1">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d)</w:t>
            </w:r>
            <w:r>
              <w:rPr>
                <w:rFonts w:hint="eastAsia" w:ascii="宋体" w:hAnsi="宋体" w:cs="AdobeSongStd-Light"/>
                <w:kern w:val="0"/>
                <w:szCs w:val="21"/>
              </w:rPr>
              <w:t>研究计划及预测进展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1F75C75C">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e)</w:t>
            </w:r>
            <w:r>
              <w:rPr>
                <w:rFonts w:hint="eastAsia" w:ascii="宋体" w:hAnsi="宋体" w:cs="AdobeSongStd-Light"/>
                <w:kern w:val="0"/>
                <w:szCs w:val="21"/>
              </w:rPr>
              <w:t>预期研究成果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5D1CF19C">
            <w:pPr>
              <w:autoSpaceDE w:val="0"/>
              <w:autoSpaceDN w:val="0"/>
              <w:adjustRightInd w:val="0"/>
              <w:spacing w:line="360" w:lineRule="exact"/>
              <w:jc w:val="left"/>
              <w:rPr>
                <w:rFonts w:hint="eastAsia" w:ascii="宋体" w:hAnsi="宋体" w:cs="AdobeSongStd-Light"/>
                <w:kern w:val="0"/>
                <w:szCs w:val="21"/>
              </w:rPr>
            </w:pPr>
            <w:r>
              <w:rPr>
                <w:rFonts w:hint="eastAsia" w:ascii="宋体" w:hAnsi="宋体" w:cs="AdobeSongStd-Light"/>
                <w:kern w:val="0"/>
                <w:szCs w:val="21"/>
              </w:rPr>
              <w:t>f)论文初步提纲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4D5EAF5A">
            <w:pPr>
              <w:autoSpaceDE w:val="0"/>
              <w:autoSpaceDN w:val="0"/>
              <w:adjustRightInd w:val="0"/>
              <w:spacing w:line="360" w:lineRule="exact"/>
              <w:jc w:val="left"/>
              <w:rPr>
                <w:rFonts w:ascii="宋体" w:hAnsi="宋体" w:cs="AdobeSongStd-Light"/>
                <w:kern w:val="0"/>
                <w:szCs w:val="21"/>
              </w:rPr>
            </w:pPr>
            <w:r>
              <w:rPr>
                <w:rFonts w:hint="eastAsia" w:ascii="宋体" w:hAnsi="宋体" w:cs="AdobeSongStd-Light"/>
                <w:kern w:val="0"/>
                <w:szCs w:val="21"/>
              </w:rPr>
              <w:t>③研究基础：</w:t>
            </w:r>
          </w:p>
          <w:p w14:paraId="17A8910E">
            <w:pPr>
              <w:autoSpaceDE w:val="0"/>
              <w:autoSpaceDN w:val="0"/>
              <w:adjustRightInd w:val="0"/>
              <w:spacing w:line="360" w:lineRule="exact"/>
              <w:jc w:val="left"/>
              <w:rPr>
                <w:rFonts w:ascii="宋体" w:hAnsi="宋体" w:cs="AdobeSongStd-Light"/>
                <w:kern w:val="0"/>
                <w:szCs w:val="21"/>
              </w:rPr>
            </w:pPr>
            <w:r>
              <w:rPr>
                <w:rFonts w:ascii="宋体" w:hAnsi="宋体" w:cs="AdobeSongStd-Light"/>
                <w:kern w:val="0"/>
                <w:szCs w:val="21"/>
              </w:rPr>
              <w:t>a)</w:t>
            </w:r>
            <w:r>
              <w:rPr>
                <w:rFonts w:hint="eastAsia" w:ascii="宋体" w:hAnsi="宋体" w:cs="AdobeSongStd-Light"/>
                <w:kern w:val="0"/>
                <w:szCs w:val="21"/>
              </w:rPr>
              <w:t>与本项目有关的研究工作积累和已取得的研究工作成绩</w:t>
            </w:r>
            <w:r>
              <w:rPr>
                <w:rFonts w:ascii="宋体" w:hAnsi="宋体" w:cs="AdobeSongStd-Light"/>
                <w:kern w:val="0"/>
                <w:szCs w:val="21"/>
              </w:rPr>
              <w:t>(</w:t>
            </w:r>
            <w:r>
              <w:rPr>
                <w:rFonts w:hint="eastAsia" w:ascii="宋体" w:hAnsi="宋体" w:cs="AdobeSongStd-Light"/>
                <w:kern w:val="0"/>
                <w:szCs w:val="21"/>
              </w:rPr>
              <w:t>报告者本人的单独列出</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p w14:paraId="54C1C269">
            <w:pPr>
              <w:spacing w:line="360" w:lineRule="exact"/>
              <w:jc w:val="left"/>
              <w:rPr>
                <w:rFonts w:hint="eastAsia" w:ascii="宋体" w:hAnsi="宋体" w:cs="AdobeSongStd-Light"/>
                <w:kern w:val="0"/>
                <w:szCs w:val="21"/>
              </w:rPr>
            </w:pPr>
            <w:r>
              <w:rPr>
                <w:rFonts w:ascii="宋体" w:hAnsi="宋体" w:cs="AdobeSongStd-Light"/>
                <w:kern w:val="0"/>
                <w:szCs w:val="21"/>
              </w:rPr>
              <w:t>b)</w:t>
            </w:r>
            <w:r>
              <w:rPr>
                <w:rFonts w:hint="eastAsia" w:ascii="宋体" w:hAnsi="宋体" w:cs="AdobeSongStd-Light"/>
                <w:kern w:val="0"/>
                <w:szCs w:val="21"/>
              </w:rPr>
              <w:t>已具备的实验、资料等条件，尚缺少的实验、资料条件和拟解决的途径                 □</w:t>
            </w:r>
            <w:r>
              <w:rPr>
                <w:rFonts w:ascii="宋体" w:hAnsi="宋体" w:cs="AdobeSongStd-Light"/>
                <w:kern w:val="0"/>
                <w:szCs w:val="21"/>
              </w:rPr>
              <w:t xml:space="preserve"> </w:t>
            </w:r>
            <w:r>
              <w:rPr>
                <w:rFonts w:hint="eastAsia" w:ascii="宋体" w:hAnsi="宋体" w:cs="AdobeSongStd-Light"/>
                <w:kern w:val="0"/>
                <w:szCs w:val="21"/>
              </w:rPr>
              <w:t>是</w:t>
            </w:r>
            <w:r>
              <w:rPr>
                <w:rFonts w:ascii="宋体" w:hAnsi="宋体" w:cs="AdobeSongStd-Light"/>
                <w:kern w:val="0"/>
                <w:szCs w:val="21"/>
              </w:rPr>
              <w:t xml:space="preserve"> </w:t>
            </w:r>
            <w:r>
              <w:rPr>
                <w:rFonts w:hint="eastAsia" w:ascii="宋体" w:hAnsi="宋体" w:cs="AdobeSongStd-Light"/>
                <w:kern w:val="0"/>
                <w:szCs w:val="21"/>
              </w:rPr>
              <w:t>□</w:t>
            </w:r>
            <w:r>
              <w:rPr>
                <w:rFonts w:ascii="宋体" w:hAnsi="宋体" w:cs="AdobeSongStd-Light"/>
                <w:kern w:val="0"/>
                <w:szCs w:val="21"/>
              </w:rPr>
              <w:t xml:space="preserve"> </w:t>
            </w:r>
            <w:r>
              <w:rPr>
                <w:rFonts w:hint="eastAsia" w:ascii="宋体" w:hAnsi="宋体" w:cs="AdobeSongStd-Light"/>
                <w:kern w:val="0"/>
                <w:szCs w:val="21"/>
              </w:rPr>
              <w:t>否</w:t>
            </w:r>
          </w:p>
        </w:tc>
      </w:tr>
      <w:tr w14:paraId="19FE95EF">
        <w:tc>
          <w:tcPr>
            <w:tcW w:w="699" w:type="pct"/>
            <w:noWrap w:val="0"/>
            <w:vAlign w:val="top"/>
          </w:tcPr>
          <w:p w14:paraId="670F5DF3">
            <w:pPr>
              <w:ind w:firstLine="420" w:firstLineChars="200"/>
              <w:rPr>
                <w:rFonts w:ascii="宋体" w:hAnsi="宋体"/>
                <w:szCs w:val="21"/>
              </w:rPr>
            </w:pPr>
            <w:r>
              <w:rPr>
                <w:rFonts w:hint="eastAsia" w:ascii="宋体" w:hAnsi="宋体"/>
                <w:szCs w:val="21"/>
              </w:rPr>
              <w:t>校内</w:t>
            </w:r>
          </w:p>
          <w:p w14:paraId="7C163A3F">
            <w:pPr>
              <w:jc w:val="center"/>
              <w:rPr>
                <w:rFonts w:ascii="宋体" w:hAnsi="宋体"/>
                <w:szCs w:val="21"/>
              </w:rPr>
            </w:pPr>
            <w:r>
              <w:rPr>
                <w:rFonts w:hint="eastAsia" w:ascii="宋体" w:hAnsi="宋体"/>
                <w:szCs w:val="21"/>
              </w:rPr>
              <w:t>导师</w:t>
            </w:r>
          </w:p>
          <w:p w14:paraId="21B28308">
            <w:pPr>
              <w:jc w:val="center"/>
              <w:rPr>
                <w:rFonts w:hint="eastAsia" w:ascii="宋体" w:hAnsi="宋体"/>
                <w:szCs w:val="21"/>
              </w:rPr>
            </w:pPr>
            <w:r>
              <w:rPr>
                <w:rFonts w:hint="eastAsia" w:ascii="宋体" w:hAnsi="宋体"/>
                <w:szCs w:val="21"/>
              </w:rPr>
              <w:t>意见</w:t>
            </w:r>
          </w:p>
        </w:tc>
        <w:tc>
          <w:tcPr>
            <w:tcW w:w="4300" w:type="pct"/>
            <w:gridSpan w:val="7"/>
            <w:noWrap w:val="0"/>
            <w:vAlign w:val="top"/>
          </w:tcPr>
          <w:p w14:paraId="3A561946">
            <w:pPr>
              <w:spacing w:line="360" w:lineRule="auto"/>
              <w:jc w:val="left"/>
              <w:rPr>
                <w:rFonts w:ascii="AdobeSongStd-Light" w:eastAsia="AdobeSongStd-Light" w:cs="AdobeSongStd-Light"/>
                <w:kern w:val="0"/>
                <w:sz w:val="20"/>
                <w:szCs w:val="20"/>
              </w:rPr>
            </w:pPr>
            <w:r>
              <w:rPr>
                <w:rFonts w:hint="eastAsia" w:ascii="宋体" w:hAnsi="宋体" w:cs="AdobeSongStd-Light"/>
                <w:kern w:val="0"/>
                <w:szCs w:val="21"/>
              </w:rPr>
              <w:t>□同意开题报告初稿</w:t>
            </w:r>
            <w:r>
              <w:rPr>
                <w:rFonts w:hint="eastAsia" w:ascii="AdobeSongStd-Light" w:eastAsia="AdobeSongStd-Light" w:cs="AdobeSongStd-Light"/>
                <w:kern w:val="0"/>
                <w:sz w:val="20"/>
                <w:szCs w:val="20"/>
              </w:rPr>
              <w:t xml:space="preserve">          □</w:t>
            </w:r>
            <w:r>
              <w:rPr>
                <w:rFonts w:ascii="AdobeSongStd-Light" w:eastAsia="AdobeSongStd-Light" w:cs="AdobeSongStd-Light"/>
                <w:kern w:val="0"/>
                <w:sz w:val="20"/>
                <w:szCs w:val="20"/>
              </w:rPr>
              <w:t xml:space="preserve"> </w:t>
            </w:r>
            <w:r>
              <w:rPr>
                <w:rFonts w:hint="eastAsia" w:ascii="宋体" w:hAnsi="宋体" w:cs="AdobeSongStd-Light"/>
                <w:kern w:val="0"/>
                <w:szCs w:val="21"/>
              </w:rPr>
              <w:t>不同意开题报告初稿</w:t>
            </w:r>
          </w:p>
          <w:p w14:paraId="65D1CD43">
            <w:pPr>
              <w:spacing w:line="360" w:lineRule="auto"/>
              <w:jc w:val="left"/>
              <w:rPr>
                <w:rFonts w:ascii="宋体" w:hAnsi="宋体" w:cs="AdobeSongStd-Light"/>
                <w:kern w:val="0"/>
                <w:szCs w:val="21"/>
              </w:rPr>
            </w:pPr>
            <w:r>
              <w:rPr>
                <w:rFonts w:hint="eastAsia" w:ascii="宋体" w:hAnsi="宋体" w:cs="AdobeSongStd-Light"/>
                <w:kern w:val="0"/>
                <w:szCs w:val="21"/>
              </w:rPr>
              <w:t xml:space="preserve">□具体意见 </w:t>
            </w:r>
            <w:r>
              <w:rPr>
                <w:rFonts w:ascii="宋体" w:hAnsi="宋体" w:cs="AdobeSongStd-Light"/>
                <w:kern w:val="0"/>
                <w:szCs w:val="21"/>
              </w:rPr>
              <w:t xml:space="preserve">          </w:t>
            </w:r>
          </w:p>
          <w:p w14:paraId="0446FACF">
            <w:pPr>
              <w:spacing w:line="360" w:lineRule="auto"/>
              <w:jc w:val="left"/>
              <w:rPr>
                <w:rFonts w:hint="eastAsia" w:ascii="宋体" w:hAnsi="宋体" w:cs="AdobeSongStd-Light"/>
                <w:kern w:val="0"/>
                <w:szCs w:val="21"/>
              </w:rPr>
            </w:pPr>
            <w:r>
              <w:rPr>
                <w:rFonts w:ascii="宋体" w:hAnsi="宋体" w:cs="AdobeSongStd-Light"/>
                <w:kern w:val="0"/>
                <w:szCs w:val="21"/>
              </w:rPr>
              <w:t xml:space="preserve">                                        </w:t>
            </w:r>
            <w:r>
              <w:rPr>
                <w:rFonts w:hint="eastAsia" w:ascii="宋体" w:hAnsi="宋体" w:cs="AdobeSongStd-Light"/>
                <w:kern w:val="0"/>
                <w:szCs w:val="21"/>
              </w:rPr>
              <w:t>签名：</w:t>
            </w:r>
          </w:p>
        </w:tc>
      </w:tr>
      <w:tr w14:paraId="7E722D63">
        <w:tc>
          <w:tcPr>
            <w:tcW w:w="699" w:type="pct"/>
            <w:noWrap w:val="0"/>
            <w:vAlign w:val="top"/>
          </w:tcPr>
          <w:p w14:paraId="1A1F9F1E">
            <w:pPr>
              <w:ind w:firstLine="420" w:firstLineChars="200"/>
              <w:rPr>
                <w:rFonts w:ascii="宋体" w:hAnsi="宋体"/>
                <w:szCs w:val="21"/>
              </w:rPr>
            </w:pPr>
            <w:r>
              <w:rPr>
                <w:rFonts w:hint="eastAsia" w:ascii="宋体" w:hAnsi="宋体"/>
                <w:szCs w:val="21"/>
              </w:rPr>
              <w:t>企业</w:t>
            </w:r>
          </w:p>
          <w:p w14:paraId="10AB5D82">
            <w:pPr>
              <w:jc w:val="center"/>
              <w:rPr>
                <w:rFonts w:ascii="宋体" w:hAnsi="宋体"/>
                <w:szCs w:val="21"/>
              </w:rPr>
            </w:pPr>
            <w:r>
              <w:rPr>
                <w:rFonts w:hint="eastAsia" w:ascii="宋体" w:hAnsi="宋体"/>
                <w:szCs w:val="21"/>
              </w:rPr>
              <w:t>导师</w:t>
            </w:r>
          </w:p>
          <w:p w14:paraId="04454B4C">
            <w:pPr>
              <w:jc w:val="center"/>
              <w:rPr>
                <w:rFonts w:hint="eastAsia" w:ascii="宋体" w:hAnsi="宋体"/>
                <w:szCs w:val="21"/>
              </w:rPr>
            </w:pPr>
            <w:r>
              <w:rPr>
                <w:rFonts w:hint="eastAsia" w:ascii="宋体" w:hAnsi="宋体"/>
                <w:szCs w:val="21"/>
              </w:rPr>
              <w:t>意见</w:t>
            </w:r>
          </w:p>
        </w:tc>
        <w:tc>
          <w:tcPr>
            <w:tcW w:w="4300" w:type="pct"/>
            <w:gridSpan w:val="7"/>
            <w:noWrap w:val="0"/>
            <w:vAlign w:val="top"/>
          </w:tcPr>
          <w:p w14:paraId="02B2BF05">
            <w:pPr>
              <w:spacing w:line="360" w:lineRule="auto"/>
              <w:jc w:val="left"/>
              <w:rPr>
                <w:rFonts w:ascii="AdobeSongStd-Light" w:eastAsia="AdobeSongStd-Light" w:cs="AdobeSongStd-Light"/>
                <w:kern w:val="0"/>
                <w:sz w:val="20"/>
                <w:szCs w:val="20"/>
              </w:rPr>
            </w:pPr>
            <w:r>
              <w:rPr>
                <w:rFonts w:hint="eastAsia" w:ascii="宋体" w:hAnsi="宋体" w:cs="AdobeSongStd-Light"/>
                <w:kern w:val="0"/>
                <w:szCs w:val="21"/>
              </w:rPr>
              <w:t>□同意开题报告初稿</w:t>
            </w:r>
            <w:r>
              <w:rPr>
                <w:rFonts w:hint="eastAsia" w:ascii="AdobeSongStd-Light" w:eastAsia="AdobeSongStd-Light" w:cs="AdobeSongStd-Light"/>
                <w:kern w:val="0"/>
                <w:sz w:val="20"/>
                <w:szCs w:val="20"/>
              </w:rPr>
              <w:t xml:space="preserve">          □</w:t>
            </w:r>
            <w:r>
              <w:rPr>
                <w:rFonts w:ascii="AdobeSongStd-Light" w:eastAsia="AdobeSongStd-Light" w:cs="AdobeSongStd-Light"/>
                <w:kern w:val="0"/>
                <w:sz w:val="20"/>
                <w:szCs w:val="20"/>
              </w:rPr>
              <w:t xml:space="preserve"> </w:t>
            </w:r>
            <w:r>
              <w:rPr>
                <w:rFonts w:hint="eastAsia" w:ascii="宋体" w:hAnsi="宋体" w:cs="AdobeSongStd-Light"/>
                <w:kern w:val="0"/>
                <w:szCs w:val="21"/>
              </w:rPr>
              <w:t>不同意开题报告初稿</w:t>
            </w:r>
          </w:p>
          <w:p w14:paraId="593E446E">
            <w:pPr>
              <w:spacing w:line="360" w:lineRule="auto"/>
              <w:jc w:val="left"/>
              <w:rPr>
                <w:rFonts w:hint="eastAsia" w:ascii="宋体" w:hAnsi="宋体" w:cs="AdobeSongStd-Light"/>
                <w:kern w:val="0"/>
                <w:szCs w:val="21"/>
              </w:rPr>
            </w:pPr>
            <w:r>
              <w:rPr>
                <w:rFonts w:hint="eastAsia" w:ascii="宋体" w:hAnsi="宋体" w:cs="AdobeSongStd-Light"/>
                <w:kern w:val="0"/>
                <w:szCs w:val="21"/>
              </w:rPr>
              <w:t>□具体意见</w:t>
            </w:r>
          </w:p>
          <w:p w14:paraId="141B737F">
            <w:pPr>
              <w:ind w:firstLine="4830" w:firstLineChars="2300"/>
              <w:jc w:val="left"/>
              <w:rPr>
                <w:rFonts w:hint="eastAsia" w:ascii="宋体" w:hAnsi="宋体"/>
                <w:szCs w:val="21"/>
              </w:rPr>
            </w:pPr>
            <w:r>
              <w:rPr>
                <w:rFonts w:hint="eastAsia" w:ascii="宋体" w:hAnsi="宋体" w:cs="AdobeSongStd-Light"/>
                <w:kern w:val="0"/>
                <w:szCs w:val="21"/>
              </w:rPr>
              <w:t>签名：</w:t>
            </w:r>
          </w:p>
        </w:tc>
      </w:tr>
      <w:tr w14:paraId="4989D089">
        <w:tc>
          <w:tcPr>
            <w:tcW w:w="699" w:type="pct"/>
            <w:noWrap w:val="0"/>
            <w:vAlign w:val="top"/>
          </w:tcPr>
          <w:p w14:paraId="13D73B9E">
            <w:pPr>
              <w:rPr>
                <w:rFonts w:hint="eastAsia" w:ascii="宋体" w:hAnsi="宋体"/>
                <w:szCs w:val="21"/>
              </w:rPr>
            </w:pPr>
            <w:r>
              <w:rPr>
                <w:rFonts w:hint="eastAsia" w:ascii="宋体" w:hAnsi="宋体"/>
                <w:szCs w:val="21"/>
              </w:rPr>
              <w:t>MEM中意见</w:t>
            </w:r>
          </w:p>
        </w:tc>
        <w:tc>
          <w:tcPr>
            <w:tcW w:w="4300" w:type="pct"/>
            <w:gridSpan w:val="7"/>
            <w:noWrap w:val="0"/>
            <w:vAlign w:val="top"/>
          </w:tcPr>
          <w:p w14:paraId="41DCCACA">
            <w:pPr>
              <w:jc w:val="left"/>
              <w:rPr>
                <w:rFonts w:ascii="宋体" w:hAnsi="宋体" w:cs="AdobeSongStd-Light"/>
                <w:kern w:val="0"/>
                <w:szCs w:val="21"/>
              </w:rPr>
            </w:pPr>
          </w:p>
          <w:p w14:paraId="7720E352">
            <w:pPr>
              <w:jc w:val="left"/>
              <w:rPr>
                <w:rFonts w:ascii="宋体" w:hAnsi="宋体" w:cs="AdobeSongStd-Light"/>
                <w:kern w:val="0"/>
                <w:szCs w:val="21"/>
              </w:rPr>
            </w:pPr>
          </w:p>
          <w:p w14:paraId="45E047FD">
            <w:pPr>
              <w:jc w:val="left"/>
              <w:rPr>
                <w:rFonts w:hint="eastAsia" w:ascii="宋体" w:hAnsi="宋体"/>
                <w:szCs w:val="21"/>
              </w:rPr>
            </w:pPr>
            <w:r>
              <w:rPr>
                <w:rFonts w:hint="eastAsia" w:ascii="宋体" w:hAnsi="宋体" w:cs="AdobeSongStd-Light"/>
                <w:kern w:val="0"/>
                <w:szCs w:val="21"/>
              </w:rPr>
              <w:t>签名：</w:t>
            </w:r>
          </w:p>
        </w:tc>
      </w:tr>
    </w:tbl>
    <w:p w14:paraId="037B107B">
      <w:pPr>
        <w:pStyle w:val="28"/>
      </w:pPr>
    </w:p>
    <w:p w14:paraId="40951B04">
      <w:pPr>
        <w:pStyle w:val="28"/>
      </w:pPr>
    </w:p>
    <w:p w14:paraId="2CBC75A7">
      <w:pPr>
        <w:pStyle w:val="28"/>
      </w:pPr>
    </w:p>
    <w:p w14:paraId="0D1A12C0">
      <w:pPr>
        <w:pStyle w:val="28"/>
      </w:pPr>
    </w:p>
    <w:p w14:paraId="0B8A208A">
      <w:pPr>
        <w:pStyle w:val="28"/>
      </w:pPr>
    </w:p>
    <w:p w14:paraId="1EF4671F">
      <w:pPr>
        <w:pStyle w:val="28"/>
      </w:pPr>
    </w:p>
    <w:p w14:paraId="5A7959E5">
      <w:pPr>
        <w:pStyle w:val="28"/>
      </w:pPr>
    </w:p>
    <w:p w14:paraId="1416D0FD">
      <w:pPr>
        <w:pStyle w:val="28"/>
      </w:pPr>
    </w:p>
    <w:p w14:paraId="14857B77">
      <w:pPr>
        <w:pStyle w:val="28"/>
      </w:pPr>
    </w:p>
    <w:p w14:paraId="7E0CE687">
      <w:pPr>
        <w:pStyle w:val="28"/>
      </w:pPr>
    </w:p>
    <w:p w14:paraId="79A90FB3">
      <w:pPr>
        <w:pStyle w:val="28"/>
      </w:pPr>
    </w:p>
    <w:p w14:paraId="218EFDCD">
      <w:pPr>
        <w:pStyle w:val="28"/>
      </w:pPr>
    </w:p>
    <w:p w14:paraId="62E49BD8">
      <w:pPr>
        <w:pStyle w:val="28"/>
      </w:pPr>
    </w:p>
    <w:p w14:paraId="676656E6">
      <w:pPr>
        <w:pStyle w:val="28"/>
      </w:pPr>
    </w:p>
    <w:p w14:paraId="4B5BD496">
      <w:pPr>
        <w:pStyle w:val="28"/>
      </w:pPr>
      <w:r>
        <w:t>南京大学工程管理专业学位论文开题报告评审表</w:t>
      </w:r>
    </w:p>
    <w:p w14:paraId="30A771B2">
      <w:pPr>
        <w:jc w:val="center"/>
        <w:rPr>
          <w:rFonts w:eastAsia="微软雅黑"/>
          <w:b/>
        </w:rPr>
      </w:pPr>
    </w:p>
    <w:tbl>
      <w:tblPr>
        <w:tblStyle w:val="1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1548"/>
        <w:gridCol w:w="710"/>
        <w:gridCol w:w="1135"/>
        <w:gridCol w:w="714"/>
        <w:gridCol w:w="987"/>
        <w:gridCol w:w="1281"/>
        <w:gridCol w:w="2182"/>
      </w:tblGrid>
      <w:tr w14:paraId="7FF41FA0">
        <w:tc>
          <w:tcPr>
            <w:tcW w:w="576" w:type="pct"/>
            <w:noWrap w:val="0"/>
            <w:vAlign w:val="center"/>
          </w:tcPr>
          <w:p w14:paraId="44B0B0CA">
            <w:pPr>
              <w:spacing w:before="156" w:beforeLines="50" w:after="156" w:afterLines="50"/>
              <w:jc w:val="center"/>
              <w:rPr>
                <w:rFonts w:eastAsia="仿宋"/>
              </w:rPr>
            </w:pPr>
            <w:r>
              <w:rPr>
                <w:rFonts w:eastAsia="仿宋"/>
              </w:rPr>
              <w:t>学号</w:t>
            </w:r>
          </w:p>
        </w:tc>
        <w:tc>
          <w:tcPr>
            <w:tcW w:w="800" w:type="pct"/>
            <w:noWrap w:val="0"/>
            <w:vAlign w:val="center"/>
          </w:tcPr>
          <w:p w14:paraId="6E8CF10B">
            <w:pPr>
              <w:jc w:val="center"/>
              <w:rPr>
                <w:rFonts w:eastAsia="仿宋"/>
              </w:rPr>
            </w:pPr>
            <w:r>
              <w:rPr>
                <w:rFonts w:hint="eastAsia" w:ascii="宋体" w:hAnsi="宋体"/>
                <w:szCs w:val="21"/>
              </w:rPr>
              <w:t>5</w:t>
            </w:r>
            <w:r>
              <w:rPr>
                <w:rFonts w:ascii="宋体" w:hAnsi="宋体"/>
                <w:szCs w:val="21"/>
              </w:rPr>
              <w:t>32024150155</w:t>
            </w:r>
          </w:p>
        </w:tc>
        <w:tc>
          <w:tcPr>
            <w:tcW w:w="367" w:type="pct"/>
            <w:noWrap w:val="0"/>
            <w:vAlign w:val="center"/>
          </w:tcPr>
          <w:p w14:paraId="16A94095">
            <w:pPr>
              <w:rPr>
                <w:rFonts w:eastAsia="仿宋"/>
              </w:rPr>
            </w:pPr>
            <w:r>
              <w:rPr>
                <w:rFonts w:eastAsia="仿宋"/>
              </w:rPr>
              <w:t>姓名</w:t>
            </w:r>
          </w:p>
        </w:tc>
        <w:tc>
          <w:tcPr>
            <w:tcW w:w="586" w:type="pct"/>
            <w:noWrap w:val="0"/>
            <w:vAlign w:val="center"/>
          </w:tcPr>
          <w:p w14:paraId="08D5CFBE">
            <w:pPr>
              <w:jc w:val="center"/>
              <w:rPr>
                <w:rFonts w:eastAsia="仿宋"/>
              </w:rPr>
            </w:pPr>
            <w:r>
              <w:rPr>
                <w:rFonts w:hint="eastAsia" w:ascii="宋体" w:hAnsi="宋体"/>
                <w:szCs w:val="21"/>
              </w:rPr>
              <w:t>于琮源</w:t>
            </w:r>
          </w:p>
        </w:tc>
        <w:tc>
          <w:tcPr>
            <w:tcW w:w="369" w:type="pct"/>
            <w:noWrap w:val="0"/>
            <w:vAlign w:val="center"/>
          </w:tcPr>
          <w:p w14:paraId="5E88ABE3">
            <w:pPr>
              <w:jc w:val="center"/>
              <w:rPr>
                <w:rFonts w:eastAsia="仿宋"/>
              </w:rPr>
            </w:pPr>
            <w:r>
              <w:rPr>
                <w:rFonts w:eastAsia="仿宋"/>
              </w:rPr>
              <w:t>班级</w:t>
            </w:r>
          </w:p>
        </w:tc>
        <w:tc>
          <w:tcPr>
            <w:tcW w:w="510" w:type="pct"/>
            <w:noWrap w:val="0"/>
            <w:vAlign w:val="center"/>
          </w:tcPr>
          <w:p w14:paraId="41ED1CF0">
            <w:pPr>
              <w:jc w:val="center"/>
              <w:rPr>
                <w:rFonts w:eastAsia="仿宋"/>
              </w:rPr>
            </w:pPr>
            <w:r>
              <w:rPr>
                <w:rFonts w:hint="eastAsia" w:ascii="宋体" w:hAnsi="宋体"/>
                <w:szCs w:val="21"/>
              </w:rPr>
              <w:t>南京一班</w:t>
            </w:r>
          </w:p>
        </w:tc>
        <w:tc>
          <w:tcPr>
            <w:tcW w:w="662" w:type="pct"/>
            <w:noWrap w:val="0"/>
            <w:vAlign w:val="center"/>
          </w:tcPr>
          <w:p w14:paraId="078B59CB">
            <w:pPr>
              <w:jc w:val="center"/>
              <w:rPr>
                <w:rFonts w:eastAsia="仿宋"/>
              </w:rPr>
            </w:pPr>
            <w:r>
              <w:rPr>
                <w:rFonts w:eastAsia="仿宋"/>
              </w:rPr>
              <w:t>联系方式</w:t>
            </w:r>
          </w:p>
        </w:tc>
        <w:tc>
          <w:tcPr>
            <w:tcW w:w="1127" w:type="pct"/>
            <w:noWrap w:val="0"/>
            <w:vAlign w:val="top"/>
          </w:tcPr>
          <w:p w14:paraId="4E07D38F">
            <w:pPr>
              <w:jc w:val="center"/>
              <w:rPr>
                <w:b/>
              </w:rPr>
            </w:pPr>
            <w:r>
              <w:rPr>
                <w:rFonts w:hint="eastAsia" w:ascii="宋体" w:hAnsi="宋体"/>
                <w:szCs w:val="21"/>
              </w:rPr>
              <w:t>1</w:t>
            </w:r>
            <w:r>
              <w:rPr>
                <w:rFonts w:ascii="宋体" w:hAnsi="宋体"/>
                <w:szCs w:val="21"/>
              </w:rPr>
              <w:t>5150540418</w:t>
            </w:r>
          </w:p>
        </w:tc>
      </w:tr>
      <w:tr w14:paraId="7FD5F3A3">
        <w:tc>
          <w:tcPr>
            <w:tcW w:w="576" w:type="pct"/>
            <w:noWrap w:val="0"/>
            <w:vAlign w:val="center"/>
          </w:tcPr>
          <w:p w14:paraId="54BFCD11">
            <w:pPr>
              <w:spacing w:before="156" w:beforeLines="50"/>
              <w:jc w:val="center"/>
              <w:rPr>
                <w:rFonts w:eastAsia="仿宋"/>
              </w:rPr>
            </w:pPr>
            <w:r>
              <w:rPr>
                <w:rFonts w:eastAsia="仿宋"/>
              </w:rPr>
              <w:t>校内</w:t>
            </w:r>
          </w:p>
          <w:p w14:paraId="46BA0798">
            <w:pPr>
              <w:spacing w:after="156" w:afterLines="50"/>
              <w:jc w:val="center"/>
              <w:rPr>
                <w:rFonts w:eastAsia="仿宋"/>
              </w:rPr>
            </w:pPr>
            <w:r>
              <w:rPr>
                <w:rFonts w:eastAsia="仿宋"/>
              </w:rPr>
              <w:t>导师</w:t>
            </w:r>
          </w:p>
        </w:tc>
        <w:tc>
          <w:tcPr>
            <w:tcW w:w="1754" w:type="pct"/>
            <w:gridSpan w:val="3"/>
            <w:noWrap w:val="0"/>
            <w:vAlign w:val="center"/>
          </w:tcPr>
          <w:p w14:paraId="6B5A622F">
            <w:pPr>
              <w:jc w:val="center"/>
              <w:rPr>
                <w:rFonts w:eastAsia="仿宋"/>
              </w:rPr>
            </w:pPr>
            <w:r>
              <w:rPr>
                <w:rFonts w:hint="eastAsia" w:ascii="宋体" w:hAnsi="宋体" w:eastAsia="宋体"/>
                <w:szCs w:val="21"/>
              </w:rPr>
              <w:t>赵佳宝</w:t>
            </w:r>
          </w:p>
        </w:tc>
        <w:tc>
          <w:tcPr>
            <w:tcW w:w="369" w:type="pct"/>
            <w:noWrap w:val="0"/>
            <w:vAlign w:val="center"/>
          </w:tcPr>
          <w:p w14:paraId="1B205FB5">
            <w:pPr>
              <w:jc w:val="center"/>
              <w:rPr>
                <w:rFonts w:eastAsia="仿宋"/>
              </w:rPr>
            </w:pPr>
            <w:r>
              <w:rPr>
                <w:rFonts w:hint="eastAsia" w:eastAsia="仿宋"/>
              </w:rPr>
              <w:t>企业</w:t>
            </w:r>
            <w:r>
              <w:rPr>
                <w:rFonts w:eastAsia="仿宋"/>
              </w:rPr>
              <w:t>导师</w:t>
            </w:r>
          </w:p>
        </w:tc>
        <w:tc>
          <w:tcPr>
            <w:tcW w:w="2300" w:type="pct"/>
            <w:gridSpan w:val="3"/>
            <w:noWrap w:val="0"/>
            <w:vAlign w:val="top"/>
          </w:tcPr>
          <w:p w14:paraId="772190E3">
            <w:pPr>
              <w:jc w:val="center"/>
              <w:rPr>
                <w:b/>
              </w:rPr>
            </w:pPr>
            <w:r>
              <w:rPr>
                <w:rFonts w:hint="eastAsia" w:ascii="宋体" w:hAnsi="宋体" w:eastAsia="宋体"/>
                <w:szCs w:val="21"/>
              </w:rPr>
              <w:br w:type="textWrapping"/>
            </w:r>
            <w:r>
              <w:rPr>
                <w:rFonts w:hint="eastAsia" w:ascii="宋体" w:hAnsi="宋体" w:eastAsia="宋体"/>
                <w:szCs w:val="21"/>
              </w:rPr>
              <w:t>于亮</w:t>
            </w:r>
          </w:p>
        </w:tc>
      </w:tr>
      <w:tr w14:paraId="7C99C885">
        <w:tc>
          <w:tcPr>
            <w:tcW w:w="576" w:type="pct"/>
            <w:noWrap w:val="0"/>
            <w:vAlign w:val="top"/>
          </w:tcPr>
          <w:p w14:paraId="038B4E7A">
            <w:pPr>
              <w:spacing w:before="156" w:beforeLines="50"/>
              <w:jc w:val="center"/>
              <w:rPr>
                <w:b/>
              </w:rPr>
            </w:pPr>
            <w:r>
              <w:rPr>
                <w:rFonts w:hint="eastAsia"/>
                <w:b/>
              </w:rPr>
              <w:t>论文</w:t>
            </w:r>
          </w:p>
          <w:p w14:paraId="5E80F36D">
            <w:pPr>
              <w:spacing w:after="156" w:afterLines="50"/>
              <w:jc w:val="center"/>
              <w:rPr>
                <w:b/>
              </w:rPr>
            </w:pPr>
            <w:r>
              <w:rPr>
                <w:rFonts w:hint="eastAsia"/>
                <w:b/>
              </w:rPr>
              <w:t>题目</w:t>
            </w:r>
          </w:p>
        </w:tc>
        <w:tc>
          <w:tcPr>
            <w:tcW w:w="4423" w:type="pct"/>
            <w:gridSpan w:val="7"/>
            <w:noWrap w:val="0"/>
            <w:vAlign w:val="top"/>
          </w:tcPr>
          <w:p w14:paraId="35BE85D6">
            <w:pPr>
              <w:jc w:val="center"/>
              <w:rPr>
                <w:rFonts w:hint="eastAsia" w:ascii="宋体" w:hAnsi="宋体" w:eastAsia="宋体"/>
                <w:szCs w:val="21"/>
              </w:rPr>
            </w:pPr>
          </w:p>
          <w:p w14:paraId="4103423B">
            <w:pPr>
              <w:jc w:val="both"/>
              <w:rPr>
                <w:b/>
              </w:rPr>
            </w:pPr>
            <w:r>
              <w:rPr>
                <w:rFonts w:hint="eastAsia" w:ascii="宋体" w:hAnsi="宋体" w:eastAsia="宋体"/>
                <w:szCs w:val="21"/>
              </w:rPr>
              <w:t>C公司充电桩</w:t>
            </w:r>
            <w:r>
              <w:rPr>
                <w:rFonts w:hint="eastAsia" w:ascii="宋体" w:hAnsi="宋体" w:eastAsia="宋体"/>
                <w:szCs w:val="21"/>
                <w:lang w:val="en-US" w:eastAsia="zh-CN"/>
              </w:rPr>
              <w:t>选址问题研究</w:t>
            </w:r>
          </w:p>
        </w:tc>
      </w:tr>
      <w:tr w14:paraId="365B28F2">
        <w:tc>
          <w:tcPr>
            <w:tcW w:w="576" w:type="pct"/>
            <w:vMerge w:val="restart"/>
            <w:noWrap w:val="0"/>
            <w:vAlign w:val="center"/>
          </w:tcPr>
          <w:p w14:paraId="4F42B2BA">
            <w:pPr>
              <w:jc w:val="center"/>
              <w:rPr>
                <w:rFonts w:eastAsia="仿宋"/>
                <w:b/>
                <w:sz w:val="28"/>
                <w:szCs w:val="28"/>
              </w:rPr>
            </w:pPr>
            <w:r>
              <w:rPr>
                <w:rFonts w:hint="eastAsia" w:eastAsia="仿宋"/>
                <w:b/>
                <w:sz w:val="28"/>
                <w:szCs w:val="28"/>
              </w:rPr>
              <w:t>评审</w:t>
            </w:r>
          </w:p>
          <w:p w14:paraId="33B64D50">
            <w:pPr>
              <w:jc w:val="center"/>
              <w:rPr>
                <w:rFonts w:eastAsia="仿宋"/>
                <w:b/>
                <w:sz w:val="28"/>
                <w:szCs w:val="28"/>
              </w:rPr>
            </w:pPr>
            <w:r>
              <w:rPr>
                <w:rFonts w:hint="eastAsia" w:eastAsia="仿宋"/>
                <w:b/>
                <w:sz w:val="28"/>
                <w:szCs w:val="28"/>
              </w:rPr>
              <w:t>意见</w:t>
            </w:r>
          </w:p>
        </w:tc>
        <w:tc>
          <w:tcPr>
            <w:tcW w:w="4423" w:type="pct"/>
            <w:gridSpan w:val="7"/>
            <w:noWrap w:val="0"/>
            <w:vAlign w:val="center"/>
          </w:tcPr>
          <w:p w14:paraId="1B0972FF">
            <w:pPr>
              <w:pStyle w:val="27"/>
              <w:numPr>
                <w:ilvl w:val="0"/>
                <w:numId w:val="0"/>
              </w:numPr>
              <w:spacing w:before="156" w:beforeLines="50" w:after="156" w:afterLines="50"/>
              <w:ind w:left="357" w:leftChars="0" w:hanging="357" w:firstLineChars="0"/>
              <w:jc w:val="left"/>
              <w:rPr>
                <w:rFonts w:eastAsia="仿宋"/>
              </w:rPr>
            </w:pPr>
            <w:r>
              <w:rPr>
                <w:rFonts w:hint="eastAsia" w:ascii="仿宋" w:hAnsi="仿宋" w:eastAsia="仿宋" w:cs="Times New Roman"/>
                <w:kern w:val="2"/>
                <w:sz w:val="21"/>
                <w:szCs w:val="24"/>
                <w:lang w:val="en-US" w:eastAsia="zh-CN" w:bidi="ar-SA"/>
              </w:rPr>
              <w:t>□</w:t>
            </w:r>
            <w:r>
              <w:rPr>
                <w:rFonts w:hint="eastAsia" w:eastAsia="仿宋"/>
                <w:sz w:val="28"/>
                <w:szCs w:val="28"/>
              </w:rPr>
              <w:t>同意通过，</w:t>
            </w:r>
            <w:r>
              <w:rPr>
                <w:rFonts w:hint="eastAsia" w:eastAsia="仿宋"/>
              </w:rPr>
              <w:t>请列出尚需进一步修改完善的内容（请在参考问题清单中勾选）</w:t>
            </w:r>
          </w:p>
        </w:tc>
      </w:tr>
      <w:tr w14:paraId="7A81DDA3">
        <w:tc>
          <w:tcPr>
            <w:tcW w:w="576" w:type="pct"/>
            <w:vMerge w:val="continue"/>
            <w:noWrap w:val="0"/>
            <w:vAlign w:val="center"/>
          </w:tcPr>
          <w:p w14:paraId="12D111A7">
            <w:pPr>
              <w:jc w:val="center"/>
              <w:rPr>
                <w:b/>
              </w:rPr>
            </w:pPr>
          </w:p>
        </w:tc>
        <w:tc>
          <w:tcPr>
            <w:tcW w:w="4423" w:type="pct"/>
            <w:gridSpan w:val="7"/>
            <w:noWrap w:val="0"/>
            <w:vAlign w:val="center"/>
          </w:tcPr>
          <w:p w14:paraId="38225E96">
            <w:pPr>
              <w:pStyle w:val="27"/>
              <w:numPr>
                <w:ilvl w:val="0"/>
                <w:numId w:val="0"/>
              </w:numPr>
              <w:spacing w:before="156" w:beforeLines="50"/>
              <w:ind w:left="357" w:leftChars="0" w:hanging="357" w:firstLineChars="0"/>
              <w:jc w:val="left"/>
              <w:rPr>
                <w:rFonts w:eastAsia="仿宋"/>
              </w:rPr>
            </w:pPr>
            <w:r>
              <w:rPr>
                <w:rFonts w:hint="eastAsia" w:ascii="仿宋" w:hAnsi="仿宋" w:eastAsia="仿宋" w:cs="Times New Roman"/>
                <w:kern w:val="2"/>
                <w:sz w:val="21"/>
                <w:szCs w:val="24"/>
                <w:lang w:val="en-US" w:eastAsia="zh-CN" w:bidi="ar-SA"/>
              </w:rPr>
              <w:t>□</w:t>
            </w:r>
            <w:r>
              <w:rPr>
                <w:rFonts w:hint="eastAsia" w:eastAsia="仿宋"/>
                <w:sz w:val="28"/>
                <w:szCs w:val="28"/>
              </w:rPr>
              <w:t>不同意通过，</w:t>
            </w:r>
            <w:r>
              <w:rPr>
                <w:rFonts w:hint="eastAsia" w:eastAsia="仿宋"/>
              </w:rPr>
              <w:t>请列出需要重点明确和改进的内容（必填）</w:t>
            </w:r>
          </w:p>
          <w:p w14:paraId="760BD668">
            <w:pPr>
              <w:pStyle w:val="27"/>
              <w:ind w:left="360" w:firstLine="0" w:firstLineChars="0"/>
              <w:jc w:val="left"/>
              <w:rPr>
                <w:rFonts w:eastAsia="仿宋"/>
              </w:rPr>
            </w:pPr>
          </w:p>
          <w:p w14:paraId="0FAE8D8F">
            <w:pPr>
              <w:rPr>
                <w:b/>
              </w:rPr>
            </w:pPr>
          </w:p>
          <w:p w14:paraId="5C470CD3">
            <w:pPr>
              <w:rPr>
                <w:b/>
              </w:rPr>
            </w:pPr>
            <w:bookmarkStart w:id="0" w:name="_GoBack"/>
            <w:bookmarkEnd w:id="0"/>
          </w:p>
          <w:p w14:paraId="08579DE0">
            <w:pPr>
              <w:rPr>
                <w:b/>
              </w:rPr>
            </w:pPr>
          </w:p>
          <w:p w14:paraId="23C45924">
            <w:pPr>
              <w:jc w:val="center"/>
              <w:rPr>
                <w:b/>
              </w:rPr>
            </w:pPr>
          </w:p>
          <w:p w14:paraId="4A8CE1B2">
            <w:pPr>
              <w:jc w:val="center"/>
              <w:rPr>
                <w:b/>
              </w:rPr>
            </w:pPr>
          </w:p>
          <w:p w14:paraId="09C8C297">
            <w:pPr>
              <w:jc w:val="center"/>
              <w:rPr>
                <w:b/>
              </w:rPr>
            </w:pPr>
          </w:p>
          <w:p w14:paraId="2EF07BBA">
            <w:pPr>
              <w:jc w:val="center"/>
              <w:rPr>
                <w:b/>
              </w:rPr>
            </w:pPr>
          </w:p>
        </w:tc>
      </w:tr>
      <w:tr w14:paraId="017B0C8E">
        <w:tc>
          <w:tcPr>
            <w:tcW w:w="576" w:type="pct"/>
            <w:noWrap w:val="0"/>
            <w:vAlign w:val="center"/>
          </w:tcPr>
          <w:p w14:paraId="0503F12D">
            <w:pPr>
              <w:jc w:val="center"/>
              <w:rPr>
                <w:rFonts w:eastAsia="仿宋"/>
                <w:b/>
                <w:sz w:val="28"/>
                <w:szCs w:val="28"/>
              </w:rPr>
            </w:pPr>
            <w:r>
              <w:rPr>
                <w:rFonts w:hint="eastAsia" w:eastAsia="仿宋"/>
                <w:b/>
                <w:sz w:val="28"/>
                <w:szCs w:val="28"/>
              </w:rPr>
              <w:t>参考问题清单</w:t>
            </w:r>
          </w:p>
          <w:p w14:paraId="5CD09311">
            <w:pPr>
              <w:jc w:val="center"/>
              <w:rPr>
                <w:rFonts w:eastAsia="仿宋"/>
                <w:b/>
                <w:sz w:val="28"/>
                <w:szCs w:val="28"/>
              </w:rPr>
            </w:pPr>
          </w:p>
        </w:tc>
        <w:tc>
          <w:tcPr>
            <w:tcW w:w="4423" w:type="pct"/>
            <w:gridSpan w:val="7"/>
            <w:noWrap w:val="0"/>
            <w:vAlign w:val="center"/>
          </w:tcPr>
          <w:p w14:paraId="6C3C286B">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w:t>
            </w:r>
            <w:r>
              <w:rPr>
                <w:rFonts w:eastAsia="仿宋"/>
              </w:rPr>
              <w:t>1</w:t>
            </w:r>
            <w:r>
              <w:rPr>
                <w:rFonts w:hint="eastAsia" w:eastAsia="仿宋"/>
              </w:rPr>
              <w:t>）选题不符合工程管理专业硕士论文要求；</w:t>
            </w:r>
            <w:r>
              <w:rPr>
                <w:rFonts w:eastAsia="仿宋"/>
              </w:rPr>
              <w:t xml:space="preserve"> </w:t>
            </w:r>
          </w:p>
          <w:p w14:paraId="47E479AF">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w:t>
            </w:r>
            <w:r>
              <w:rPr>
                <w:rFonts w:eastAsia="仿宋"/>
              </w:rPr>
              <w:t>2</w:t>
            </w:r>
            <w:r>
              <w:rPr>
                <w:rFonts w:hint="eastAsia" w:eastAsia="仿宋"/>
              </w:rPr>
              <w:t>）文献综述没有结合研究问题展开描述，缺文献评述；</w:t>
            </w:r>
            <w:r>
              <w:rPr>
                <w:rFonts w:eastAsia="仿宋"/>
              </w:rPr>
              <w:t xml:space="preserve"> </w:t>
            </w:r>
          </w:p>
          <w:p w14:paraId="437F41D4">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3）没有具体、</w:t>
            </w:r>
            <w:r>
              <w:rPr>
                <w:rFonts w:eastAsia="仿宋"/>
              </w:rPr>
              <w:t>明确的研究</w:t>
            </w:r>
            <w:r>
              <w:rPr>
                <w:rFonts w:hint="eastAsia" w:eastAsia="仿宋"/>
              </w:rPr>
              <w:t>问题和研究</w:t>
            </w:r>
            <w:r>
              <w:rPr>
                <w:rFonts w:eastAsia="仿宋"/>
              </w:rPr>
              <w:t>目标</w:t>
            </w:r>
            <w:r>
              <w:rPr>
                <w:rFonts w:hint="eastAsia" w:eastAsia="仿宋"/>
              </w:rPr>
              <w:t>；</w:t>
            </w:r>
            <w:r>
              <w:rPr>
                <w:rFonts w:eastAsia="仿宋"/>
              </w:rPr>
              <w:t xml:space="preserve"> </w:t>
            </w:r>
          </w:p>
          <w:p w14:paraId="2AC2CACC">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w:t>
            </w:r>
            <w:r>
              <w:rPr>
                <w:rFonts w:eastAsia="仿宋"/>
              </w:rPr>
              <w:t>4</w:t>
            </w:r>
            <w:r>
              <w:rPr>
                <w:rFonts w:hint="eastAsia" w:eastAsia="仿宋"/>
              </w:rPr>
              <w:t>）</w:t>
            </w:r>
            <w:r>
              <w:rPr>
                <w:rFonts w:eastAsia="仿宋"/>
              </w:rPr>
              <w:t>期望获得的</w:t>
            </w:r>
            <w:r>
              <w:rPr>
                <w:rFonts w:hint="eastAsia" w:eastAsia="仿宋"/>
              </w:rPr>
              <w:t>研究</w:t>
            </w:r>
            <w:r>
              <w:rPr>
                <w:rFonts w:eastAsia="仿宋"/>
              </w:rPr>
              <w:t>成果（</w:t>
            </w:r>
            <w:r>
              <w:rPr>
                <w:rFonts w:hint="eastAsia" w:eastAsia="仿宋"/>
              </w:rPr>
              <w:t>如</w:t>
            </w:r>
            <w:r>
              <w:rPr>
                <w:rFonts w:eastAsia="仿宋"/>
              </w:rPr>
              <w:t>应用成果）</w:t>
            </w:r>
            <w:r>
              <w:rPr>
                <w:rFonts w:hint="eastAsia" w:eastAsia="仿宋"/>
              </w:rPr>
              <w:t>不明确</w:t>
            </w:r>
            <w:r>
              <w:rPr>
                <w:rFonts w:eastAsia="仿宋"/>
              </w:rPr>
              <w:t xml:space="preserve">； </w:t>
            </w:r>
          </w:p>
          <w:p w14:paraId="286175F4">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5）针对研究目标，没有</w:t>
            </w:r>
            <w:r>
              <w:rPr>
                <w:rFonts w:eastAsia="仿宋"/>
              </w:rPr>
              <w:t>针对性的</w:t>
            </w:r>
            <w:r>
              <w:rPr>
                <w:rFonts w:hint="eastAsia" w:eastAsia="仿宋"/>
              </w:rPr>
              <w:t>、</w:t>
            </w:r>
            <w:r>
              <w:rPr>
                <w:rFonts w:eastAsia="仿宋"/>
              </w:rPr>
              <w:t>具体</w:t>
            </w:r>
            <w:r>
              <w:rPr>
                <w:rFonts w:hint="eastAsia" w:eastAsia="仿宋"/>
              </w:rPr>
              <w:t>的</w:t>
            </w:r>
            <w:r>
              <w:rPr>
                <w:rFonts w:eastAsia="仿宋"/>
              </w:rPr>
              <w:t xml:space="preserve">研究内容； </w:t>
            </w:r>
          </w:p>
          <w:p w14:paraId="178ACD7D">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6）没有理</w:t>
            </w:r>
            <w:r>
              <w:rPr>
                <w:rFonts w:eastAsia="仿宋"/>
              </w:rPr>
              <w:t>出</w:t>
            </w:r>
            <w:r>
              <w:rPr>
                <w:rFonts w:hint="eastAsia" w:eastAsia="仿宋"/>
              </w:rPr>
              <w:t>拟解决</w:t>
            </w:r>
            <w:r>
              <w:rPr>
                <w:rFonts w:eastAsia="仿宋"/>
              </w:rPr>
              <w:t>的</w:t>
            </w:r>
            <w:r>
              <w:rPr>
                <w:rFonts w:hint="eastAsia" w:eastAsia="仿宋"/>
              </w:rPr>
              <w:t>关键</w:t>
            </w:r>
            <w:r>
              <w:rPr>
                <w:rFonts w:eastAsia="仿宋"/>
              </w:rPr>
              <w:t xml:space="preserve">问题； </w:t>
            </w:r>
          </w:p>
          <w:p w14:paraId="16122B9A">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7）</w:t>
            </w:r>
            <w:r>
              <w:rPr>
                <w:rFonts w:eastAsia="仿宋"/>
              </w:rPr>
              <w:t>没有考虑好采用</w:t>
            </w:r>
            <w:r>
              <w:rPr>
                <w:rFonts w:hint="eastAsia" w:eastAsia="仿宋"/>
              </w:rPr>
              <w:t>什么</w:t>
            </w:r>
            <w:r>
              <w:rPr>
                <w:rFonts w:eastAsia="仿宋"/>
              </w:rPr>
              <w:t>理论、方法和工具</w:t>
            </w:r>
            <w:r>
              <w:rPr>
                <w:rFonts w:hint="eastAsia" w:eastAsia="仿宋"/>
              </w:rPr>
              <w:t>开展研究；</w:t>
            </w:r>
            <w:r>
              <w:rPr>
                <w:rFonts w:eastAsia="仿宋"/>
              </w:rPr>
              <w:t xml:space="preserve"> </w:t>
            </w:r>
          </w:p>
          <w:p w14:paraId="4F5C074A">
            <w:pPr>
              <w:spacing w:line="400" w:lineRule="exact"/>
              <w:ind w:firstLine="210" w:firstLineChars="100"/>
              <w:jc w:val="left"/>
              <w:rPr>
                <w:rFonts w:eastAsia="仿宋"/>
              </w:rPr>
            </w:pPr>
            <w:r>
              <w:rPr>
                <w:rFonts w:hint="eastAsia" w:eastAsia="仿宋"/>
              </w:rPr>
              <w:sym w:font="Wingdings 2" w:char="00A3"/>
            </w:r>
            <w:r>
              <w:rPr>
                <w:rFonts w:hint="eastAsia" w:eastAsia="仿宋"/>
              </w:rPr>
              <w:t xml:space="preserve"> 8）拟采用的理论、方法和工具</w:t>
            </w:r>
            <w:r>
              <w:rPr>
                <w:rFonts w:eastAsia="仿宋"/>
              </w:rPr>
              <w:t>基本不合适</w:t>
            </w:r>
            <w:r>
              <w:rPr>
                <w:rFonts w:hint="eastAsia" w:eastAsia="仿宋"/>
              </w:rPr>
              <w:t>所解决的问题；</w:t>
            </w:r>
            <w:r>
              <w:rPr>
                <w:rFonts w:eastAsia="仿宋"/>
              </w:rPr>
              <w:t xml:space="preserve"> </w:t>
            </w:r>
          </w:p>
          <w:p w14:paraId="42A532F6">
            <w:pPr>
              <w:spacing w:line="440" w:lineRule="exact"/>
              <w:ind w:firstLine="210" w:firstLineChars="100"/>
              <w:jc w:val="left"/>
              <w:rPr>
                <w:rFonts w:eastAsia="仿宋"/>
              </w:rPr>
            </w:pPr>
            <w:r>
              <w:rPr>
                <w:rFonts w:hint="eastAsia" w:eastAsia="仿宋"/>
              </w:rPr>
              <w:sym w:font="Wingdings 2" w:char="00A3"/>
            </w:r>
            <w:r>
              <w:rPr>
                <w:rFonts w:hint="eastAsia" w:eastAsia="仿宋"/>
              </w:rPr>
              <w:t xml:space="preserve"> </w:t>
            </w:r>
            <w:r>
              <w:rPr>
                <w:rFonts w:eastAsia="仿宋"/>
              </w:rPr>
              <w:t>9</w:t>
            </w:r>
            <w:r>
              <w:rPr>
                <w:rFonts w:hint="eastAsia" w:eastAsia="仿宋"/>
              </w:rPr>
              <w:t>）资料、数据</w:t>
            </w:r>
            <w:r>
              <w:rPr>
                <w:rFonts w:eastAsia="仿宋"/>
              </w:rPr>
              <w:t>的来源不明确、</w:t>
            </w:r>
            <w:r>
              <w:rPr>
                <w:rFonts w:hint="eastAsia" w:eastAsia="仿宋"/>
              </w:rPr>
              <w:t>收集困难。</w:t>
            </w:r>
          </w:p>
          <w:p w14:paraId="7B2F99F5">
            <w:pPr>
              <w:spacing w:line="440" w:lineRule="exact"/>
              <w:ind w:firstLine="210" w:firstLineChars="100"/>
              <w:jc w:val="left"/>
              <w:rPr>
                <w:rFonts w:eastAsia="仿宋"/>
                <w:sz w:val="28"/>
                <w:szCs w:val="28"/>
              </w:rPr>
            </w:pPr>
            <w:r>
              <w:rPr>
                <w:rFonts w:hint="eastAsia" w:eastAsia="仿宋"/>
              </w:rPr>
              <w:t>□10) 其他</w:t>
            </w:r>
            <w:r>
              <w:rPr>
                <w:rFonts w:eastAsia="仿宋"/>
              </w:rPr>
              <w:t>问题（</w:t>
            </w:r>
            <w:r>
              <w:rPr>
                <w:rFonts w:hint="eastAsia" w:eastAsia="仿宋"/>
              </w:rPr>
              <w:t>请填写）</w:t>
            </w:r>
            <w:r>
              <w:rPr>
                <w:rFonts w:hint="eastAsia" w:eastAsia="仿宋"/>
                <w:sz w:val="28"/>
                <w:szCs w:val="28"/>
              </w:rPr>
              <w:t>________________________________</w:t>
            </w:r>
          </w:p>
          <w:p w14:paraId="2DB9A5D6">
            <w:pPr>
              <w:spacing w:line="440" w:lineRule="exact"/>
              <w:jc w:val="left"/>
              <w:rPr>
                <w:rFonts w:eastAsia="仿宋"/>
                <w:sz w:val="28"/>
                <w:szCs w:val="28"/>
              </w:rPr>
            </w:pPr>
          </w:p>
        </w:tc>
      </w:tr>
      <w:tr w14:paraId="581946F3">
        <w:tc>
          <w:tcPr>
            <w:tcW w:w="576" w:type="pct"/>
            <w:noWrap w:val="0"/>
            <w:vAlign w:val="center"/>
          </w:tcPr>
          <w:p w14:paraId="06C72761">
            <w:pPr>
              <w:spacing w:before="156" w:beforeLines="50" w:after="156" w:afterLines="50"/>
              <w:jc w:val="center"/>
              <w:rPr>
                <w:rFonts w:eastAsia="仿宋"/>
                <w:b/>
                <w:sz w:val="28"/>
                <w:szCs w:val="28"/>
              </w:rPr>
            </w:pPr>
            <w:r>
              <w:rPr>
                <w:rFonts w:hint="eastAsia" w:eastAsia="仿宋"/>
                <w:b/>
                <w:sz w:val="28"/>
                <w:szCs w:val="28"/>
              </w:rPr>
              <w:t>论文研究方向</w:t>
            </w:r>
          </w:p>
        </w:tc>
        <w:tc>
          <w:tcPr>
            <w:tcW w:w="4423" w:type="pct"/>
            <w:gridSpan w:val="7"/>
            <w:noWrap w:val="0"/>
            <w:vAlign w:val="center"/>
          </w:tcPr>
          <w:p w14:paraId="1F82604C">
            <w:pPr>
              <w:spacing w:after="156" w:afterLines="50"/>
              <w:jc w:val="left"/>
              <w:rPr>
                <w:rFonts w:eastAsia="仿宋"/>
              </w:rPr>
            </w:pPr>
            <w:r>
              <w:rPr>
                <w:rFonts w:hint="eastAsia" w:eastAsia="仿宋"/>
              </w:rPr>
              <w:t xml:space="preserve"> </w:t>
            </w:r>
            <w:r>
              <w:rPr>
                <w:rFonts w:eastAsia="仿宋"/>
              </w:rPr>
              <w:t xml:space="preserve"> </w:t>
            </w:r>
            <w:r>
              <w:rPr>
                <w:rFonts w:hint="eastAsia" w:eastAsia="仿宋"/>
              </w:rPr>
              <w:t xml:space="preserve">□ 项目管理  </w:t>
            </w:r>
            <w:r>
              <w:rPr>
                <w:rFonts w:eastAsia="仿宋"/>
              </w:rPr>
              <w:t xml:space="preserve">       </w:t>
            </w:r>
            <w:r>
              <w:rPr>
                <w:rFonts w:hint="eastAsia" w:eastAsia="仿宋"/>
              </w:rPr>
              <w:t xml:space="preserve">□ 工业工程与管理  </w:t>
            </w:r>
            <w:r>
              <w:rPr>
                <w:rFonts w:eastAsia="仿宋"/>
              </w:rPr>
              <w:t xml:space="preserve"> </w:t>
            </w:r>
            <w:r>
              <w:rPr>
                <w:rFonts w:hint="eastAsia" w:eastAsia="仿宋"/>
              </w:rPr>
              <w:t xml:space="preserve">□ 物流工程与管理  </w:t>
            </w:r>
          </w:p>
          <w:p w14:paraId="1343C467">
            <w:pPr>
              <w:spacing w:after="156" w:afterLines="50"/>
              <w:ind w:firstLine="210" w:firstLineChars="100"/>
              <w:jc w:val="left"/>
              <w:rPr>
                <w:rFonts w:eastAsia="仿宋"/>
                <w:sz w:val="28"/>
              </w:rPr>
            </w:pPr>
            <w:r>
              <w:rPr>
                <w:rFonts w:hint="eastAsia" w:eastAsia="仿宋"/>
              </w:rPr>
              <w:t xml:space="preserve">□ 金融工程与管理 </w:t>
            </w:r>
            <w:r>
              <w:rPr>
                <w:rFonts w:eastAsia="仿宋"/>
              </w:rPr>
              <w:t xml:space="preserve">  </w:t>
            </w:r>
            <w:r>
              <w:rPr>
                <w:rFonts w:hint="eastAsia" w:eastAsia="仿宋"/>
              </w:rPr>
              <w:t xml:space="preserve">□ 信息工程与管理 </w:t>
            </w:r>
            <w:r>
              <w:rPr>
                <w:rFonts w:eastAsia="仿宋"/>
              </w:rPr>
              <w:t xml:space="preserve">  </w:t>
            </w:r>
            <w:r>
              <w:rPr>
                <w:rFonts w:hint="eastAsia" w:eastAsia="仿宋"/>
              </w:rPr>
              <w:t>□</w:t>
            </w:r>
            <w:r>
              <w:rPr>
                <w:rFonts w:hint="eastAsia" w:eastAsia="仿宋"/>
                <w:sz w:val="28"/>
              </w:rPr>
              <w:t xml:space="preserve"> 其它</w:t>
            </w:r>
          </w:p>
        </w:tc>
      </w:tr>
    </w:tbl>
    <w:p w14:paraId="3F29DA59">
      <w:pPr>
        <w:jc w:val="center"/>
        <w:rPr>
          <w:b/>
        </w:rPr>
      </w:pPr>
    </w:p>
    <w:p w14:paraId="76283AF9">
      <w:pPr>
        <w:jc w:val="center"/>
        <w:rPr>
          <w:rFonts w:hint="eastAsia"/>
        </w:rPr>
      </w:pPr>
    </w:p>
    <w:p w14:paraId="320E2950">
      <w:pPr>
        <w:spacing w:line="276" w:lineRule="auto"/>
        <w:ind w:right="-113" w:rightChars="-54"/>
        <w:rPr>
          <w:rFonts w:hint="eastAsia" w:ascii="微软雅黑" w:hAnsi="微软雅黑" w:eastAsia="微软雅黑"/>
          <w:b/>
          <w:szCs w:val="21"/>
        </w:rPr>
      </w:pPr>
    </w:p>
    <w:p w14:paraId="4AAEAEED">
      <w:pPr>
        <w:spacing w:line="276" w:lineRule="auto"/>
        <w:rPr>
          <w:rFonts w:hint="eastAsia" w:ascii="微软雅黑" w:hAnsi="微软雅黑" w:eastAsia="微软雅黑"/>
          <w:b/>
          <w:szCs w:val="21"/>
        </w:rPr>
      </w:pPr>
    </w:p>
    <w:sectPr>
      <w:pgSz w:w="11906" w:h="16838"/>
      <w:pgMar w:top="1440" w:right="1266" w:bottom="1440" w:left="118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dobeSongStd-Light">
    <w:altName w:val="苹方-简"/>
    <w:panose1 w:val="00000000000000000000"/>
    <w:charset w:val="00"/>
    <w:family w:val="auto"/>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2010609060101010101"/>
    <w:charset w:val="00"/>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Wingdings 2">
    <w:panose1 w:val="05020102010507070707"/>
    <w:charset w:val="00"/>
    <w:family w:val="decorative"/>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32C63">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8EEBA">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C2CB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35C2CB9">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DA9C">
    <w:pPr>
      <w:pStyle w:val="1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48404">
    <w:pPr>
      <w:pStyle w:val="13"/>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AB44E5"/>
    <w:multiLevelType w:val="singleLevel"/>
    <w:tmpl w:val="8FAB44E5"/>
    <w:lvl w:ilvl="0" w:tentative="0">
      <w:start w:val="1"/>
      <w:numFmt w:val="decimal"/>
      <w:suff w:val="space"/>
      <w:lvlText w:val="2.3.%1"/>
      <w:lvlJc w:val="left"/>
      <w:pPr>
        <w:ind w:left="0" w:firstLine="480"/>
      </w:pPr>
      <w:rPr>
        <w:rFonts w:hint="default"/>
      </w:rPr>
    </w:lvl>
  </w:abstractNum>
  <w:abstractNum w:abstractNumId="1">
    <w:nsid w:val="941ECD74"/>
    <w:multiLevelType w:val="singleLevel"/>
    <w:tmpl w:val="941ECD74"/>
    <w:lvl w:ilvl="0" w:tentative="0">
      <w:start w:val="1"/>
      <w:numFmt w:val="decimal"/>
      <w:suff w:val="space"/>
      <w:lvlText w:val="7.2.%1"/>
      <w:lvlJc w:val="left"/>
      <w:pPr>
        <w:ind w:left="0" w:firstLine="480"/>
      </w:pPr>
      <w:rPr>
        <w:rFonts w:hint="default"/>
      </w:rPr>
    </w:lvl>
  </w:abstractNum>
  <w:abstractNum w:abstractNumId="2">
    <w:nsid w:val="A7F7331C"/>
    <w:multiLevelType w:val="singleLevel"/>
    <w:tmpl w:val="A7F7331C"/>
    <w:lvl w:ilvl="0" w:tentative="0">
      <w:start w:val="1"/>
      <w:numFmt w:val="decimal"/>
      <w:suff w:val="space"/>
      <w:lvlText w:val="4.3.3.%1"/>
      <w:lvlJc w:val="left"/>
      <w:pPr>
        <w:ind w:left="0" w:firstLine="480"/>
      </w:pPr>
      <w:rPr>
        <w:rFonts w:hint="default"/>
      </w:rPr>
    </w:lvl>
  </w:abstractNum>
  <w:abstractNum w:abstractNumId="3">
    <w:nsid w:val="A97FB365"/>
    <w:multiLevelType w:val="singleLevel"/>
    <w:tmpl w:val="A97FB365"/>
    <w:lvl w:ilvl="0" w:tentative="0">
      <w:start w:val="1"/>
      <w:numFmt w:val="decimal"/>
      <w:suff w:val="space"/>
      <w:lvlText w:val="2.5.%1"/>
      <w:lvlJc w:val="left"/>
      <w:pPr>
        <w:ind w:left="0" w:firstLine="480"/>
      </w:pPr>
      <w:rPr>
        <w:rFonts w:hint="default"/>
      </w:rPr>
    </w:lvl>
  </w:abstractNum>
  <w:abstractNum w:abstractNumId="4">
    <w:nsid w:val="AEEDDBB0"/>
    <w:multiLevelType w:val="singleLevel"/>
    <w:tmpl w:val="AEEDDBB0"/>
    <w:lvl w:ilvl="0" w:tentative="0">
      <w:start w:val="1"/>
      <w:numFmt w:val="decimal"/>
      <w:suff w:val="space"/>
      <w:lvlText w:val="5.4.%1"/>
      <w:lvlJc w:val="left"/>
      <w:pPr>
        <w:ind w:left="0" w:firstLine="480"/>
      </w:pPr>
      <w:rPr>
        <w:rFonts w:hint="default"/>
      </w:rPr>
    </w:lvl>
  </w:abstractNum>
  <w:abstractNum w:abstractNumId="5">
    <w:nsid w:val="BF3FE91C"/>
    <w:multiLevelType w:val="singleLevel"/>
    <w:tmpl w:val="BF3FE91C"/>
    <w:lvl w:ilvl="0" w:tentative="0">
      <w:start w:val="1"/>
      <w:numFmt w:val="decimal"/>
      <w:suff w:val="space"/>
      <w:lvlText w:val="6.2.%1"/>
      <w:lvlJc w:val="left"/>
      <w:pPr>
        <w:ind w:left="0" w:firstLine="480"/>
      </w:pPr>
      <w:rPr>
        <w:rFonts w:hint="default"/>
      </w:rPr>
    </w:lvl>
  </w:abstractNum>
  <w:abstractNum w:abstractNumId="6">
    <w:nsid w:val="C9B188E3"/>
    <w:multiLevelType w:val="singleLevel"/>
    <w:tmpl w:val="C9B188E3"/>
    <w:lvl w:ilvl="0" w:tentative="0">
      <w:start w:val="1"/>
      <w:numFmt w:val="decimal"/>
      <w:suff w:val="space"/>
      <w:lvlText w:val="4.3.2.%1"/>
      <w:lvlJc w:val="left"/>
      <w:pPr>
        <w:ind w:left="0" w:firstLine="480"/>
      </w:pPr>
      <w:rPr>
        <w:rFonts w:hint="default"/>
      </w:rPr>
    </w:lvl>
  </w:abstractNum>
  <w:abstractNum w:abstractNumId="7">
    <w:nsid w:val="CDB6A115"/>
    <w:multiLevelType w:val="singleLevel"/>
    <w:tmpl w:val="CDB6A115"/>
    <w:lvl w:ilvl="0" w:tentative="0">
      <w:start w:val="1"/>
      <w:numFmt w:val="decimal"/>
      <w:suff w:val="space"/>
      <w:lvlText w:val="6.1.3.%1"/>
      <w:lvlJc w:val="left"/>
      <w:pPr>
        <w:ind w:left="0" w:firstLine="480"/>
      </w:pPr>
      <w:rPr>
        <w:rFonts w:hint="default"/>
      </w:rPr>
    </w:lvl>
  </w:abstractNum>
  <w:abstractNum w:abstractNumId="8">
    <w:nsid w:val="CEEDBC1E"/>
    <w:multiLevelType w:val="singleLevel"/>
    <w:tmpl w:val="CEEDBC1E"/>
    <w:lvl w:ilvl="0" w:tentative="0">
      <w:start w:val="1"/>
      <w:numFmt w:val="decimal"/>
      <w:suff w:val="space"/>
      <w:lvlText w:val="5.%1"/>
      <w:lvlJc w:val="left"/>
      <w:pPr>
        <w:ind w:left="0" w:firstLine="0"/>
      </w:pPr>
      <w:rPr>
        <w:rFonts w:hint="default"/>
      </w:rPr>
    </w:lvl>
  </w:abstractNum>
  <w:abstractNum w:abstractNumId="9">
    <w:nsid w:val="D2FED4DD"/>
    <w:multiLevelType w:val="singleLevel"/>
    <w:tmpl w:val="D2FED4DD"/>
    <w:lvl w:ilvl="0" w:tentative="0">
      <w:start w:val="1"/>
      <w:numFmt w:val="decimal"/>
      <w:suff w:val="space"/>
      <w:lvlText w:val="1.3.%1"/>
      <w:lvlJc w:val="left"/>
      <w:pPr>
        <w:ind w:left="0" w:firstLine="480"/>
      </w:pPr>
      <w:rPr>
        <w:rFonts w:hint="default"/>
      </w:rPr>
    </w:lvl>
  </w:abstractNum>
  <w:abstractNum w:abstractNumId="10">
    <w:nsid w:val="D7BE0E27"/>
    <w:multiLevelType w:val="singleLevel"/>
    <w:tmpl w:val="D7BE0E27"/>
    <w:lvl w:ilvl="0" w:tentative="0">
      <w:start w:val="1"/>
      <w:numFmt w:val="decimal"/>
      <w:suff w:val="space"/>
      <w:lvlText w:val="6.4.%1"/>
      <w:lvlJc w:val="left"/>
      <w:pPr>
        <w:ind w:left="0" w:firstLine="480"/>
      </w:pPr>
      <w:rPr>
        <w:rFonts w:hint="default"/>
      </w:rPr>
    </w:lvl>
  </w:abstractNum>
  <w:abstractNum w:abstractNumId="11">
    <w:nsid w:val="DBF7379A"/>
    <w:multiLevelType w:val="singleLevel"/>
    <w:tmpl w:val="DBF7379A"/>
    <w:lvl w:ilvl="0" w:tentative="0">
      <w:start w:val="1"/>
      <w:numFmt w:val="decimal"/>
      <w:suff w:val="space"/>
      <w:lvlText w:val="5.3.%1"/>
      <w:lvlJc w:val="left"/>
      <w:pPr>
        <w:ind w:left="0" w:firstLine="480"/>
      </w:pPr>
      <w:rPr>
        <w:rFonts w:hint="default"/>
      </w:rPr>
    </w:lvl>
  </w:abstractNum>
  <w:abstractNum w:abstractNumId="12">
    <w:nsid w:val="DBF7ABEE"/>
    <w:multiLevelType w:val="singleLevel"/>
    <w:tmpl w:val="DBF7ABEE"/>
    <w:lvl w:ilvl="0" w:tentative="0">
      <w:start w:val="1"/>
      <w:numFmt w:val="decimal"/>
      <w:suff w:val="space"/>
      <w:lvlText w:val="7.%1"/>
      <w:lvlJc w:val="left"/>
      <w:pPr>
        <w:ind w:left="0" w:firstLine="0"/>
      </w:pPr>
      <w:rPr>
        <w:rFonts w:hint="default"/>
      </w:rPr>
    </w:lvl>
  </w:abstractNum>
  <w:abstractNum w:abstractNumId="13">
    <w:nsid w:val="DE7AAE09"/>
    <w:multiLevelType w:val="singleLevel"/>
    <w:tmpl w:val="DE7AAE09"/>
    <w:lvl w:ilvl="0" w:tentative="0">
      <w:start w:val="1"/>
      <w:numFmt w:val="decimal"/>
      <w:suff w:val="space"/>
      <w:lvlText w:val="3.1.%1"/>
      <w:lvlJc w:val="left"/>
      <w:pPr>
        <w:ind w:left="0" w:firstLine="480"/>
      </w:pPr>
      <w:rPr>
        <w:rFonts w:hint="default"/>
      </w:rPr>
    </w:lvl>
  </w:abstractNum>
  <w:abstractNum w:abstractNumId="14">
    <w:nsid w:val="DEF6EE7E"/>
    <w:multiLevelType w:val="singleLevel"/>
    <w:tmpl w:val="DEF6EE7E"/>
    <w:lvl w:ilvl="0" w:tentative="0">
      <w:start w:val="1"/>
      <w:numFmt w:val="decimal"/>
      <w:suff w:val="space"/>
      <w:lvlText w:val="2.%1"/>
      <w:lvlJc w:val="left"/>
      <w:pPr>
        <w:ind w:left="0" w:firstLine="0"/>
      </w:pPr>
      <w:rPr>
        <w:rFonts w:hint="default"/>
      </w:rPr>
    </w:lvl>
  </w:abstractNum>
  <w:abstractNum w:abstractNumId="15">
    <w:nsid w:val="DEFF2E43"/>
    <w:multiLevelType w:val="singleLevel"/>
    <w:tmpl w:val="DEFF2E43"/>
    <w:lvl w:ilvl="0" w:tentative="0">
      <w:start w:val="1"/>
      <w:numFmt w:val="decimal"/>
      <w:suff w:val="space"/>
      <w:lvlText w:val="7.1.%1"/>
      <w:lvlJc w:val="left"/>
      <w:pPr>
        <w:ind w:left="0" w:firstLine="480"/>
      </w:pPr>
      <w:rPr>
        <w:rFonts w:hint="default"/>
      </w:rPr>
    </w:lvl>
  </w:abstractNum>
  <w:abstractNum w:abstractNumId="16">
    <w:nsid w:val="DF7CE044"/>
    <w:multiLevelType w:val="singleLevel"/>
    <w:tmpl w:val="DF7CE044"/>
    <w:lvl w:ilvl="0" w:tentative="0">
      <w:start w:val="1"/>
      <w:numFmt w:val="decimal"/>
      <w:suff w:val="space"/>
      <w:lvlText w:val="6.1.%1"/>
      <w:lvlJc w:val="left"/>
      <w:pPr>
        <w:ind w:left="0" w:firstLine="480"/>
      </w:pPr>
      <w:rPr>
        <w:rFonts w:hint="default"/>
      </w:rPr>
    </w:lvl>
  </w:abstractNum>
  <w:abstractNum w:abstractNumId="17">
    <w:nsid w:val="E3F68715"/>
    <w:multiLevelType w:val="singleLevel"/>
    <w:tmpl w:val="E3F68715"/>
    <w:lvl w:ilvl="0" w:tentative="0">
      <w:start w:val="1"/>
      <w:numFmt w:val="decimal"/>
      <w:suff w:val="space"/>
      <w:lvlText w:val="1.1.%1"/>
      <w:lvlJc w:val="left"/>
      <w:pPr>
        <w:ind w:left="0" w:firstLine="480"/>
      </w:pPr>
      <w:rPr>
        <w:rFonts w:hint="default"/>
      </w:rPr>
    </w:lvl>
  </w:abstractNum>
  <w:abstractNum w:abstractNumId="18">
    <w:nsid w:val="E5BE496C"/>
    <w:multiLevelType w:val="singleLevel"/>
    <w:tmpl w:val="E5BE496C"/>
    <w:lvl w:ilvl="0" w:tentative="0">
      <w:start w:val="1"/>
      <w:numFmt w:val="decimal"/>
      <w:suff w:val="space"/>
      <w:lvlText w:val="4.4.%1"/>
      <w:lvlJc w:val="left"/>
      <w:pPr>
        <w:ind w:left="0" w:firstLine="480"/>
      </w:pPr>
      <w:rPr>
        <w:rFonts w:hint="default"/>
      </w:rPr>
    </w:lvl>
  </w:abstractNum>
  <w:abstractNum w:abstractNumId="19">
    <w:nsid w:val="EDDD5675"/>
    <w:multiLevelType w:val="singleLevel"/>
    <w:tmpl w:val="EDDD5675"/>
    <w:lvl w:ilvl="0" w:tentative="0">
      <w:start w:val="1"/>
      <w:numFmt w:val="decimal"/>
      <w:suff w:val="space"/>
      <w:lvlText w:val="1.%1"/>
      <w:lvlJc w:val="left"/>
      <w:pPr>
        <w:ind w:left="0" w:firstLine="0"/>
      </w:pPr>
      <w:rPr>
        <w:rFonts w:hint="default"/>
      </w:rPr>
    </w:lvl>
  </w:abstractNum>
  <w:abstractNum w:abstractNumId="20">
    <w:nsid w:val="EF3AD7AB"/>
    <w:multiLevelType w:val="singleLevel"/>
    <w:tmpl w:val="EF3AD7AB"/>
    <w:lvl w:ilvl="0" w:tentative="0">
      <w:start w:val="1"/>
      <w:numFmt w:val="decimal"/>
      <w:suff w:val="space"/>
      <w:lvlText w:val="6.%1"/>
      <w:lvlJc w:val="left"/>
      <w:pPr>
        <w:ind w:left="0" w:firstLine="0"/>
      </w:pPr>
      <w:rPr>
        <w:rFonts w:hint="default"/>
      </w:rPr>
    </w:lvl>
  </w:abstractNum>
  <w:abstractNum w:abstractNumId="21">
    <w:nsid w:val="EFB9011D"/>
    <w:multiLevelType w:val="singleLevel"/>
    <w:tmpl w:val="EFB9011D"/>
    <w:lvl w:ilvl="0" w:tentative="0">
      <w:start w:val="1"/>
      <w:numFmt w:val="decimal"/>
      <w:suff w:val="space"/>
      <w:lvlText w:val="6.1.2.%1"/>
      <w:lvlJc w:val="left"/>
      <w:pPr>
        <w:ind w:left="0" w:firstLine="480"/>
      </w:pPr>
      <w:rPr>
        <w:rFonts w:hint="default"/>
      </w:rPr>
    </w:lvl>
  </w:abstractNum>
  <w:abstractNum w:abstractNumId="22">
    <w:nsid w:val="F62E48E5"/>
    <w:multiLevelType w:val="singleLevel"/>
    <w:tmpl w:val="F62E48E5"/>
    <w:lvl w:ilvl="0" w:tentative="0">
      <w:start w:val="1"/>
      <w:numFmt w:val="chineseCounting"/>
      <w:suff w:val="nothing"/>
      <w:lvlText w:val="%1、"/>
      <w:lvlJc w:val="left"/>
      <w:pPr>
        <w:ind w:left="0" w:firstLine="0"/>
      </w:pPr>
      <w:rPr>
        <w:rFonts w:hint="eastAsia"/>
      </w:rPr>
    </w:lvl>
  </w:abstractNum>
  <w:abstractNum w:abstractNumId="23">
    <w:nsid w:val="F6790FD2"/>
    <w:multiLevelType w:val="singleLevel"/>
    <w:tmpl w:val="F6790FD2"/>
    <w:lvl w:ilvl="0" w:tentative="0">
      <w:start w:val="1"/>
      <w:numFmt w:val="decimal"/>
      <w:suff w:val="space"/>
      <w:lvlText w:val="3.2.%1"/>
      <w:lvlJc w:val="left"/>
      <w:pPr>
        <w:ind w:left="0" w:firstLine="480"/>
      </w:pPr>
      <w:rPr>
        <w:rFonts w:hint="default"/>
      </w:rPr>
    </w:lvl>
  </w:abstractNum>
  <w:abstractNum w:abstractNumId="24">
    <w:nsid w:val="F6D7CC98"/>
    <w:multiLevelType w:val="singleLevel"/>
    <w:tmpl w:val="F6D7CC98"/>
    <w:lvl w:ilvl="0" w:tentative="0">
      <w:start w:val="1"/>
      <w:numFmt w:val="decimal"/>
      <w:suff w:val="space"/>
      <w:lvlText w:val="4.%1"/>
      <w:lvlJc w:val="left"/>
      <w:pPr>
        <w:ind w:left="0" w:firstLine="0"/>
      </w:pPr>
      <w:rPr>
        <w:rFonts w:hint="default"/>
      </w:rPr>
    </w:lvl>
  </w:abstractNum>
  <w:abstractNum w:abstractNumId="25">
    <w:nsid w:val="F6FE9A42"/>
    <w:multiLevelType w:val="singleLevel"/>
    <w:tmpl w:val="F6FE9A42"/>
    <w:lvl w:ilvl="0" w:tentative="0">
      <w:start w:val="1"/>
      <w:numFmt w:val="decimal"/>
      <w:suff w:val="space"/>
      <w:lvlText w:val="1.2.%1"/>
      <w:lvlJc w:val="left"/>
      <w:pPr>
        <w:ind w:left="0" w:firstLine="480"/>
      </w:pPr>
      <w:rPr>
        <w:rFonts w:hint="default"/>
      </w:rPr>
    </w:lvl>
  </w:abstractNum>
  <w:abstractNum w:abstractNumId="26">
    <w:nsid w:val="F7FDE599"/>
    <w:multiLevelType w:val="singleLevel"/>
    <w:tmpl w:val="F7FDE599"/>
    <w:lvl w:ilvl="0" w:tentative="0">
      <w:start w:val="1"/>
      <w:numFmt w:val="decimal"/>
      <w:suff w:val="space"/>
      <w:lvlText w:val="4.1.4.%1"/>
      <w:lvlJc w:val="left"/>
      <w:pPr>
        <w:ind w:left="0" w:firstLine="480"/>
      </w:pPr>
      <w:rPr>
        <w:rFonts w:hint="default"/>
      </w:rPr>
    </w:lvl>
  </w:abstractNum>
  <w:abstractNum w:abstractNumId="27">
    <w:nsid w:val="FA3E32F9"/>
    <w:multiLevelType w:val="singleLevel"/>
    <w:tmpl w:val="FA3E32F9"/>
    <w:lvl w:ilvl="0" w:tentative="0">
      <w:start w:val="1"/>
      <w:numFmt w:val="decimal"/>
      <w:suff w:val="space"/>
      <w:lvlText w:val="4.2.%1"/>
      <w:lvlJc w:val="left"/>
      <w:pPr>
        <w:ind w:left="0" w:firstLine="480"/>
      </w:pPr>
      <w:rPr>
        <w:rFonts w:hint="default"/>
      </w:rPr>
    </w:lvl>
  </w:abstractNum>
  <w:abstractNum w:abstractNumId="28">
    <w:nsid w:val="FAFF47E3"/>
    <w:multiLevelType w:val="singleLevel"/>
    <w:tmpl w:val="FAFF47E3"/>
    <w:lvl w:ilvl="0" w:tentative="0">
      <w:start w:val="1"/>
      <w:numFmt w:val="decimal"/>
      <w:suff w:val="space"/>
      <w:lvlText w:val="7.3.%1"/>
      <w:lvlJc w:val="left"/>
      <w:pPr>
        <w:ind w:left="0" w:firstLine="480"/>
      </w:pPr>
      <w:rPr>
        <w:rFonts w:hint="default"/>
      </w:rPr>
    </w:lvl>
  </w:abstractNum>
  <w:abstractNum w:abstractNumId="29">
    <w:nsid w:val="FBDF24B7"/>
    <w:multiLevelType w:val="singleLevel"/>
    <w:tmpl w:val="FBDF24B7"/>
    <w:lvl w:ilvl="0" w:tentative="0">
      <w:start w:val="1"/>
      <w:numFmt w:val="decimal"/>
      <w:suff w:val="space"/>
      <w:lvlText w:val="5.1.%1"/>
      <w:lvlJc w:val="left"/>
      <w:pPr>
        <w:ind w:left="0" w:firstLine="480"/>
      </w:pPr>
      <w:rPr>
        <w:rFonts w:hint="default"/>
      </w:rPr>
    </w:lvl>
  </w:abstractNum>
  <w:abstractNum w:abstractNumId="30">
    <w:nsid w:val="FBFF9BD4"/>
    <w:multiLevelType w:val="singleLevel"/>
    <w:tmpl w:val="FBFF9BD4"/>
    <w:lvl w:ilvl="0" w:tentative="0">
      <w:start w:val="1"/>
      <w:numFmt w:val="decimal"/>
      <w:suff w:val="space"/>
      <w:lvlText w:val="3.5.%1"/>
      <w:lvlJc w:val="left"/>
      <w:pPr>
        <w:ind w:left="0" w:firstLine="480"/>
      </w:pPr>
      <w:rPr>
        <w:rFonts w:hint="default"/>
      </w:rPr>
    </w:lvl>
  </w:abstractNum>
  <w:abstractNum w:abstractNumId="31">
    <w:nsid w:val="FCBD8914"/>
    <w:multiLevelType w:val="singleLevel"/>
    <w:tmpl w:val="FCBD8914"/>
    <w:lvl w:ilvl="0" w:tentative="0">
      <w:start w:val="1"/>
      <w:numFmt w:val="decimal"/>
      <w:suff w:val="space"/>
      <w:lvlText w:val="2.4.%1"/>
      <w:lvlJc w:val="left"/>
      <w:pPr>
        <w:ind w:left="0" w:firstLine="480"/>
      </w:pPr>
      <w:rPr>
        <w:rFonts w:hint="default"/>
      </w:rPr>
    </w:lvl>
  </w:abstractNum>
  <w:abstractNum w:abstractNumId="32">
    <w:nsid w:val="FD6925C2"/>
    <w:multiLevelType w:val="singleLevel"/>
    <w:tmpl w:val="FD6925C2"/>
    <w:lvl w:ilvl="0" w:tentative="0">
      <w:start w:val="1"/>
      <w:numFmt w:val="decimal"/>
      <w:suff w:val="space"/>
      <w:lvlText w:val="4.3.1.%1"/>
      <w:lvlJc w:val="left"/>
      <w:pPr>
        <w:ind w:left="0" w:firstLine="480"/>
      </w:pPr>
      <w:rPr>
        <w:rFonts w:hint="default"/>
      </w:rPr>
    </w:lvl>
  </w:abstractNum>
  <w:abstractNum w:abstractNumId="33">
    <w:nsid w:val="FDF6939D"/>
    <w:multiLevelType w:val="singleLevel"/>
    <w:tmpl w:val="FDF6939D"/>
    <w:lvl w:ilvl="0" w:tentative="0">
      <w:start w:val="1"/>
      <w:numFmt w:val="decimal"/>
      <w:suff w:val="space"/>
      <w:lvlText w:val="4.3.%1"/>
      <w:lvlJc w:val="left"/>
      <w:pPr>
        <w:ind w:left="0" w:firstLine="0"/>
      </w:pPr>
      <w:rPr>
        <w:rFonts w:hint="default"/>
      </w:rPr>
    </w:lvl>
  </w:abstractNum>
  <w:abstractNum w:abstractNumId="34">
    <w:nsid w:val="FE7C2915"/>
    <w:multiLevelType w:val="singleLevel"/>
    <w:tmpl w:val="FE7C2915"/>
    <w:lvl w:ilvl="0" w:tentative="0">
      <w:start w:val="1"/>
      <w:numFmt w:val="decimal"/>
      <w:suff w:val="space"/>
      <w:lvlText w:val="2.1.%1"/>
      <w:lvlJc w:val="left"/>
      <w:pPr>
        <w:ind w:left="0" w:firstLine="480"/>
      </w:pPr>
      <w:rPr>
        <w:rFonts w:hint="default"/>
      </w:rPr>
    </w:lvl>
  </w:abstractNum>
  <w:abstractNum w:abstractNumId="35">
    <w:nsid w:val="FEFBD9A4"/>
    <w:multiLevelType w:val="singleLevel"/>
    <w:tmpl w:val="FEFBD9A4"/>
    <w:lvl w:ilvl="0" w:tentative="0">
      <w:start w:val="1"/>
      <w:numFmt w:val="decimal"/>
      <w:suff w:val="nothing"/>
      <w:lvlText w:val="（%1）"/>
      <w:lvlJc w:val="left"/>
      <w:pPr>
        <w:ind w:left="0" w:firstLine="0"/>
      </w:pPr>
      <w:rPr>
        <w:rFonts w:hint="default"/>
      </w:rPr>
    </w:lvl>
  </w:abstractNum>
  <w:abstractNum w:abstractNumId="36">
    <w:nsid w:val="FF5D55B9"/>
    <w:multiLevelType w:val="singleLevel"/>
    <w:tmpl w:val="FF5D55B9"/>
    <w:lvl w:ilvl="0" w:tentative="0">
      <w:start w:val="1"/>
      <w:numFmt w:val="decimal"/>
      <w:suff w:val="space"/>
      <w:lvlText w:val="2.2.%1"/>
      <w:lvlJc w:val="left"/>
      <w:pPr>
        <w:ind w:left="0" w:firstLine="480"/>
      </w:pPr>
      <w:rPr>
        <w:rFonts w:hint="default"/>
      </w:rPr>
    </w:lvl>
  </w:abstractNum>
  <w:abstractNum w:abstractNumId="37">
    <w:nsid w:val="FFA372D2"/>
    <w:multiLevelType w:val="singleLevel"/>
    <w:tmpl w:val="FFA372D2"/>
    <w:lvl w:ilvl="0" w:tentative="0">
      <w:start w:val="1"/>
      <w:numFmt w:val="chineseCounting"/>
      <w:suff w:val="nothing"/>
      <w:lvlText w:val="（%1）"/>
      <w:lvlJc w:val="left"/>
      <w:pPr>
        <w:ind w:left="0" w:firstLine="0"/>
      </w:pPr>
      <w:rPr>
        <w:rFonts w:hint="eastAsia"/>
      </w:rPr>
    </w:lvl>
  </w:abstractNum>
  <w:abstractNum w:abstractNumId="38">
    <w:nsid w:val="FFA7A972"/>
    <w:multiLevelType w:val="singleLevel"/>
    <w:tmpl w:val="FFA7A972"/>
    <w:lvl w:ilvl="0" w:tentative="0">
      <w:start w:val="1"/>
      <w:numFmt w:val="decimal"/>
      <w:suff w:val="space"/>
      <w:lvlText w:val="4.1.1.%1"/>
      <w:lvlJc w:val="left"/>
      <w:pPr>
        <w:ind w:left="0" w:firstLine="480"/>
      </w:pPr>
      <w:rPr>
        <w:rFonts w:hint="default"/>
      </w:rPr>
    </w:lvl>
  </w:abstractNum>
  <w:abstractNum w:abstractNumId="39">
    <w:nsid w:val="FFBEC174"/>
    <w:multiLevelType w:val="singleLevel"/>
    <w:tmpl w:val="FFBEC174"/>
    <w:lvl w:ilvl="0" w:tentative="0">
      <w:start w:val="1"/>
      <w:numFmt w:val="decimal"/>
      <w:suff w:val="space"/>
      <w:lvlText w:val="1.5.%1"/>
      <w:lvlJc w:val="left"/>
      <w:pPr>
        <w:ind w:left="0" w:firstLine="480"/>
      </w:pPr>
      <w:rPr>
        <w:rFonts w:hint="default"/>
      </w:rPr>
    </w:lvl>
  </w:abstractNum>
  <w:abstractNum w:abstractNumId="40">
    <w:nsid w:val="FFD6C368"/>
    <w:multiLevelType w:val="singleLevel"/>
    <w:tmpl w:val="FFD6C368"/>
    <w:lvl w:ilvl="0" w:tentative="0">
      <w:start w:val="1"/>
      <w:numFmt w:val="chineseCounting"/>
      <w:suff w:val="nothing"/>
      <w:lvlText w:val="（%1）"/>
      <w:lvlJc w:val="left"/>
      <w:pPr>
        <w:ind w:left="0" w:firstLine="0"/>
      </w:pPr>
      <w:rPr>
        <w:rFonts w:hint="eastAsia"/>
      </w:rPr>
    </w:lvl>
  </w:abstractNum>
  <w:abstractNum w:abstractNumId="41">
    <w:nsid w:val="FFFE44E3"/>
    <w:multiLevelType w:val="singleLevel"/>
    <w:tmpl w:val="FFFE44E3"/>
    <w:lvl w:ilvl="0" w:tentative="0">
      <w:start w:val="1"/>
      <w:numFmt w:val="decimal"/>
      <w:suff w:val="space"/>
      <w:lvlText w:val="%1."/>
      <w:lvlJc w:val="left"/>
      <w:pPr>
        <w:ind w:left="0" w:firstLine="0"/>
      </w:pPr>
      <w:rPr>
        <w:rFonts w:hint="default"/>
      </w:rPr>
    </w:lvl>
  </w:abstractNum>
  <w:abstractNum w:abstractNumId="42">
    <w:nsid w:val="FFFE66FC"/>
    <w:multiLevelType w:val="singleLevel"/>
    <w:tmpl w:val="FFFE66FC"/>
    <w:lvl w:ilvl="0" w:tentative="0">
      <w:start w:val="1"/>
      <w:numFmt w:val="decimal"/>
      <w:suff w:val="nothing"/>
      <w:lvlText w:val="%1．"/>
      <w:lvlJc w:val="left"/>
      <w:pPr>
        <w:ind w:left="0" w:firstLine="0"/>
      </w:pPr>
      <w:rPr>
        <w:rFonts w:hint="default"/>
      </w:rPr>
    </w:lvl>
  </w:abstractNum>
  <w:abstractNum w:abstractNumId="43">
    <w:nsid w:val="22BE274E"/>
    <w:multiLevelType w:val="singleLevel"/>
    <w:tmpl w:val="22BE274E"/>
    <w:lvl w:ilvl="0" w:tentative="0">
      <w:start w:val="1"/>
      <w:numFmt w:val="decimal"/>
      <w:suff w:val="space"/>
      <w:lvlText w:val="5.5.%1"/>
      <w:lvlJc w:val="left"/>
      <w:pPr>
        <w:ind w:left="0" w:firstLine="480"/>
      </w:pPr>
      <w:rPr>
        <w:rFonts w:hint="default"/>
      </w:rPr>
    </w:lvl>
  </w:abstractNum>
  <w:abstractNum w:abstractNumId="44">
    <w:nsid w:val="2FB7CFC0"/>
    <w:multiLevelType w:val="singleLevel"/>
    <w:tmpl w:val="2FB7CFC0"/>
    <w:lvl w:ilvl="0" w:tentative="0">
      <w:start w:val="1"/>
      <w:numFmt w:val="decimal"/>
      <w:suff w:val="space"/>
      <w:lvlText w:val="1.4.%1"/>
      <w:lvlJc w:val="left"/>
      <w:pPr>
        <w:ind w:left="0" w:firstLine="480"/>
      </w:pPr>
      <w:rPr>
        <w:rFonts w:hint="default"/>
      </w:rPr>
    </w:lvl>
  </w:abstractNum>
  <w:abstractNum w:abstractNumId="45">
    <w:nsid w:val="35A67A6A"/>
    <w:multiLevelType w:val="singleLevel"/>
    <w:tmpl w:val="35A67A6A"/>
    <w:lvl w:ilvl="0" w:tentative="0">
      <w:start w:val="1"/>
      <w:numFmt w:val="decimal"/>
      <w:suff w:val="space"/>
      <w:lvlText w:val="6.5.%1"/>
      <w:lvlJc w:val="left"/>
      <w:pPr>
        <w:ind w:left="0" w:firstLine="480"/>
      </w:pPr>
      <w:rPr>
        <w:rFonts w:hint="default"/>
      </w:rPr>
    </w:lvl>
  </w:abstractNum>
  <w:abstractNum w:abstractNumId="46">
    <w:nsid w:val="577DCAC1"/>
    <w:multiLevelType w:val="singleLevel"/>
    <w:tmpl w:val="577DCAC1"/>
    <w:lvl w:ilvl="0" w:tentative="0">
      <w:start w:val="1"/>
      <w:numFmt w:val="decimal"/>
      <w:suff w:val="space"/>
      <w:lvlText w:val="4.1.2.%1"/>
      <w:lvlJc w:val="left"/>
      <w:pPr>
        <w:ind w:left="0" w:firstLine="480"/>
      </w:pPr>
      <w:rPr>
        <w:rFonts w:hint="default"/>
      </w:rPr>
    </w:lvl>
  </w:abstractNum>
  <w:abstractNum w:abstractNumId="47">
    <w:nsid w:val="5B7C109E"/>
    <w:multiLevelType w:val="singleLevel"/>
    <w:tmpl w:val="5B7C109E"/>
    <w:lvl w:ilvl="0" w:tentative="0">
      <w:start w:val="1"/>
      <w:numFmt w:val="decimal"/>
      <w:suff w:val="space"/>
      <w:lvlText w:val="5.2.%1"/>
      <w:lvlJc w:val="left"/>
      <w:pPr>
        <w:ind w:left="0" w:firstLine="480"/>
      </w:pPr>
      <w:rPr>
        <w:rFonts w:hint="default"/>
      </w:rPr>
    </w:lvl>
  </w:abstractNum>
  <w:abstractNum w:abstractNumId="48">
    <w:nsid w:val="6EFC963B"/>
    <w:multiLevelType w:val="singleLevel"/>
    <w:tmpl w:val="6EFC963B"/>
    <w:lvl w:ilvl="0" w:tentative="0">
      <w:start w:val="1"/>
      <w:numFmt w:val="decimal"/>
      <w:suff w:val="space"/>
      <w:lvlText w:val="3.3.%1"/>
      <w:lvlJc w:val="left"/>
      <w:pPr>
        <w:ind w:left="0" w:firstLine="480"/>
      </w:pPr>
      <w:rPr>
        <w:rFonts w:hint="default"/>
      </w:rPr>
    </w:lvl>
  </w:abstractNum>
  <w:abstractNum w:abstractNumId="49">
    <w:nsid w:val="75BF6010"/>
    <w:multiLevelType w:val="singleLevel"/>
    <w:tmpl w:val="75BF6010"/>
    <w:lvl w:ilvl="0" w:tentative="0">
      <w:start w:val="1"/>
      <w:numFmt w:val="decimal"/>
      <w:suff w:val="space"/>
      <w:lvlText w:val="6.3.%1"/>
      <w:lvlJc w:val="left"/>
      <w:pPr>
        <w:ind w:left="0" w:firstLine="480"/>
      </w:pPr>
      <w:rPr>
        <w:rFonts w:hint="default"/>
      </w:rPr>
    </w:lvl>
  </w:abstractNum>
  <w:abstractNum w:abstractNumId="50">
    <w:nsid w:val="760DF10B"/>
    <w:multiLevelType w:val="singleLevel"/>
    <w:tmpl w:val="760DF10B"/>
    <w:lvl w:ilvl="0" w:tentative="0">
      <w:start w:val="1"/>
      <w:numFmt w:val="decimal"/>
      <w:suff w:val="space"/>
      <w:lvlText w:val="4.1.3.%1"/>
      <w:lvlJc w:val="left"/>
      <w:pPr>
        <w:ind w:left="0" w:firstLine="480"/>
      </w:pPr>
      <w:rPr>
        <w:rFonts w:hint="default"/>
      </w:rPr>
    </w:lvl>
  </w:abstractNum>
  <w:abstractNum w:abstractNumId="51">
    <w:nsid w:val="79FF1325"/>
    <w:multiLevelType w:val="singleLevel"/>
    <w:tmpl w:val="79FF1325"/>
    <w:lvl w:ilvl="0" w:tentative="0">
      <w:start w:val="1"/>
      <w:numFmt w:val="decimal"/>
      <w:suff w:val="space"/>
      <w:lvlText w:val="3.4.%1"/>
      <w:lvlJc w:val="left"/>
      <w:pPr>
        <w:ind w:left="0" w:firstLine="480"/>
      </w:pPr>
      <w:rPr>
        <w:rFonts w:hint="default"/>
      </w:rPr>
    </w:lvl>
  </w:abstractNum>
  <w:abstractNum w:abstractNumId="52">
    <w:nsid w:val="7BDFFA67"/>
    <w:multiLevelType w:val="singleLevel"/>
    <w:tmpl w:val="7BDFFA67"/>
    <w:lvl w:ilvl="0" w:tentative="0">
      <w:start w:val="1"/>
      <w:numFmt w:val="decimal"/>
      <w:suff w:val="space"/>
      <w:lvlText w:val="3.%1"/>
      <w:lvlJc w:val="left"/>
      <w:pPr>
        <w:ind w:left="0" w:firstLine="0"/>
      </w:pPr>
      <w:rPr>
        <w:rFonts w:hint="default"/>
      </w:rPr>
    </w:lvl>
  </w:abstractNum>
  <w:abstractNum w:abstractNumId="53">
    <w:nsid w:val="7DFF8351"/>
    <w:multiLevelType w:val="singleLevel"/>
    <w:tmpl w:val="7DFF8351"/>
    <w:lvl w:ilvl="0" w:tentative="0">
      <w:start w:val="1"/>
      <w:numFmt w:val="decimal"/>
      <w:suff w:val="space"/>
      <w:lvlText w:val="4.1.%1"/>
      <w:lvlJc w:val="left"/>
      <w:pPr>
        <w:ind w:left="0" w:firstLine="0"/>
      </w:pPr>
      <w:rPr>
        <w:rFonts w:hint="default"/>
      </w:rPr>
    </w:lvl>
  </w:abstractNum>
  <w:abstractNum w:abstractNumId="54">
    <w:nsid w:val="7DFFB152"/>
    <w:multiLevelType w:val="singleLevel"/>
    <w:tmpl w:val="7DFFB152"/>
    <w:lvl w:ilvl="0" w:tentative="0">
      <w:start w:val="1"/>
      <w:numFmt w:val="chineseCounting"/>
      <w:suff w:val="space"/>
      <w:lvlText w:val="第%1章"/>
      <w:lvlJc w:val="left"/>
      <w:pPr>
        <w:ind w:left="0" w:firstLine="0"/>
      </w:pPr>
      <w:rPr>
        <w:rFonts w:hint="eastAsia"/>
      </w:rPr>
    </w:lvl>
  </w:abstractNum>
  <w:num w:numId="1">
    <w:abstractNumId w:val="22"/>
  </w:num>
  <w:num w:numId="2">
    <w:abstractNumId w:val="37"/>
  </w:num>
  <w:num w:numId="3">
    <w:abstractNumId w:val="42"/>
  </w:num>
  <w:num w:numId="4">
    <w:abstractNumId w:val="40"/>
  </w:num>
  <w:num w:numId="5">
    <w:abstractNumId w:val="41"/>
  </w:num>
  <w:num w:numId="6">
    <w:abstractNumId w:val="35"/>
  </w:num>
  <w:num w:numId="7">
    <w:abstractNumId w:val="54"/>
  </w:num>
  <w:num w:numId="8">
    <w:abstractNumId w:val="19"/>
  </w:num>
  <w:num w:numId="9">
    <w:abstractNumId w:val="17"/>
  </w:num>
  <w:num w:numId="10">
    <w:abstractNumId w:val="25"/>
  </w:num>
  <w:num w:numId="11">
    <w:abstractNumId w:val="9"/>
  </w:num>
  <w:num w:numId="12">
    <w:abstractNumId w:val="44"/>
  </w:num>
  <w:num w:numId="13">
    <w:abstractNumId w:val="39"/>
  </w:num>
  <w:num w:numId="14">
    <w:abstractNumId w:val="14"/>
  </w:num>
  <w:num w:numId="15">
    <w:abstractNumId w:val="34"/>
  </w:num>
  <w:num w:numId="16">
    <w:abstractNumId w:val="36"/>
  </w:num>
  <w:num w:numId="17">
    <w:abstractNumId w:val="0"/>
  </w:num>
  <w:num w:numId="18">
    <w:abstractNumId w:val="31"/>
  </w:num>
  <w:num w:numId="19">
    <w:abstractNumId w:val="3"/>
  </w:num>
  <w:num w:numId="20">
    <w:abstractNumId w:val="52"/>
  </w:num>
  <w:num w:numId="21">
    <w:abstractNumId w:val="13"/>
  </w:num>
  <w:num w:numId="22">
    <w:abstractNumId w:val="23"/>
  </w:num>
  <w:num w:numId="23">
    <w:abstractNumId w:val="48"/>
  </w:num>
  <w:num w:numId="24">
    <w:abstractNumId w:val="51"/>
  </w:num>
  <w:num w:numId="25">
    <w:abstractNumId w:val="30"/>
  </w:num>
  <w:num w:numId="26">
    <w:abstractNumId w:val="24"/>
  </w:num>
  <w:num w:numId="27">
    <w:abstractNumId w:val="53"/>
  </w:num>
  <w:num w:numId="28">
    <w:abstractNumId w:val="38"/>
  </w:num>
  <w:num w:numId="29">
    <w:abstractNumId w:val="46"/>
  </w:num>
  <w:num w:numId="30">
    <w:abstractNumId w:val="50"/>
  </w:num>
  <w:num w:numId="31">
    <w:abstractNumId w:val="26"/>
  </w:num>
  <w:num w:numId="32">
    <w:abstractNumId w:val="27"/>
  </w:num>
  <w:num w:numId="33">
    <w:abstractNumId w:val="33"/>
  </w:num>
  <w:num w:numId="34">
    <w:abstractNumId w:val="32"/>
  </w:num>
  <w:num w:numId="35">
    <w:abstractNumId w:val="6"/>
  </w:num>
  <w:num w:numId="36">
    <w:abstractNumId w:val="2"/>
  </w:num>
  <w:num w:numId="37">
    <w:abstractNumId w:val="18"/>
  </w:num>
  <w:num w:numId="38">
    <w:abstractNumId w:val="8"/>
  </w:num>
  <w:num w:numId="39">
    <w:abstractNumId w:val="29"/>
  </w:num>
  <w:num w:numId="40">
    <w:abstractNumId w:val="47"/>
  </w:num>
  <w:num w:numId="41">
    <w:abstractNumId w:val="11"/>
  </w:num>
  <w:num w:numId="42">
    <w:abstractNumId w:val="4"/>
  </w:num>
  <w:num w:numId="43">
    <w:abstractNumId w:val="43"/>
  </w:num>
  <w:num w:numId="44">
    <w:abstractNumId w:val="20"/>
  </w:num>
  <w:num w:numId="45">
    <w:abstractNumId w:val="16"/>
  </w:num>
  <w:num w:numId="46">
    <w:abstractNumId w:val="21"/>
  </w:num>
  <w:num w:numId="47">
    <w:abstractNumId w:val="7"/>
  </w:num>
  <w:num w:numId="48">
    <w:abstractNumId w:val="5"/>
  </w:num>
  <w:num w:numId="49">
    <w:abstractNumId w:val="49"/>
  </w:num>
  <w:num w:numId="50">
    <w:abstractNumId w:val="10"/>
  </w:num>
  <w:num w:numId="51">
    <w:abstractNumId w:val="45"/>
  </w:num>
  <w:num w:numId="52">
    <w:abstractNumId w:val="12"/>
  </w:num>
  <w:num w:numId="53">
    <w:abstractNumId w:val="15"/>
  </w:num>
  <w:num w:numId="54">
    <w:abstractNumId w:val="1"/>
  </w:num>
  <w:num w:numId="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bordersDoNotSurroundHeader w:val="0"/>
  <w:bordersDoNotSurroundFooter w:val="0"/>
  <w:documentProtection w:enforcement="0"/>
  <w:defaultTabStop w:val="420"/>
  <w:hyphenationZone w:val="36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5OGFjYzM1ZjEyYzBmYzE2NTVmYTc3NjkzMzY5NjAifQ=="/>
  </w:docVars>
  <w:rsids>
    <w:rsidRoot w:val="00A773A2"/>
    <w:rsid w:val="00025C6C"/>
    <w:rsid w:val="000678E1"/>
    <w:rsid w:val="000E0E72"/>
    <w:rsid w:val="00114CCC"/>
    <w:rsid w:val="001E61C9"/>
    <w:rsid w:val="00206CC8"/>
    <w:rsid w:val="002A07FB"/>
    <w:rsid w:val="003D682D"/>
    <w:rsid w:val="003E35B2"/>
    <w:rsid w:val="003F7546"/>
    <w:rsid w:val="00445865"/>
    <w:rsid w:val="004920B3"/>
    <w:rsid w:val="004B0EAC"/>
    <w:rsid w:val="00535DE5"/>
    <w:rsid w:val="00652734"/>
    <w:rsid w:val="00656F18"/>
    <w:rsid w:val="007432CC"/>
    <w:rsid w:val="008E75AE"/>
    <w:rsid w:val="00943628"/>
    <w:rsid w:val="0097120C"/>
    <w:rsid w:val="009F54FB"/>
    <w:rsid w:val="00A16233"/>
    <w:rsid w:val="00A625E4"/>
    <w:rsid w:val="00A773A2"/>
    <w:rsid w:val="00AA29C4"/>
    <w:rsid w:val="00AC2B24"/>
    <w:rsid w:val="00B87BE7"/>
    <w:rsid w:val="00C25862"/>
    <w:rsid w:val="00C3744A"/>
    <w:rsid w:val="00C96016"/>
    <w:rsid w:val="00DD6BBD"/>
    <w:rsid w:val="00EF3826"/>
    <w:rsid w:val="00EF5E63"/>
    <w:rsid w:val="00F244EC"/>
    <w:rsid w:val="00F77BF6"/>
    <w:rsid w:val="00FF034A"/>
    <w:rsid w:val="0FE936CE"/>
    <w:rsid w:val="10D72F3E"/>
    <w:rsid w:val="1D716494"/>
    <w:rsid w:val="2D575757"/>
    <w:rsid w:val="2DB95826"/>
    <w:rsid w:val="2FFD3839"/>
    <w:rsid w:val="3894BC1D"/>
    <w:rsid w:val="3BBF05B3"/>
    <w:rsid w:val="3BD1A4DB"/>
    <w:rsid w:val="3F5A9E2F"/>
    <w:rsid w:val="3FDB029B"/>
    <w:rsid w:val="3FFA42CF"/>
    <w:rsid w:val="53B75D60"/>
    <w:rsid w:val="59AD2E82"/>
    <w:rsid w:val="5BC18F4A"/>
    <w:rsid w:val="5EF409F9"/>
    <w:rsid w:val="5F6306A0"/>
    <w:rsid w:val="5FAD9878"/>
    <w:rsid w:val="5FEA6B08"/>
    <w:rsid w:val="60230E42"/>
    <w:rsid w:val="602970B6"/>
    <w:rsid w:val="68766837"/>
    <w:rsid w:val="6E6BD78D"/>
    <w:rsid w:val="6F8E699D"/>
    <w:rsid w:val="6F93A282"/>
    <w:rsid w:val="6FDE0676"/>
    <w:rsid w:val="6FF67C95"/>
    <w:rsid w:val="76BE63E9"/>
    <w:rsid w:val="76F6995A"/>
    <w:rsid w:val="77BD5796"/>
    <w:rsid w:val="77F8A782"/>
    <w:rsid w:val="7A6633B6"/>
    <w:rsid w:val="7A9FCEF4"/>
    <w:rsid w:val="7CF66707"/>
    <w:rsid w:val="7D621AEE"/>
    <w:rsid w:val="7DD7863D"/>
    <w:rsid w:val="7F8F97F9"/>
    <w:rsid w:val="7FADD707"/>
    <w:rsid w:val="7FE75AE0"/>
    <w:rsid w:val="7FE8B10B"/>
    <w:rsid w:val="8FB57B30"/>
    <w:rsid w:val="AEDF5348"/>
    <w:rsid w:val="AFDE1928"/>
    <w:rsid w:val="AFEDF0CF"/>
    <w:rsid w:val="B457881E"/>
    <w:rsid w:val="B7EFF34A"/>
    <w:rsid w:val="BBFADC75"/>
    <w:rsid w:val="CED5AFE7"/>
    <w:rsid w:val="CFF76EEE"/>
    <w:rsid w:val="D5ED9EF7"/>
    <w:rsid w:val="D9E7DD16"/>
    <w:rsid w:val="DE699C27"/>
    <w:rsid w:val="DEEE83D7"/>
    <w:rsid w:val="DEFDB5C5"/>
    <w:rsid w:val="DFFF3F76"/>
    <w:rsid w:val="E25B001D"/>
    <w:rsid w:val="E5AEB045"/>
    <w:rsid w:val="ECE2BEC1"/>
    <w:rsid w:val="EDEDE4B0"/>
    <w:rsid w:val="F22DAB0C"/>
    <w:rsid w:val="F3277E3C"/>
    <w:rsid w:val="F8FFCF21"/>
    <w:rsid w:val="F9FF1B6A"/>
    <w:rsid w:val="FBB3A299"/>
    <w:rsid w:val="FBFF4FAC"/>
    <w:rsid w:val="FD3D2012"/>
    <w:rsid w:val="FDFD287C"/>
    <w:rsid w:val="FF5D4B61"/>
    <w:rsid w:val="FFDE37C5"/>
    <w:rsid w:val="FFE35F23"/>
    <w:rsid w:val="FFF69780"/>
    <w:rsid w:val="FFFD9EEF"/>
    <w:rsid w:val="FFFF8A8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21"/>
    <w:qFormat/>
    <w:uiPriority w:val="9"/>
    <w:pPr>
      <w:keepNext w:val="0"/>
      <w:keepLines w:val="0"/>
      <w:widowControl w:val="0"/>
      <w:adjustRightInd w:val="0"/>
      <w:jc w:val="left"/>
      <w:outlineLvl w:val="0"/>
    </w:pPr>
    <w:rPr>
      <w:rFonts w:ascii="Times New Roman" w:hAnsi="Times New Roman" w:eastAsia="黑体" w:cs="Times New Roman"/>
      <w:kern w:val="44"/>
      <w:sz w:val="28"/>
      <w:szCs w:val="28"/>
      <w:lang w:bidi="ar-SA"/>
    </w:rPr>
  </w:style>
  <w:style w:type="paragraph" w:styleId="3">
    <w:name w:val="heading 2"/>
    <w:next w:val="1"/>
    <w:link w:val="22"/>
    <w:unhideWhenUsed/>
    <w:qFormat/>
    <w:uiPriority w:val="9"/>
    <w:pPr>
      <w:keepNext w:val="0"/>
      <w:keepLines w:val="0"/>
      <w:widowControl w:val="0"/>
      <w:adjustRightInd w:val="0"/>
      <w:jc w:val="left"/>
      <w:outlineLvl w:val="1"/>
    </w:pPr>
    <w:rPr>
      <w:rFonts w:ascii="Times New Roman" w:hAnsi="Times New Roman" w:eastAsia="黑体" w:cs="Times New Roman"/>
      <w:kern w:val="2"/>
      <w:sz w:val="28"/>
      <w:szCs w:val="28"/>
      <w:lang w:bidi="ar-SA"/>
    </w:rPr>
  </w:style>
  <w:style w:type="paragraph" w:styleId="4">
    <w:name w:val="heading 3"/>
    <w:next w:val="1"/>
    <w:link w:val="23"/>
    <w:unhideWhenUsed/>
    <w:qFormat/>
    <w:uiPriority w:val="9"/>
    <w:pPr>
      <w:keepNext w:val="0"/>
      <w:keepLines w:val="0"/>
      <w:widowControl w:val="0"/>
      <w:adjustRightInd w:val="0"/>
      <w:jc w:val="left"/>
      <w:outlineLvl w:val="2"/>
    </w:pPr>
    <w:rPr>
      <w:rFonts w:ascii="Times New Roman" w:hAnsi="Times New Roman" w:eastAsia="黑体" w:cs="Times New Roman"/>
      <w:kern w:val="2"/>
      <w:sz w:val="28"/>
      <w:szCs w:val="28"/>
      <w:lang w:bidi="ar-SA"/>
    </w:rPr>
  </w:style>
  <w:style w:type="paragraph" w:styleId="5">
    <w:name w:val="heading 4"/>
    <w:next w:val="1"/>
    <w:link w:val="24"/>
    <w:unhideWhenUsed/>
    <w:qFormat/>
    <w:uiPriority w:val="9"/>
    <w:pPr>
      <w:keepNext w:val="0"/>
      <w:keepLines w:val="0"/>
      <w:widowControl w:val="0"/>
      <w:adjustRightInd w:val="0"/>
      <w:jc w:val="left"/>
      <w:outlineLvl w:val="3"/>
    </w:pPr>
    <w:rPr>
      <w:rFonts w:ascii="Times New Roman" w:hAnsi="Times New Roman" w:eastAsia="黑体" w:cs="Times New Roman"/>
      <w:kern w:val="2"/>
      <w:sz w:val="28"/>
      <w:szCs w:val="28"/>
      <w:lang w:bidi="ar-SA"/>
    </w:rPr>
  </w:style>
  <w:style w:type="paragraph" w:styleId="6">
    <w:name w:val="heading 5"/>
    <w:next w:val="1"/>
    <w:link w:val="25"/>
    <w:unhideWhenUsed/>
    <w:qFormat/>
    <w:uiPriority w:val="9"/>
    <w:pPr>
      <w:keepNext w:val="0"/>
      <w:keepLines w:val="0"/>
      <w:widowControl w:val="0"/>
      <w:adjustRightInd w:val="0"/>
      <w:jc w:val="left"/>
      <w:outlineLvl w:val="4"/>
    </w:pPr>
    <w:rPr>
      <w:rFonts w:ascii="Times New Roman" w:hAnsi="Times New Roman" w:eastAsia="黑体" w:cs="Times New Roman"/>
      <w:kern w:val="2"/>
      <w:sz w:val="28"/>
      <w:szCs w:val="28"/>
      <w:lang w:bidi="ar-SA"/>
    </w:rPr>
  </w:style>
  <w:style w:type="paragraph" w:styleId="7">
    <w:name w:val="heading 6"/>
    <w:next w:val="1"/>
    <w:semiHidden/>
    <w:unhideWhenUsed/>
    <w:qFormat/>
    <w:uiPriority w:val="9"/>
    <w:pPr>
      <w:keepNext w:val="0"/>
      <w:keepLines w:val="0"/>
      <w:widowControl w:val="0"/>
      <w:adjustRightInd w:val="0"/>
      <w:jc w:val="left"/>
      <w:outlineLvl w:val="5"/>
    </w:pPr>
    <w:rPr>
      <w:rFonts w:ascii="Times New Roman" w:hAnsi="Times New Roman" w:eastAsia="黑体" w:cs="Times New Roman"/>
      <w:kern w:val="2"/>
      <w:sz w:val="28"/>
      <w:szCs w:val="28"/>
      <w:lang w:bidi="ar-SA"/>
    </w:rPr>
  </w:style>
  <w:style w:type="paragraph" w:styleId="8">
    <w:name w:val="heading 7"/>
    <w:next w:val="1"/>
    <w:semiHidden/>
    <w:unhideWhenUsed/>
    <w:qFormat/>
    <w:uiPriority w:val="9"/>
    <w:pPr>
      <w:keepNext w:val="0"/>
      <w:keepLines w:val="0"/>
      <w:widowControl w:val="0"/>
      <w:adjustRightInd w:val="0"/>
      <w:jc w:val="left"/>
      <w:outlineLvl w:val="6"/>
    </w:pPr>
    <w:rPr>
      <w:rFonts w:ascii="Times New Roman" w:hAnsi="Times New Roman" w:eastAsia="黑体" w:cs="Times New Roman"/>
      <w:kern w:val="2"/>
      <w:sz w:val="28"/>
      <w:szCs w:val="28"/>
      <w:lang w:bidi="ar-SA"/>
    </w:rPr>
  </w:style>
  <w:style w:type="paragraph" w:styleId="9">
    <w:name w:val="heading 8"/>
    <w:next w:val="1"/>
    <w:semiHidden/>
    <w:unhideWhenUsed/>
    <w:qFormat/>
    <w:uiPriority w:val="9"/>
    <w:pPr>
      <w:keepNext w:val="0"/>
      <w:keepLines w:val="0"/>
      <w:widowControl w:val="0"/>
      <w:adjustRightInd w:val="0"/>
      <w:jc w:val="left"/>
      <w:outlineLvl w:val="7"/>
    </w:pPr>
    <w:rPr>
      <w:rFonts w:ascii="Times New Roman" w:hAnsi="Times New Roman" w:eastAsia="黑体" w:cs="Times New Roman"/>
      <w:kern w:val="2"/>
      <w:sz w:val="28"/>
      <w:szCs w:val="28"/>
      <w:lang w:bidi="ar-SA"/>
    </w:rPr>
  </w:style>
  <w:style w:type="paragraph" w:styleId="10">
    <w:name w:val="heading 9"/>
    <w:next w:val="1"/>
    <w:semiHidden/>
    <w:unhideWhenUsed/>
    <w:qFormat/>
    <w:uiPriority w:val="9"/>
    <w:pPr>
      <w:keepNext w:val="0"/>
      <w:keepLines w:val="0"/>
      <w:widowControl w:val="0"/>
      <w:adjustRightInd w:val="0"/>
      <w:jc w:val="left"/>
      <w:outlineLvl w:val="8"/>
    </w:pPr>
    <w:rPr>
      <w:rFonts w:ascii="Times New Roman" w:hAnsi="Times New Roman" w:eastAsia="黑体" w:cs="Times New Roman"/>
      <w:kern w:val="2"/>
      <w:sz w:val="28"/>
      <w:szCs w:val="28"/>
      <w:lang w:bidi="ar-SA"/>
    </w:rPr>
  </w:style>
  <w:style w:type="character" w:default="1" w:styleId="19">
    <w:name w:val="Default Paragraph Font"/>
    <w:unhideWhenUsed/>
    <w:uiPriority w:val="1"/>
  </w:style>
  <w:style w:type="table" w:default="1" w:styleId="17">
    <w:name w:val="Normal Table"/>
    <w:unhideWhenUsed/>
    <w:uiPriority w:val="99"/>
    <w:tblPr>
      <w:tblCellMar>
        <w:top w:w="0" w:type="dxa"/>
        <w:left w:w="108" w:type="dxa"/>
        <w:bottom w:w="0" w:type="dxa"/>
        <w:right w:w="108" w:type="dxa"/>
      </w:tblCellMar>
    </w:tblPr>
  </w:style>
  <w:style w:type="paragraph" w:styleId="11">
    <w:name w:val="Body Text"/>
    <w:unhideWhenUsed/>
    <w:uiPriority w:val="99"/>
    <w:pPr>
      <w:widowControl w:val="0"/>
      <w:adjustRightInd w:val="0"/>
      <w:spacing w:line="360" w:lineRule="auto"/>
      <w:ind w:firstLine="480" w:firstLineChars="200"/>
      <w:jc w:val="both"/>
    </w:pPr>
    <w:rPr>
      <w:rFonts w:ascii="Times New Roman" w:hAnsi="Times New Roman" w:eastAsia="宋体" w:cs="Times New Roman"/>
      <w:kern w:val="2"/>
      <w:sz w:val="24"/>
      <w:szCs w:val="24"/>
      <w:lang w:bidi="ar-SA"/>
    </w:rPr>
  </w:style>
  <w:style w:type="paragraph" w:styleId="12">
    <w:name w:val="footer"/>
    <w:basedOn w:val="1"/>
    <w:unhideWhenUsed/>
    <w:qFormat/>
    <w:uiPriority w:val="99"/>
    <w:pPr>
      <w:tabs>
        <w:tab w:val="center" w:pos="4153"/>
        <w:tab w:val="right" w:pos="8306"/>
      </w:tabs>
      <w:snapToGrid w:val="0"/>
      <w:jc w:val="left"/>
    </w:pPr>
    <w:rPr>
      <w:sz w:val="18"/>
      <w:szCs w:val="18"/>
    </w:rPr>
  </w:style>
  <w:style w:type="paragraph" w:styleId="1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Subtitle"/>
    <w:qFormat/>
    <w:uiPriority w:val="11"/>
    <w:pPr>
      <w:widowControl w:val="0"/>
      <w:adjustRightInd w:val="0"/>
      <w:jc w:val="both"/>
      <w:outlineLvl w:val="1"/>
    </w:pPr>
    <w:rPr>
      <w:rFonts w:ascii="Times New Roman" w:hAnsi="Times New Roman" w:eastAsia="黑体" w:cs="Times New Roman"/>
      <w:kern w:val="28"/>
      <w:sz w:val="32"/>
      <w:szCs w:val="32"/>
      <w:lang w:bidi="ar-SA"/>
    </w:rPr>
  </w:style>
  <w:style w:type="paragraph" w:styleId="15">
    <w:name w:val="Normal (Web)"/>
    <w:basedOn w:val="1"/>
    <w:unhideWhenUsed/>
    <w:uiPriority w:val="99"/>
    <w:pPr>
      <w:spacing w:before="100" w:beforeAutospacing="1" w:after="100" w:afterAutospacing="1"/>
      <w:ind w:left="0" w:right="0"/>
      <w:jc w:val="left"/>
    </w:pPr>
    <w:rPr>
      <w:kern w:val="0"/>
      <w:sz w:val="24"/>
      <w:lang w:val="en-US" w:eastAsia="zh-CN" w:bidi="ar"/>
    </w:rPr>
  </w:style>
  <w:style w:type="paragraph" w:styleId="16">
    <w:name w:val="Title"/>
    <w:qFormat/>
    <w:uiPriority w:val="10"/>
    <w:pPr>
      <w:adjustRightInd w:val="0"/>
      <w:jc w:val="center"/>
      <w:outlineLvl w:val="0"/>
    </w:pPr>
    <w:rPr>
      <w:rFonts w:ascii="Times New Roman" w:hAnsi="Times New Roman" w:eastAsia="宋体" w:cs="Times New Roman"/>
      <w:b/>
      <w:bCs/>
      <w:kern w:val="2"/>
      <w:sz w:val="32"/>
      <w:szCs w:val="32"/>
      <w:lang w:bidi="ar-SA"/>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22"/>
    <w:rPr>
      <w:b/>
      <w:bCs/>
    </w:rPr>
  </w:style>
  <w:style w:type="character" w:customStyle="1" w:styleId="21">
    <w:name w:val="标题 1 字符"/>
    <w:link w:val="2"/>
    <w:uiPriority w:val="9"/>
    <w:rPr>
      <w:rFonts w:ascii="Times New Roman" w:hAnsi="Times New Roman"/>
      <w:b/>
      <w:bCs/>
      <w:kern w:val="44"/>
      <w:sz w:val="44"/>
      <w:szCs w:val="44"/>
    </w:rPr>
  </w:style>
  <w:style w:type="character" w:customStyle="1" w:styleId="22">
    <w:name w:val="标题 2 字符"/>
    <w:link w:val="3"/>
    <w:uiPriority w:val="9"/>
    <w:rPr>
      <w:rFonts w:ascii="等线 Light" w:hAnsi="等线 Light" w:eastAsia="等线 Light" w:cs="Times New Roman"/>
      <w:b/>
      <w:bCs/>
      <w:kern w:val="2"/>
      <w:sz w:val="32"/>
      <w:szCs w:val="32"/>
    </w:rPr>
  </w:style>
  <w:style w:type="character" w:customStyle="1" w:styleId="23">
    <w:name w:val="标题 3 字符"/>
    <w:link w:val="4"/>
    <w:uiPriority w:val="9"/>
    <w:rPr>
      <w:rFonts w:ascii="Times New Roman" w:hAnsi="Times New Roman"/>
      <w:b/>
      <w:bCs/>
      <w:kern w:val="2"/>
      <w:sz w:val="32"/>
      <w:szCs w:val="32"/>
    </w:rPr>
  </w:style>
  <w:style w:type="character" w:customStyle="1" w:styleId="24">
    <w:name w:val="标题 4 字符"/>
    <w:link w:val="5"/>
    <w:uiPriority w:val="9"/>
    <w:rPr>
      <w:rFonts w:ascii="等线 Light" w:hAnsi="等线 Light" w:eastAsia="等线 Light" w:cs="Times New Roman"/>
      <w:b/>
      <w:bCs/>
      <w:kern w:val="2"/>
      <w:sz w:val="28"/>
      <w:szCs w:val="28"/>
    </w:rPr>
  </w:style>
  <w:style w:type="character" w:customStyle="1" w:styleId="25">
    <w:name w:val="标题 5 字符"/>
    <w:link w:val="6"/>
    <w:uiPriority w:val="9"/>
    <w:rPr>
      <w:rFonts w:ascii="Times New Roman" w:hAnsi="Times New Roman"/>
      <w:b/>
      <w:bCs/>
      <w:kern w:val="2"/>
      <w:sz w:val="28"/>
      <w:szCs w:val="28"/>
    </w:rPr>
  </w:style>
  <w:style w:type="paragraph" w:customStyle="1" w:styleId="26">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7">
    <w:name w:val="List Paragraph"/>
    <w:basedOn w:val="1"/>
    <w:qFormat/>
    <w:uiPriority w:val="34"/>
    <w:pPr>
      <w:ind w:firstLine="420" w:firstLineChars="200"/>
    </w:pPr>
  </w:style>
  <w:style w:type="paragraph" w:customStyle="1" w:styleId="28">
    <w:name w:val="表格标题"/>
    <w:next w:val="1"/>
    <w:uiPriority w:val="0"/>
    <w:pPr>
      <w:widowControl w:val="0"/>
      <w:tabs>
        <w:tab w:val="left" w:pos="0"/>
      </w:tabs>
      <w:adjustRightInd w:val="0"/>
      <w:spacing w:before="100" w:beforeLines="100" w:after="100" w:afterLines="100"/>
      <w:jc w:val="center"/>
    </w:pPr>
    <w:rPr>
      <w:rFonts w:ascii="Times New Roman" w:hAnsi="Times New Roman" w:eastAsia="宋体" w:cs="Times New Roman"/>
      <w:b/>
      <w:bCs/>
      <w:kern w:val="2"/>
      <w:sz w:val="21"/>
      <w:szCs w:val="21"/>
      <w:lang w:bidi="ar-SA"/>
    </w:rPr>
  </w:style>
  <w:style w:type="paragraph" w:customStyle="1" w:styleId="29">
    <w:name w:val="参考文献条目"/>
    <w:next w:val="1"/>
    <w:uiPriority w:val="0"/>
    <w:pPr>
      <w:widowControl w:val="0"/>
      <w:adjustRightInd w:val="0"/>
      <w:jc w:val="left"/>
    </w:pPr>
    <w:rPr>
      <w:rFonts w:ascii="Times New Roman" w:hAnsi="Times New Roman" w:eastAsia="宋体" w:cs="Times New Roman"/>
      <w:kern w:val="2"/>
      <w:sz w:val="24"/>
      <w:szCs w:val="24"/>
      <w:lang w:bidi="ar-SA"/>
    </w:rPr>
  </w:style>
  <w:style w:type="paragraph" w:customStyle="1" w:styleId="30">
    <w:name w:val="参考文献标题"/>
    <w:next w:val="1"/>
    <w:uiPriority w:val="0"/>
    <w:pPr>
      <w:widowControl w:val="0"/>
      <w:adjustRightInd w:val="0"/>
      <w:jc w:val="center"/>
      <w:outlineLvl w:val="0"/>
    </w:pPr>
    <w:rPr>
      <w:rFonts w:ascii="Times New Roman" w:hAnsi="Times New Roman" w:eastAsia="黑体" w:cs="Times New Roman"/>
      <w:kern w:val="2"/>
      <w:sz w:val="28"/>
      <w:szCs w:val="28"/>
      <w:lang w:bidi="ar-SA"/>
    </w:rPr>
  </w:style>
  <w:style w:type="character" w:customStyle="1" w:styleId="31">
    <w:name w:val="md-plain"/>
    <w:basedOn w:val="1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SDWM</Company>
  <Pages>20</Pages>
  <Words>1446</Words>
  <Characters>1520</Characters>
  <Lines>205</Lines>
  <Paragraphs>214</Paragraphs>
  <TotalTime>2</TotalTime>
  <ScaleCrop>false</ScaleCrop>
  <LinksUpToDate>false</LinksUpToDate>
  <CharactersWithSpaces>1625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2025-09-12T17:39:00Z</dcterms:created>
  <dc:creator>123</dc:creator>
  <cp:lastModifiedBy>于琮源</cp:lastModifiedBy>
  <dcterms:modified xsi:type="dcterms:W3CDTF">2025-12-11T23:16:58Z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F0908392F5A46E14405B2C6944392DAE_43</vt:lpwstr>
  </property>
  <property fmtid="{D5CDD505-2E9C-101B-9397-08002B2CF9AE}" pid="4" name="KSOTemplateDocerSaveRecord">
    <vt:lpwstr>eyJoZGlkIjoiZDgzZDIwNDg3Y2VkZmU0YzMzMzQ2ZGI0MGUzNjY2MzkiLCJ1c2VySWQiOiIxNzcxNTM4NjQ3In0=</vt:lpwstr>
  </property>
</Properties>
</file>