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360"/>
        <w:jc w:val="center"/>
      </w:pPr>
      <w:r>
        <w:rPr>
          <w:rFonts w:ascii="Times New Roman" w:hAnsi="Times New Roman" w:eastAsia="黑体"/>
          <w:b/>
          <w:sz w:val="40"/>
        </w:rPr>
        <w:t>专业学位（硕士）论文阶段性稿</w:t>
      </w:r>
    </w:p>
    <w:p>
      <w:pPr>
        <w:spacing w:after="360"/>
        <w:jc w:val="center"/>
      </w:pPr>
      <w:r>
        <w:rPr>
          <w:rFonts w:ascii="Times New Roman" w:hAnsi="Times New Roman" w:eastAsia="黑体"/>
          <w:b/>
          <w:sz w:val="36"/>
        </w:rPr>
        <w:t>C公司充电桩选址问题研究</w:t>
      </w:r>
    </w:p>
    <w:p>
      <w:pPr>
        <w:spacing w:after="720"/>
        <w:jc w:val="center"/>
      </w:pPr>
      <w:r>
        <w:rPr>
          <w:rFonts w:ascii="Times New Roman" w:hAnsi="Times New Roman" w:eastAsia="宋体"/>
          <w:b w:val="0"/>
          <w:sz w:val="24"/>
        </w:rPr>
        <w:t>当前完成度约60%</w:t>
      </w:r>
    </w:p>
    <w:tbl>
      <w:tblPr>
        <w:tblStyle w:val="TableGrid"/>
        <w:tblW w:type="auto" w:w="0"/>
        <w:jc w:val="center"/>
        <w:tblLayout w:type="fixed"/>
        <w:tblLook w:firstColumn="1" w:firstRow="1" w:lastColumn="0" w:lastRow="0" w:noHBand="0" w:noVBand="1" w:val="04A0"/>
      </w:tblPr>
      <w:tblGrid>
        <w:gridCol w:w="4513"/>
        <w:gridCol w:w="4513"/>
      </w:tblGrid>
      <w:tr>
        <w:tc>
          <w:tcPr>
            <w:tcW w:type="dxa" w:w="2268"/>
            <w:vAlign w:val="center"/>
          </w:tcPr>
          <w:p>
            <w:pPr>
              <w:jc w:val="center"/>
            </w:pPr>
            <w:r/>
            <w:r>
              <w:rPr>
                <w:rFonts w:ascii="Times New Roman" w:hAnsi="Times New Roman" w:eastAsia="宋体"/>
                <w:b/>
                <w:sz w:val="20"/>
              </w:rPr>
              <w:t>学号</w:t>
            </w:r>
          </w:p>
        </w:tc>
        <w:tc>
          <w:tcPr>
            <w:tcW w:type="dxa" w:w="5669"/>
            <w:vAlign w:val="center"/>
          </w:tcPr>
          <w:p>
            <w:pPr>
              <w:jc w:val="center"/>
            </w:pPr>
            <w:r/>
            <w:r>
              <w:rPr>
                <w:rFonts w:ascii="Times New Roman" w:hAnsi="Times New Roman" w:eastAsia="宋体"/>
                <w:b w:val="0"/>
                <w:sz w:val="20"/>
              </w:rPr>
              <w:t>532024150155</w:t>
            </w:r>
          </w:p>
        </w:tc>
      </w:tr>
      <w:tr>
        <w:tc>
          <w:tcPr>
            <w:tcW w:type="dxa" w:w="2268"/>
            <w:vAlign w:val="center"/>
          </w:tcPr>
          <w:p>
            <w:pPr>
              <w:jc w:val="center"/>
            </w:pPr>
            <w:r/>
            <w:r>
              <w:rPr>
                <w:rFonts w:ascii="Times New Roman" w:hAnsi="Times New Roman" w:eastAsia="宋体"/>
                <w:b/>
                <w:sz w:val="20"/>
              </w:rPr>
              <w:t>作者姓名</w:t>
            </w:r>
          </w:p>
        </w:tc>
        <w:tc>
          <w:tcPr>
            <w:tcW w:type="dxa" w:w="5669"/>
            <w:vAlign w:val="center"/>
          </w:tcPr>
          <w:p>
            <w:pPr>
              <w:jc w:val="center"/>
            </w:pPr>
            <w:r/>
            <w:r>
              <w:rPr>
                <w:rFonts w:ascii="Times New Roman" w:hAnsi="Times New Roman" w:eastAsia="宋体"/>
                <w:b w:val="0"/>
                <w:sz w:val="20"/>
              </w:rPr>
              <w:t>于琮源</w:t>
            </w:r>
          </w:p>
        </w:tc>
      </w:tr>
      <w:tr>
        <w:tc>
          <w:tcPr>
            <w:tcW w:type="dxa" w:w="2268"/>
            <w:vAlign w:val="center"/>
          </w:tcPr>
          <w:p>
            <w:pPr>
              <w:jc w:val="center"/>
            </w:pPr>
            <w:r/>
            <w:r>
              <w:rPr>
                <w:rFonts w:ascii="Times New Roman" w:hAnsi="Times New Roman" w:eastAsia="宋体"/>
                <w:b/>
                <w:sz w:val="20"/>
              </w:rPr>
              <w:t>专业名称</w:t>
            </w:r>
          </w:p>
        </w:tc>
        <w:tc>
          <w:tcPr>
            <w:tcW w:type="dxa" w:w="5669"/>
            <w:vAlign w:val="center"/>
          </w:tcPr>
          <w:p>
            <w:pPr>
              <w:jc w:val="center"/>
            </w:pPr>
            <w:r/>
            <w:r>
              <w:rPr>
                <w:rFonts w:ascii="Times New Roman" w:hAnsi="Times New Roman" w:eastAsia="宋体"/>
                <w:b w:val="0"/>
                <w:sz w:val="20"/>
              </w:rPr>
              <w:t>工程管理</w:t>
            </w:r>
          </w:p>
        </w:tc>
      </w:tr>
      <w:tr>
        <w:tc>
          <w:tcPr>
            <w:tcW w:type="dxa" w:w="2268"/>
            <w:vAlign w:val="center"/>
          </w:tcPr>
          <w:p>
            <w:pPr>
              <w:jc w:val="center"/>
            </w:pPr>
            <w:r/>
            <w:r>
              <w:rPr>
                <w:rFonts w:ascii="Times New Roman" w:hAnsi="Times New Roman" w:eastAsia="宋体"/>
                <w:b/>
                <w:sz w:val="20"/>
              </w:rPr>
              <w:t>研究方向</w:t>
            </w:r>
          </w:p>
        </w:tc>
        <w:tc>
          <w:tcPr>
            <w:tcW w:type="dxa" w:w="5669"/>
            <w:vAlign w:val="center"/>
          </w:tcPr>
          <w:p>
            <w:pPr>
              <w:jc w:val="center"/>
            </w:pPr>
            <w:r/>
            <w:r>
              <w:rPr>
                <w:rFonts w:ascii="Times New Roman" w:hAnsi="Times New Roman" w:eastAsia="宋体"/>
                <w:b w:val="0"/>
                <w:sz w:val="20"/>
              </w:rPr>
              <w:t>项目管理</w:t>
            </w:r>
          </w:p>
        </w:tc>
      </w:tr>
      <w:tr>
        <w:tc>
          <w:tcPr>
            <w:tcW w:type="dxa" w:w="2268"/>
            <w:vAlign w:val="center"/>
          </w:tcPr>
          <w:p>
            <w:pPr>
              <w:jc w:val="center"/>
            </w:pPr>
            <w:r/>
            <w:r>
              <w:rPr>
                <w:rFonts w:ascii="Times New Roman" w:hAnsi="Times New Roman" w:eastAsia="宋体"/>
                <w:b/>
                <w:sz w:val="20"/>
              </w:rPr>
              <w:t>指导教师</w:t>
            </w:r>
          </w:p>
        </w:tc>
        <w:tc>
          <w:tcPr>
            <w:tcW w:type="dxa" w:w="5669"/>
            <w:vAlign w:val="center"/>
          </w:tcPr>
          <w:p>
            <w:pPr>
              <w:jc w:val="center"/>
            </w:pPr>
            <w:r/>
            <w:r>
              <w:rPr>
                <w:rFonts w:ascii="Times New Roman" w:hAnsi="Times New Roman" w:eastAsia="宋体"/>
                <w:b w:val="0"/>
                <w:sz w:val="20"/>
              </w:rPr>
              <w:t>赵佳宝</w:t>
            </w:r>
          </w:p>
        </w:tc>
      </w:tr>
      <w:tr>
        <w:tc>
          <w:tcPr>
            <w:tcW w:type="dxa" w:w="2268"/>
            <w:vAlign w:val="center"/>
          </w:tcPr>
          <w:p>
            <w:pPr>
              <w:jc w:val="center"/>
            </w:pPr>
            <w:r/>
            <w:r>
              <w:rPr>
                <w:rFonts w:ascii="Times New Roman" w:hAnsi="Times New Roman" w:eastAsia="宋体"/>
                <w:b/>
                <w:sz w:val="20"/>
              </w:rPr>
              <w:t>日期</w:t>
            </w:r>
          </w:p>
        </w:tc>
        <w:tc>
          <w:tcPr>
            <w:tcW w:type="dxa" w:w="5669"/>
            <w:vAlign w:val="center"/>
          </w:tcPr>
          <w:p>
            <w:pPr>
              <w:jc w:val="center"/>
            </w:pPr>
            <w:r/>
            <w:r>
              <w:rPr>
                <w:rFonts w:ascii="Times New Roman" w:hAnsi="Times New Roman" w:eastAsia="宋体"/>
                <w:b w:val="0"/>
                <w:sz w:val="20"/>
              </w:rPr>
              <w:t>2026年6月</w:t>
            </w:r>
          </w:p>
        </w:tc>
      </w:tr>
    </w:tbl>
    <w:p>
      <w:r>
        <w:br w:type="page"/>
      </w:r>
    </w:p>
    <w:p>
      <w:pPr>
        <w:spacing w:before="0" w:after="360"/>
        <w:jc w:val="center"/>
      </w:pPr>
      <w:r>
        <w:rPr>
          <w:rFonts w:ascii="Times New Roman" w:hAnsi="Times New Roman" w:eastAsia="黑体"/>
          <w:b/>
          <w:sz w:val="36"/>
        </w:rPr>
        <w:t>C公司充电桩选址问题研究</w:t>
      </w:r>
    </w:p>
    <w:p>
      <w:pPr>
        <w:pStyle w:val="Heading1"/>
      </w:pPr>
      <w:r>
        <w:t>摘要</w:t>
      </w:r>
    </w:p>
    <w:p>
      <w:pPr/>
      <w:r>
        <w:t>随着城市短途出行需求的持续增长，电动自行车已成为居民日常通勤的重要工具。与之相伴的是社区充电需求快速上升，但现有社区充电基础设施在布局合理性、建设成本控制和运营效率提升等方面仍存在明显不足。C公司作为社区电动自行车充电桩运营企业，已在南京、深圳、徐州等地开展业务布局。在实际扩张过程中，公司选址工作较多依赖经验判断，缺乏统一的评价模型和标准化的决策流程，导致不同城市和不同社区项目在安装成本、利用率、维护投入和投资回收周期等方面差异显著。基于此，本文以C公司为研究对象，围绕社区电动自行车充电桩选址问题，系统研究选址影响因素识别、成本结构分析以及综合评价模型构建问题。</w:t>
      </w:r>
    </w:p>
    <w:p>
      <w:pPr/>
      <w:r>
        <w:t>本文首先结合行业发展背景与企业实际需求，梳理社区电动自行车充电设施布局的研究意义与现实价值；其次在公共设施选址理论、消费者行为理论、成本收益理论和可持续发展理论基础上，对相关文献进行系统综述；随后基于C公司南京、深圳、徐州三地的运营数据和管理实践，对企业现有充电桩运营状况、选址流程及主要问题进行分析；在此基础上，从需求侧因素、供给侧因素、环境与政策因素、技术与运营因素四个维度构建选址影响因素体系，并采用AHP法与熵权法相结合的方式进行组合赋权，形成综合权重矩阵；进一步对C公司三地项目的安装成本、维护成本及其差异成因进行结构化分析，初步揭示选址方案对成本与收益的影响机制。</w:t>
      </w:r>
    </w:p>
    <w:p>
      <w:pPr/>
      <w:r>
        <w:t>阶段性研究结果表明：用户需求密度、电力接入条件和物业协同程度是影响社区充电桩选址效果的关键因素；C公司现有站点在跨城市扩张过程中，安装成本受人工费用、电力改造难度和市政施工条件影响显著，维护成本则呈现与设备使用强度和社区类型相关的差异化特征；基于选址影响因素和成本变量构建综合评价模型具有较强的可行性，可为企业后续项目布局提供量化支持。当前本文已完成绪论、理论基础与文献综述、企业运营现状分析、选址影响因素与成本结构分析，以及综合选址评价模型的指标体系与方法框架构建，约完成论文整体工作量的60%。后续将继续开展模型实证验证、布局优化策略提炼以及全文修改完善工作。</w:t>
      </w:r>
    </w:p>
    <w:p>
      <w:pPr/>
      <w:r>
        <w:t>**关键词**：电动自行车充电桩；选址评价；成本结构；AHP；熵权法；TOPSIS；社区基础设施</w:t>
      </w:r>
    </w:p>
    <w:p>
      <w:pPr>
        <w:pStyle w:val="Heading1"/>
      </w:pPr>
      <w:r>
        <w:t>第1章 绪论</w:t>
      </w:r>
    </w:p>
    <w:p>
      <w:pPr>
        <w:pStyle w:val="Heading2"/>
      </w:pPr>
      <w:r>
        <w:t>1.1 研究背景</w:t>
      </w:r>
    </w:p>
    <w:p>
      <w:pPr>
        <w:pStyle w:val="Heading3"/>
      </w:pPr>
      <w:r>
        <w:t>1.1.1 行业发展背景</w:t>
      </w:r>
    </w:p>
    <w:p>
      <w:pPr/>
      <w:r>
        <w:t>近年来，随着我国城市化进程持续推进以及居民绿色出行意识不断增强，电动自行车因其购置成本低、通行灵活、停放便捷等优势，已成为城市短距离出行的重要交通工具。在大量居民日常通勤、生活购物和接驳地铁公交等场景中，电动自行车的使用频率不断提升，其保有量和使用强度也保持增长态势。与车辆保有量增长相对应的是社区充电需求的迅速扩大，尤其是在高密度居住社区、老旧小区以及外来人口聚集区域，充电设施供需矛盾日益突出。</w:t>
      </w:r>
    </w:p>
    <w:p>
      <w:pPr/>
      <w:r>
        <w:t>与汽车充电设施相比，社区电动自行车充电设施具有使用频次高、单次充电金额低、分布场景分散、物业协调要求强等特点。其站点选址不仅关系到用户充电便利性和设备利用率，还与消防安全、场地改造难度、物业协同水平以及后续维护成本密切相关。因此，社区电动自行车充电设施并不是简单意义上的设备铺设问题，而是一个同时涉及公共安全、社区治理、居民服务和企业投资回报的综合管理问题。</w:t>
      </w:r>
    </w:p>
    <w:p>
      <w:pPr>
        <w:pStyle w:val="Heading3"/>
      </w:pPr>
      <w:r>
        <w:t>1.1.2 政策与安全背景</w:t>
      </w:r>
    </w:p>
    <w:p>
      <w:pPr/>
      <w:r>
        <w:t>近年来，多地因“飞线充电”“入户充电”等问题引发火灾事故，社区电动自行车充电安全问题受到社会高度关注。国家及地方政府不断强化对电动自行车停放和充电行为的规范管理，推动社区集中充电设施建设，将其纳入基层治理、消防整治和便民服务体系。政策导向为充电桩企业带来了较大的市场空间，但同时也提高了项目合规性、建设标准和运营管理的要求。</w:t>
      </w:r>
    </w:p>
    <w:p>
      <w:pPr/>
      <w:r>
        <w:t>在这一背景下，企业若仅依靠传统经验进行站点布局，很容易出现“建得出、用不好、收不回”的问题。一方面，若选址偏离真实需求区域，设备利用率不足，会直接影响项目收益；另一方面，若前期忽视电力接入、消防条件、物业态度和社区结构差异，则可能造成安装成本失控、后期维护压力加大甚至项目推进受阻。因此，如何构建适用于社区场景的科学选址方法，已经成为电动自行车充电运营企业提升扩张质量的关键。</w:t>
      </w:r>
    </w:p>
    <w:p>
      <w:pPr>
        <w:pStyle w:val="Heading3"/>
      </w:pPr>
      <w:r>
        <w:t>1.1.3 企业实践背景</w:t>
      </w:r>
    </w:p>
    <w:p>
      <w:pPr/>
      <w:r>
        <w:t>C公司目前已在南京、深圳、徐州等城市开展社区电动自行车充电桩业务。作为一家处于扩张阶段的运营企业，C公司在前期项目开发中积累了一定实践经验，也暴露出明显问题：一是不同城市、不同社区站点的安装成本差异较大，成本管控难度高；二是站点利用率和收益水平波动明显，部分项目未能实现预期回报；三是现有选址决策较多依赖业务人员经验判断，缺乏统一的指标体系和量化评价工具，导致成功经验难以复制，扩张效率受到限制。</w:t>
      </w:r>
    </w:p>
    <w:p>
      <w:pPr/>
      <w:r>
        <w:t>因此，以C公司为样本研究社区电动自行车充电桩选址问题，不仅具有较强的实践针对性，也有助于从企业管理视角补充现有研究中关于社区细分场景、成本约束和多城市扩张问题的不足。</w:t>
      </w:r>
    </w:p>
    <w:p>
      <w:pPr>
        <w:pStyle w:val="Heading2"/>
      </w:pPr>
      <w:r>
        <w:t>1.2 研究目的与意义</w:t>
      </w:r>
    </w:p>
    <w:p>
      <w:pPr>
        <w:pStyle w:val="Heading3"/>
      </w:pPr>
      <w:r>
        <w:t>1.2.1 研究目的</w:t>
      </w:r>
    </w:p>
    <w:p>
      <w:pPr/>
      <w:r>
        <w:t>本文的总体目标是围绕C公司社区电动自行车充电桩业务，构建一套兼顾需求特征、建设约束与成本收益平衡的选址分析框架。具体而言，本文拟实现以下几个方面的研究目的：</w:t>
      </w:r>
    </w:p>
    <w:p>
      <w:pPr/>
      <w:r>
        <w:t>第一，系统识别影响社区电动自行车充电桩选址效果的关键因素，构建结构化的选址影响因素体系。</w:t>
      </w:r>
    </w:p>
    <w:p>
      <w:pPr/>
      <w:r>
        <w:t>第二，结合C公司三地运营数据，对安装成本与维护成本进行拆解，形成可比较、可迁移的成本结构分析框架。</w:t>
      </w:r>
    </w:p>
    <w:p>
      <w:pPr/>
      <w:r>
        <w:t>第三，基于选址因素和成本变量，搭建综合评价模型，为后续站点优选和扩张决策提供方法基础。</w:t>
      </w:r>
    </w:p>
    <w:p>
      <w:pPr/>
      <w:r>
        <w:t>第四，总结C公司既有站点布局经验，为企业后续在新城市和新社区中开展标准化复制提供参考依据。</w:t>
      </w:r>
    </w:p>
    <w:p>
      <w:pPr>
        <w:pStyle w:val="Heading3"/>
      </w:pPr>
      <w:r>
        <w:t>1.2.2 理论意义</w:t>
      </w:r>
    </w:p>
    <w:p>
      <w:pPr/>
      <w:r>
        <w:t>现有充电设施选址研究主要聚焦于新能源汽车充电站、城市级网络布局或一般公共设施优化模型，对于社区电动自行车充电桩这一细分场景的研究相对不足。尤其在选址因素识别、运维成本分析以及社区治理因素嵌入等方面，尚未形成成熟统一的研究框架。本文以C公司为案例，从社区运营场景出发，将需求、成本、物业协同和政策环境等因素纳入同一分析框架，有助于丰富社区微观场景下公共设施选址研究的内容。</w:t>
      </w:r>
    </w:p>
    <w:p>
      <w:pPr/>
      <w:r>
        <w:t>此外，本文尝试将AHP法、熵权法与综合评价方法结合，用于社区电动自行车充电桩选址分析，这对于拓展多准则决策方法在该领域中的应用也具有一定参考价值。</w:t>
      </w:r>
    </w:p>
    <w:p>
      <w:pPr>
        <w:pStyle w:val="Heading3"/>
      </w:pPr>
      <w:r>
        <w:t>1.2.3 实践意义</w:t>
      </w:r>
    </w:p>
    <w:p>
      <w:pPr/>
      <w:r>
        <w:t>从企业实践角度看，本文的研究结果能够帮助C公司解决当前扩张中的三个核心问题：一是提高选址决策的标准化程度，减少过度依赖个人经验导致的判断偏差；二是增强成本测算和项目预估能力，为投资决策、预算管理和风险控制提供依据；三是总结可复制的选址规律，提升企业跨城市布局和规模扩张的效率。</w:t>
      </w:r>
    </w:p>
    <w:p>
      <w:pPr/>
      <w:r>
        <w:t>从社会治理角度看，社区充电设施的科学布局有助于改善居民充电便利性，降低私拉乱接带来的安全风险，提升社区公共服务水平。因此，本文研究也具有一定的公共价值。</w:t>
      </w:r>
    </w:p>
    <w:p>
      <w:pPr>
        <w:pStyle w:val="Heading2"/>
      </w:pPr>
      <w:r>
        <w:t>1.3 国内外研究现状</w:t>
      </w:r>
    </w:p>
    <w:p>
      <w:pPr>
        <w:pStyle w:val="Heading3"/>
      </w:pPr>
      <w:r>
        <w:t>1.3.1 充电设施选址研究现状</w:t>
      </w:r>
    </w:p>
    <w:p>
      <w:pPr/>
      <w:r>
        <w:t>国内外关于充电设施选址的研究，已经从早期的单因素判断逐步发展为多因素、多目标综合决策分析。已有研究普遍关注交通流量、人口密度、土地可获得性、电网接入条件、服务半径和政策约束等因素，并采用层次分析法、多目标规划、灰色关联分析、TOPSIS法以及启发式算法等构建选址模型。</w:t>
      </w:r>
    </w:p>
    <w:p>
      <w:pPr/>
      <w:r>
        <w:t>从研究对象看，现有成果以新能源汽车充电站为主，研究场景通常包括城市道路网、商业区、交通枢纽和区域级充电网络布局等。与之相比，电动自行车充电桩尤其是社区场景下的选址研究明显不足。社区场景具有高频分散、需求受居住结构影响显著、物业协调约束强、消防要求具体且刚性的特征，这使得汽车充电站的研究结论不能被直接照搬。</w:t>
      </w:r>
    </w:p>
    <w:p>
      <w:pPr>
        <w:pStyle w:val="Heading3"/>
      </w:pPr>
      <w:r>
        <w:t>1.3.2 成本建模研究现状</w:t>
      </w:r>
    </w:p>
    <w:p>
      <w:pPr/>
      <w:r>
        <w:t>成本研究方面，学者通常从建设成本、运营成本、维护成本和生命周期总成本等角度展开分析。生命周期成本理论为识别设施建设与运营全过程中的成本项提供了系统框架；部分研究采用回归分析、成本分解法和机器学习方法，对影响成本变化的关键变量进行识别；还有研究从项目管理角度关注预算偏差、运维效率和投资回收期等问题。</w:t>
      </w:r>
    </w:p>
    <w:p>
      <w:pPr/>
      <w:r>
        <w:t>但是，针对社区电动自行车充电设施的成本分析仍较为薄弱。现有研究普遍存在两个缺口：一是缺乏将选址因素与成本差异联系起来的系统分析；二是对不同城市、不同社区类型之间成本可比性的研究较少。对企业而言，这正是实际决策最为关注的问题。</w:t>
      </w:r>
    </w:p>
    <w:p>
      <w:pPr>
        <w:pStyle w:val="Heading3"/>
      </w:pPr>
      <w:r>
        <w:t>1.3.3 多城市比较研究现状</w:t>
      </w:r>
    </w:p>
    <w:p>
      <w:pPr/>
      <w:r>
        <w:t>多城市比较研究强调不同城市在人口结构、交通方式、政策环境、建设条件和物业管理模式等方面存在显著差异，这些差异会直接影响充电设施建设节奏、成本结构和运营收益。已有研究从宏观层面对车桩比、设施覆盖率、网络成熟度等进行了比较，但对企业微观项目层面的选址与成本问题研究相对有限。</w:t>
      </w:r>
    </w:p>
    <w:p>
      <w:pPr/>
      <w:r>
        <w:t>对于C公司这类处于扩张阶段的运营企业而言，真正需要解决的是“如何将已有城市的成功经验转化为新城市的可复制标准”，这不仅需要经验总结，更需要以数据和模型为支撑的量化分析。</w:t>
      </w:r>
    </w:p>
    <w:p>
      <w:pPr>
        <w:pStyle w:val="Heading3"/>
      </w:pPr>
      <w:r>
        <w:t>1.3.4 研究评述</w:t>
      </w:r>
    </w:p>
    <w:p>
      <w:pPr/>
      <w:r>
        <w:t>总体来看，现有研究为本文提供了较好的理论和方法基础，但仍存在以下不足：第一，针对社区电动自行车充电桩场景的研究深度不够；第二，选址影响因素、成本结构和企业扩张决策三者尚未形成统一分析框架；第三，跨城市差异如何影响选址与成本的机制尚未得到充分解释。</w:t>
      </w:r>
    </w:p>
    <w:p>
      <w:pPr/>
      <w:r>
        <w:t>因此，本文将以C公司为案例，围绕社区场景、企业运营和多城市扩张三个关键词展开研究，力求使研究更加贴近企业真实决策问题。</w:t>
      </w:r>
    </w:p>
    <w:p>
      <w:pPr>
        <w:pStyle w:val="Heading2"/>
      </w:pPr>
      <w:r>
        <w:t>1.4 研究内容、方法与技术路线</w:t>
      </w:r>
    </w:p>
    <w:p>
      <w:pPr>
        <w:pStyle w:val="Heading3"/>
      </w:pPr>
      <w:r>
        <w:t>1.4.1 研究内容</w:t>
      </w:r>
    </w:p>
    <w:p>
      <w:pPr/>
      <w:r>
        <w:t>本文主要围绕以下四个方面开展研究：</w:t>
      </w:r>
    </w:p>
    <w:p>
      <w:pPr/>
      <w:r>
        <w:t>第一，分析行业背景与研究问题，明确社区电动自行车充电桩选址研究的现实意义。</w:t>
      </w:r>
    </w:p>
    <w:p>
      <w:pPr/>
      <w:r>
        <w:t>第二，基于相关理论和文献，对社区充电设施选址、成本分析与布局优化问题进行系统梳理。</w:t>
      </w:r>
    </w:p>
    <w:p>
      <w:pPr/>
      <w:r>
        <w:t>第三，结合C公司南京、深圳、徐州三地运营实践，分析企业现有站点布局、选址流程、主要问题以及成本结构。</w:t>
      </w:r>
    </w:p>
    <w:p>
      <w:pPr/>
      <w:r>
        <w:t>第四，构建选址影响因素体系和综合评价模型，为后续站点优选、成本控制和扩张复制提供方法基础。</w:t>
      </w:r>
    </w:p>
    <w:p>
      <w:pPr>
        <w:pStyle w:val="Heading3"/>
      </w:pPr>
      <w:r>
        <w:t>1.4.2 研究方法</w:t>
      </w:r>
    </w:p>
    <w:p>
      <w:pPr/>
      <w:r>
        <w:t>本文主要采用以下研究方法：</w:t>
      </w:r>
    </w:p>
    <w:p>
      <w:pPr/>
      <w:r>
        <w:t>（1）文献研究法。通过梳理国内外相关研究成果，明确现有研究进展与不足，为本文构建理论基础和研究框架。</w:t>
      </w:r>
    </w:p>
    <w:p>
      <w:pPr/>
      <w:r>
        <w:t>（2）案例分析法。以C公司为案例对象，结合企业在南京、深圳、徐州三地的真实运营数据和管理实践，开展针对性分析。</w:t>
      </w:r>
    </w:p>
    <w:p>
      <w:pPr/>
      <w:r>
        <w:t>（3）数据分析法。对站点分布、利用率、安装成本、维护成本和用户反馈等数据进行整理与比较分析，识别主要影响因素。</w:t>
      </w:r>
    </w:p>
    <w:p>
      <w:pPr/>
      <w:r>
        <w:t>（4）多准则决策方法。采用AHP法和熵权法进行组合赋权，后续结合TOPSIS法构建综合选址评价模型。</w:t>
      </w:r>
    </w:p>
    <w:p>
      <w:pPr>
        <w:pStyle w:val="Heading3"/>
      </w:pPr>
      <w:r>
        <w:t>1.4.3 技术路线</w:t>
      </w:r>
    </w:p>
    <w:p>
      <w:pPr/>
      <w:r>
        <w:t>本文的技术路线可概括为：提出问题，梳理理论与文献；分析企业运营现状，识别管理痛点；构建选址影响因素体系并进行权重测算；对成本结构和差异成因进行分析；在此基础上建立综合评价模型，并为后续实证验证与策略优化提供基础。</w:t>
      </w:r>
    </w:p>
    <w:p>
      <w:pPr>
        <w:pStyle w:val="Heading2"/>
      </w:pPr>
      <w:r>
        <w:t>1.5 研究创新点</w:t>
      </w:r>
    </w:p>
    <w:p>
      <w:pPr/>
      <w:r>
        <w:t>结合当前研究进展与C公司实际需求，本文的创新点主要体现在以下三个方面：</w:t>
      </w:r>
    </w:p>
    <w:p>
      <w:pPr/>
      <w:r>
        <w:t>第一，研究对象聚焦于社区电动自行车充电桩这一细分场景，与以往新能源汽车充电站研究形成区分，更贴近基层社区和企业运营实际。</w:t>
      </w:r>
    </w:p>
    <w:p>
      <w:pPr/>
      <w:r>
        <w:t>第二，将选址影响因素、安装成本、维护成本和企业扩张复制问题纳入同一研究框架，突出“选址因素—成本结构—综合决策”的逻辑链条。</w:t>
      </w:r>
    </w:p>
    <w:p>
      <w:pPr/>
      <w:r>
        <w:t>第三，以企业真实运营数据为基础，尝试构建兼具可操作性和可推广性的评价模型，为企业跨城市扩张提供更具实务价值的管理工具。</w:t>
      </w:r>
    </w:p>
    <w:p>
      <w:pPr>
        <w:pStyle w:val="Heading2"/>
      </w:pPr>
      <w:r>
        <w:t>1.6 本章小结</w:t>
      </w:r>
    </w:p>
    <w:p>
      <w:pPr/>
      <w:r>
        <w:t>本章围绕研究背景、研究意义、国内外研究现状、研究内容与方法等方面展开论述，明确了本文的研究问题与基本思路。可以看出，社区电动自行车充电桩选址问题兼具公共治理属性和企业经营属性，既关系到居民充电安全与便利，也关系到企业成本控制和扩张效率。现有研究虽已形成一定基础，但仍难以直接解释C公司在社区场景下的实际管理问题。后续章节将在理论与案例结合的基础上，对企业运营现状、选址因素和成本结构展开进一步分析。</w:t>
      </w:r>
    </w:p>
    <w:p>
      <w:pPr>
        <w:pStyle w:val="Heading1"/>
      </w:pPr>
      <w:r>
        <w:t>第2章 理论基础与文献综述</w:t>
      </w:r>
    </w:p>
    <w:p>
      <w:pPr>
        <w:pStyle w:val="Heading2"/>
      </w:pPr>
      <w:r>
        <w:t>2.1 核心概念界定</w:t>
      </w:r>
    </w:p>
    <w:p>
      <w:pPr>
        <w:pStyle w:val="Heading3"/>
      </w:pPr>
      <w:r>
        <w:t>2.1.1 电动自行车充电桩</w:t>
      </w:r>
    </w:p>
    <w:p>
      <w:pPr/>
      <w:r>
        <w:t>本文所称电动自行车充电桩，主要指设置于居民社区、公共停车区域或其他高频使用场景中，面向电动自行车提供集中、安全、规范充电服务的基础设施。其形式包括集中式充电柜、简易充电端口和具备远程管理能力的智能充电设备。与汽车充电站相比，电动自行车充电桩在功率、单次收益、场地要求和运营频次方面具有明显差异。</w:t>
      </w:r>
    </w:p>
    <w:p>
      <w:pPr>
        <w:pStyle w:val="Heading3"/>
      </w:pPr>
      <w:r>
        <w:t>2.1.2 选址评价</w:t>
      </w:r>
    </w:p>
    <w:p>
      <w:pPr/>
      <w:r>
        <w:t>选址评价是指在多个备选位置中，围绕需求、成本、约束、安全、收益等因素建立评价指标体系，并运用定性与定量相结合的方法，对备选站点进行综合判断和排序的过程。对社区电动自行车充电桩而言，选址评价不仅是地理位置选择，更是对用户需求、物业协作、电力接入、消防条件和投资回报的综合平衡。</w:t>
      </w:r>
    </w:p>
    <w:p>
      <w:pPr>
        <w:pStyle w:val="Heading3"/>
      </w:pPr>
      <w:r>
        <w:t>2.1.3 成本结构</w:t>
      </w:r>
    </w:p>
    <w:p>
      <w:pPr/>
      <w:r>
        <w:t>成本结构是指项目在建设、运营和维护过程中各类成本构成及其比例关系。本文将C公司项目成本划分为安装成本和维护成本两大部分，并进一步拆解为设备采购、土建布线、电力接入、物业协调、故障维修、损耗件更换、巡检维护等具体子项，以分析不同城市和不同社区项目之间的差异来源。</w:t>
      </w:r>
    </w:p>
    <w:p>
      <w:pPr>
        <w:pStyle w:val="Heading2"/>
      </w:pPr>
      <w:r>
        <w:t>2.2 相关理论基础</w:t>
      </w:r>
    </w:p>
    <w:p>
      <w:pPr>
        <w:pStyle w:val="Heading3"/>
      </w:pPr>
      <w:r>
        <w:t>2.2.1 公共设施选址理论</w:t>
      </w:r>
    </w:p>
    <w:p>
      <w:pPr/>
      <w:r>
        <w:t>公共设施选址理论是研究如何在空间范围内合理布设资源，以实现服务效率、覆盖公平和成本最优的理论基础。该理论强调设施选址应综合考虑需求分布、服务半径、建设成本、可达性与外部约束等因素。对于社区电动自行车充电设施而言，其服务对象具有明显的居民集聚特征，因此公共设施选址理论能够为站点布局的空间合理性提供解释框架。</w:t>
      </w:r>
    </w:p>
    <w:p>
      <w:pPr>
        <w:pStyle w:val="Heading3"/>
      </w:pPr>
      <w:r>
        <w:t>2.2.2 消费者行为理论</w:t>
      </w:r>
    </w:p>
    <w:p>
      <w:pPr/>
      <w:r>
        <w:t>消费者行为理论强调用户的购买与使用决策会受到便利性、价格感知、习惯、风险认知和替代选择等因素影响。社区居民是否愿意使用集中充电设施，不仅取决于设施是否存在，更取决于位置是否方便、等待成本是否可接受、价格是否合理以及使用体验是否稳定。引入消费者行为理论，有助于解释为什么同样数量的设备在不同社区会出现利用率差异。</w:t>
      </w:r>
    </w:p>
    <w:p>
      <w:pPr>
        <w:pStyle w:val="Heading3"/>
      </w:pPr>
      <w:r>
        <w:t>2.2.3 成本收益理论</w:t>
      </w:r>
    </w:p>
    <w:p>
      <w:pPr/>
      <w:r>
        <w:t>成本收益理论强调在资源配置和投资决策中，需要对投入与产出进行系统比较。对C公司而言，选址方案的优劣不应只看建成与否，还应综合考虑安装成本、维护支出、利用率、收入水平和投资回收周期。将成本收益理论引入研究，有助于建立兼顾经济性与可行性的评价框架。</w:t>
      </w:r>
    </w:p>
    <w:p>
      <w:pPr>
        <w:pStyle w:val="Heading3"/>
      </w:pPr>
      <w:r>
        <w:t>2.2.4 可持续发展理论</w:t>
      </w:r>
    </w:p>
    <w:p>
      <w:pPr/>
      <w:r>
        <w:t>社区电动自行车充电设施的建设不仅具有企业盈利属性，还具有公共安全治理、绿色低碳出行保障和社区服务改善等社会功能。可持续发展理论强调经济、社会和环境效益的统一，能够为本文从更广阔视角理解充电设施布局问题提供支持。</w:t>
      </w:r>
    </w:p>
    <w:p>
      <w:pPr>
        <w:pStyle w:val="Heading2"/>
      </w:pPr>
      <w:r>
        <w:t>2.3 国内外研究综述</w:t>
      </w:r>
    </w:p>
    <w:p>
      <w:pPr>
        <w:pStyle w:val="Heading3"/>
      </w:pPr>
      <w:r>
        <w:t>2.3.1 选址影响因素研究</w:t>
      </w:r>
    </w:p>
    <w:p>
      <w:pPr/>
      <w:r>
        <w:t>相关研究普遍认为，需求强度、人口密度、服务半径、交通便利性和能源接入条件是影响充电设施选址的重要变量。在社区场景中，物业配合程度、消防规范、居民结构和场地改造难度等因素的重要性进一步上升。这说明社区电动自行车充电桩选址具有更强的场景依赖性，必须建立符合具体业务特征的指标体系。</w:t>
      </w:r>
    </w:p>
    <w:p>
      <w:pPr>
        <w:pStyle w:val="Heading3"/>
      </w:pPr>
      <w:r>
        <w:t>2.3.2 选址模型与方法研究</w:t>
      </w:r>
    </w:p>
    <w:p>
      <w:pPr/>
      <w:r>
        <w:t>在模型方法上，AHP法适用于处理专家判断和指标层级结构，熵权法有利于利用实际数据反映指标差异性，TOPSIS法可用于对多个备选方案进行相对优劣排序。部分研究还引入模糊综合评价、灰色关联分析和智能优化算法，以增强模型对复杂问题的处理能力。本文选择AHP法、熵权法和TOPSIS法的组合，主要考虑其操作性较强、计算逻辑清晰，较适合企业阶段性决策应用。</w:t>
      </w:r>
    </w:p>
    <w:p>
      <w:pPr>
        <w:pStyle w:val="Heading3"/>
      </w:pPr>
      <w:r>
        <w:t>2.3.3 运营与布局研究</w:t>
      </w:r>
    </w:p>
    <w:p>
      <w:pPr/>
      <w:r>
        <w:t>关于充电设施运营与布局的研究，一方面关注盈利模式、增值服务和资源协同，另一方面关注设施布局与利用率之间的关系。已有研究表明，布局优化不仅能改善用户服务水平，还能显著影响设备使用效率和后续维护强度。但现有结论多数来源于汽车充电站或城市公共充电网络，对于社区微观运营场景的适配性有限。</w:t>
      </w:r>
    </w:p>
    <w:p>
      <w:pPr>
        <w:pStyle w:val="Heading2"/>
      </w:pPr>
      <w:r>
        <w:t>2.4 文献述评与研究启示</w:t>
      </w:r>
    </w:p>
    <w:p>
      <w:pPr/>
      <w:r>
        <w:t>通过文献梳理可以发现，现有研究为本文提供了三个重要启示：第一，选址问题必须构建多维指标体系，不能仅从单一成本或需求视角判断；第二，成本因素与收益因素应同步纳入评价模型，才能更符合企业决策逻辑；第三，案例研究尤其是企业真实数据研究，对于提升模型实用性和落地性具有重要价值。</w:t>
      </w:r>
    </w:p>
    <w:p>
      <w:pPr/>
      <w:r>
        <w:t>同时，文献研究也提示本文在后续实证阶段应关注两个问题：一是避免照搬宏观场景研究结论，应强化社区属性和物业协同因素；二是对跨城市差异的解释不仅要有经验判断，也要有数据支撑。</w:t>
      </w:r>
    </w:p>
    <w:p>
      <w:pPr>
        <w:pStyle w:val="Heading2"/>
      </w:pPr>
      <w:r>
        <w:t>2.5 本章小结</w:t>
      </w:r>
    </w:p>
    <w:p>
      <w:pPr/>
      <w:r>
        <w:t>本章对本文涉及的核心概念进行了界定，并从公共设施选址理论、消费者行为理论、成本收益理论和可持续发展理论四个方面构建理论基础。通过文献综述可以看出，社区电动自行车充电桩选址问题兼具空间布局和企业经营双重属性，现有研究在方法上具备借鉴价值，但在社区细分场景、成本结构和跨城市扩张问题上仍存在不足。这为后续从C公司真实案例出发开展研究奠定了基础。</w:t>
      </w:r>
    </w:p>
    <w:p>
      <w:pPr>
        <w:pStyle w:val="Heading1"/>
      </w:pPr>
      <w:r>
        <w:t>第3章 C公司充电桩运营现状分析</w:t>
      </w:r>
    </w:p>
    <w:p>
      <w:pPr>
        <w:pStyle w:val="Heading2"/>
      </w:pPr>
      <w:r>
        <w:t>3.1 C公司概况</w:t>
      </w:r>
    </w:p>
    <w:p>
      <w:pPr>
        <w:pStyle w:val="Heading3"/>
      </w:pPr>
      <w:r>
        <w:t>3.1.1 公司业务发展概况</w:t>
      </w:r>
    </w:p>
    <w:p>
      <w:pPr/>
      <w:r>
        <w:t>C公司是一家以社区电动自行车充电设施投资、建设和运营为主营业务的企业。公司业务重点围绕社区便民服务和安全充电场景展开，主要通过与物业、社区管理方和场地提供方合作，在居民聚集区域布局集中充电设施。随着市场需求扩大和政策支持力度增强，公司逐步推进跨城市扩张，在南京、深圳、徐州等地形成了阶段性的项目布局。</w:t>
      </w:r>
    </w:p>
    <w:p>
      <w:pPr>
        <w:pStyle w:val="Heading3"/>
      </w:pPr>
      <w:r>
        <w:t>3.1.2 公司充电桩业务特点</w:t>
      </w:r>
    </w:p>
    <w:p>
      <w:pPr/>
      <w:r>
        <w:t>与大型公共充电设施企业相比，C公司的业务更强调社区渗透和项目精细化运营，其站点通常分布在老旧小区、新建商品房小区以及复合型居住社区。由于社区结构、物业管理水平和居民使用习惯差异较大，站点间运营表现并不完全一致。这决定了公司必须同时具备前端开发能力、项目落地能力和后续运维能力。</w:t>
      </w:r>
    </w:p>
    <w:p>
      <w:pPr>
        <w:pStyle w:val="Heading2"/>
      </w:pPr>
      <w:r>
        <w:t>3.2 C公司充电桩运营现状</w:t>
      </w:r>
    </w:p>
    <w:p>
      <w:pPr>
        <w:pStyle w:val="Heading3"/>
      </w:pPr>
      <w:r>
        <w:t>3.2.1 站点分布与场景特征</w:t>
      </w:r>
    </w:p>
    <w:p>
      <w:pPr/>
      <w:r>
        <w:t>根据公司现有业务布局，南京、深圳、徐州三地已经形成一定规模的社区站点网络。三地项目所处城市层级、社区类型和物业环境差异明显。南京项目总体较为均衡，既有成熟社区也有新建社区；深圳项目处于人口密度高、人工成本高、物业要求高的环境中；徐州项目则更多分布于成本相对较低、社区协作较为稳定的区域。</w:t>
      </w:r>
    </w:p>
    <w:p>
      <w:pPr/>
      <w:r>
        <w:t>从项目场景看，C公司当前服务对象主要为居住型社区用户，使用行为呈现出“高频、短时、刚需”的特征。居民对站点位置、充电便利性和安全性的敏感度较高，而对服务半径、设备故障率和费用水平的容忍度较低。这决定了站点布局必须更加贴近用户生活路径。</w:t>
      </w:r>
    </w:p>
    <w:p>
      <w:pPr>
        <w:pStyle w:val="Heading3"/>
      </w:pPr>
      <w:r>
        <w:t>3.2.2 运营数据与用户反馈特征</w:t>
      </w:r>
    </w:p>
    <w:p>
      <w:pPr/>
      <w:r>
        <w:t>从阶段性运营情况看，三地站点的使用效率存在明显差异。部分站点在高峰时段出现排队使用现象，而部分站点则存在设备闲置。用户活跃度与社区人口密度、电动自行车保有量、上下班出行规律以及物业宣传配合程度关系密切。</w:t>
      </w:r>
    </w:p>
    <w:p>
      <w:pPr/>
      <w:r>
        <w:t>从用户反馈角度看，居民普遍关注以下几个方面：一是站点是否足够近，是否需要绕行；二是充电设备是否稳定，是否存在故障或支付不便；三是充电区域是否安全、整洁，是否影响日常通行。这说明用户对充电设施的评价并不仅仅基于是否“有设备”，还包含服务体验和社区环境感知。</w:t>
      </w:r>
    </w:p>
    <w:p>
      <w:pPr>
        <w:pStyle w:val="Heading2"/>
      </w:pPr>
      <w:r>
        <w:t>3.3 C公司现有选址策略与流程</w:t>
      </w:r>
    </w:p>
    <w:p>
      <w:pPr>
        <w:pStyle w:val="Heading3"/>
      </w:pPr>
      <w:r>
        <w:t>3.3.1 当前选址依据</w:t>
      </w:r>
    </w:p>
    <w:p>
      <w:pPr/>
      <w:r>
        <w:t>C公司当前项目开发阶段主要依赖业务人员进行前期踏勘和经验判断。常见判断依据包括社区规模、居民车辆数量、物业态度、可施工空间、电力接入可行性以及周边竞争设施情况。这些因素基本覆盖了选址决策的核心维度，但在具体项目中缺乏统一评价标准，不同人员对同一指标的理解和权重认知可能存在差异。</w:t>
      </w:r>
    </w:p>
    <w:p>
      <w:pPr>
        <w:pStyle w:val="Heading3"/>
      </w:pPr>
      <w:r>
        <w:t>3.3.2 当前操作流程</w:t>
      </w:r>
    </w:p>
    <w:p>
      <w:pPr/>
      <w:r>
        <w:t>从现有流程看，C公司的项目开发通常包括需求发现、现场勘查、物业沟通、施工条件确认、内部评估、设备安装和后续运营几个阶段。其中，前期勘查和内部评估环节对最终项目成败影响最为明显。一旦在选址阶段低估了场地限制、消防问题或物业协调难度，后续安装推进和运维稳定性就可能受到较大影响。</w:t>
      </w:r>
    </w:p>
    <w:p>
      <w:pPr>
        <w:pStyle w:val="Heading3"/>
      </w:pPr>
      <w:r>
        <w:t>3.3.3 现有流程的局限性</w:t>
      </w:r>
    </w:p>
    <w:p>
      <w:pPr/>
      <w:r>
        <w:t>尽管现有流程具备一定实操经验基础，但仍存在三个明显局限。第一，评价口径不统一，导致不同城市、不同团队之间难以横向比较项目优劣；第二，缺乏数据沉淀与结构化复盘，使得历史项目经验难以转化为标准规则；第三，成本与收益因素未形成联动分析，容易出现“需求好但落地难”或“能建成但回报弱”的情况。</w:t>
      </w:r>
    </w:p>
    <w:p>
      <w:pPr>
        <w:pStyle w:val="Heading2"/>
      </w:pPr>
      <w:r>
        <w:t>3.4 C公司运营中存在的问题与原因</w:t>
      </w:r>
    </w:p>
    <w:p>
      <w:pPr>
        <w:pStyle w:val="Heading3"/>
      </w:pPr>
      <w:r>
        <w:t>3.4.1 选址方面存在的问题</w:t>
      </w:r>
    </w:p>
    <w:p>
      <w:pPr/>
      <w:r>
        <w:t>一是过度依赖经验。经验判断在项目早期具有一定效率优势，但当企业进入多城市扩张阶段时，单纯依靠经验容易导致判断标准不稳定，成功经验难以复制。</w:t>
      </w:r>
    </w:p>
    <w:p>
      <w:pPr/>
      <w:r>
        <w:t>二是核心因素识别不充分。在部分项目中，对电力接入条件、物业协同程度和后续维护便利性的重视程度不足，导致项目在建成后出现成本超预期或运维困难。</w:t>
      </w:r>
    </w:p>
    <w:p>
      <w:pPr/>
      <w:r>
        <w:t>三是项目优选能力不足。面对多个备选社区，缺乏统一的指标体系和评分模型，不利于做出更优资源配置。</w:t>
      </w:r>
    </w:p>
    <w:p>
      <w:pPr>
        <w:pStyle w:val="Heading3"/>
      </w:pPr>
      <w:r>
        <w:t>3.4.2 成本管理方面存在的问题</w:t>
      </w:r>
    </w:p>
    <w:p>
      <w:pPr/>
      <w:r>
        <w:t>不同城市项目的安装成本差异明显，且部分成本项在前期测算中难以准确预估，尤其是电力改造、市政施工和物业协调相关成本。与此同时，维护数据记录粒度不够细，使得企业对后续成本结构的把握仍不够充分，难以支撑更精细的预算控制。</w:t>
      </w:r>
    </w:p>
    <w:p>
      <w:pPr>
        <w:pStyle w:val="Heading3"/>
      </w:pPr>
      <w:r>
        <w:t>3.4.3 扩张复制方面存在的问题</w:t>
      </w:r>
    </w:p>
    <w:p>
      <w:pPr/>
      <w:r>
        <w:t>企业在一个城市取得成功，并不意味着能够在另一城市直接复制。城市人口结构、人工成本水平、政策环境、物业管理模式和居民使用习惯的差异，使得扩张面临较强的不确定性。若缺乏标准化方法，企业不仅扩张效率会下降，还可能因项目质量不稳定带来管理风险。</w:t>
      </w:r>
    </w:p>
    <w:p>
      <w:pPr>
        <w:pStyle w:val="Heading3"/>
      </w:pPr>
      <w:r>
        <w:t>3.4.4 问题成因分析</w:t>
      </w:r>
    </w:p>
    <w:p>
      <w:pPr/>
      <w:r>
        <w:t>从内部看，问题主要源于公司尚未建立系统化的选址评价和项目复盘机制，经验虽然丰富，但未形成可复用的知识体系。从外部看，不同城市和不同社区场景差异明显，政策、物业、用户行为和基础设施条件的变化，使得项目开发天然具有复杂性。因此，必须通过模型化和结构化方法提升决策质量。</w:t>
      </w:r>
    </w:p>
    <w:p>
      <w:pPr>
        <w:pStyle w:val="Heading2"/>
      </w:pPr>
      <w:r>
        <w:t>3.5 本章小结</w:t>
      </w:r>
    </w:p>
    <w:p>
      <w:pPr/>
      <w:r>
        <w:t>本章从企业角度系统分析了C公司的业务概况、现有运营状况、选址流程及主要问题。研究表明，C公司已具备一定社区充电业务基础，但在选址标准化、成本预测和扩张复制能力方面仍存在明显短板。企业现有痛点既来源于内部管理工具不足，也受到外部环境复杂性的影响。基于这些现实问题，后续章节将进一步识别影响选址成效的关键因素，并对成本结构进行深入分析。</w:t>
      </w:r>
    </w:p>
    <w:p>
      <w:pPr>
        <w:pStyle w:val="Heading1"/>
      </w:pPr>
      <w:r>
        <w:t>第4章 选址影响因素与成本结构分析</w:t>
      </w:r>
    </w:p>
    <w:p>
      <w:pPr>
        <w:pStyle w:val="Heading2"/>
      </w:pPr>
      <w:r>
        <w:t>4.1 选址影响因素识别</w:t>
      </w:r>
    </w:p>
    <w:p>
      <w:pPr>
        <w:pStyle w:val="Heading3"/>
      </w:pPr>
      <w:r>
        <w:t>4.1.1 需求侧因素</w:t>
      </w:r>
    </w:p>
    <w:p>
      <w:pPr/>
      <w:r>
        <w:t>需求侧因素是影响社区电动自行车充电桩选址成效的直接基础。对于社区场景而言，电动自行车保有量、用户充电频率、日常出行规律和高峰时段分布共同决定了站点潜在需求规模。若目标区域电动自行车保有量高、居民夜间集中充电需求明显，则站点更有可能形成较高利用率。</w:t>
      </w:r>
    </w:p>
    <w:p>
      <w:pPr/>
      <w:r>
        <w:t>同时，社区人口密度和居住结构也会影响需求强度。例如，通勤型居民较多的社区，其充电需求往往呈现明显的晚间高峰；而老龄化程度较高或流动性较弱的社区，需求释放节奏可能相对平缓。因此，需求侧因素不仅决定“有没有人用”，也影响“何时使用”和“使用多频繁”。</w:t>
      </w:r>
    </w:p>
    <w:p>
      <w:pPr>
        <w:pStyle w:val="Heading3"/>
      </w:pPr>
      <w:r>
        <w:t>4.1.2 供给侧因素</w:t>
      </w:r>
    </w:p>
    <w:p>
      <w:pPr/>
      <w:r>
        <w:t>供给侧因素主要包括场地可获得性、租金或场地使用成本、电力接入条件和周边竞争充电设施情况。对于C公司而言，可施工空间是否具备、场地位置是否合理、电源接入是否便捷，往往直接决定项目能否顺利落地。</w:t>
      </w:r>
    </w:p>
    <w:p>
      <w:pPr/>
      <w:r>
        <w:t>其中，电力接入条件是供给侧因素中的核心约束。若社区既有配电条件不足，或需进行复杂电改，则安装成本和工期都会显著上升。场地租金和物业收费政策也会影响项目长期收益水平。除此之外，若周边已有较多同类充电设施，则项目新增边际收益可能下降。</w:t>
      </w:r>
    </w:p>
    <w:p>
      <w:pPr>
        <w:pStyle w:val="Heading3"/>
      </w:pPr>
      <w:r>
        <w:t>4.1.3 环境与政策因素</w:t>
      </w:r>
    </w:p>
    <w:p>
      <w:pPr/>
      <w:r>
        <w:t>环境与政策因素包括消防安全条件、区域规划要求、交通便利性以及地方支持政策等。社区充电设施具有明显的安全敏感属性，因此选址必须满足消防通道、设备间距、停放秩序等要求。对于部分老旧小区而言，场地虽然需求高，但若消防改造难度过大，也可能不具备项目可行性。</w:t>
      </w:r>
    </w:p>
    <w:p>
      <w:pPr/>
      <w:r>
        <w:t>政策环境则会影响项目推进效率和合规成本。若地方政府鼓励社区集中充电设施建设，且物业和街道层面支持力度较高，则企业更容易开展项目合作。相反，若审批和协调流程复杂，项目实施成本就会提高。</w:t>
      </w:r>
    </w:p>
    <w:p>
      <w:pPr>
        <w:pStyle w:val="Heading3"/>
      </w:pPr>
      <w:r>
        <w:t>4.1.4 技术与运营因素</w:t>
      </w:r>
    </w:p>
    <w:p>
      <w:pPr/>
      <w:r>
        <w:t>技术与运营因素主要包括设备安装便利性、后续维护便利性、网络信号覆盖以及物业协同程度。社区站点不同于一次性施工项目，其后续运营和维护是持续发生的。因此，一个“能建成”的位置并不一定是“值得长期运营”的位置。若设备维护不便、弱电环境差、物业配合差，则故障处理效率和用户满意度都可能下降。</w:t>
      </w:r>
    </w:p>
    <w:p>
      <w:pPr/>
      <w:r>
        <w:t>物业协同程度在社区场景中尤为关键。物业不仅决定项目能否进入社区，也会影响场地使用管理、设备日常秩序维护和居民接受程度。因此，物业关系并非外部附加条件，而是选址评价中的重要变量。</w:t>
      </w:r>
    </w:p>
    <w:p>
      <w:pPr>
        <w:pStyle w:val="Heading2"/>
      </w:pPr>
      <w:r>
        <w:t>4.2 关键因素筛选与权重分析</w:t>
      </w:r>
    </w:p>
    <w:p>
      <w:pPr>
        <w:pStyle w:val="Heading3"/>
      </w:pPr>
      <w:r>
        <w:t>4.2.1 因素筛选逻辑</w:t>
      </w:r>
    </w:p>
    <w:p>
      <w:pPr/>
      <w:r>
        <w:t>在广泛识别因素的基础上，本文结合文献研究、企业调研和项目经验，对选址因素进行筛选。筛选原则主要包括：一是与社区电动自行车充电桩场景具有直接相关性；二是能够在项目开发阶段被识别和判断；三是对成本、利用率和后续运营结果具有显著影响；四是具备一定可量化性，便于后续模型构建。</w:t>
      </w:r>
    </w:p>
    <w:p>
      <w:pPr/>
      <w:r>
        <w:t>经筛选后，本文将选址影响因素归纳为需求侧因素、供给侧因素、环境与政策因素、技术与运营因素四个一级维度，并进一步形成若干二级指标。</w:t>
      </w:r>
    </w:p>
    <w:p>
      <w:pPr>
        <w:pStyle w:val="Heading3"/>
      </w:pPr>
      <w:r>
        <w:t>4.2.2 组合赋权方法</w:t>
      </w:r>
    </w:p>
    <w:p>
      <w:pPr/>
      <w:r>
        <w:t>为了避免单纯依赖主观判断或客观数据造成偏差，本文采用AHP法与熵权法相结合的方式开展组合赋权。AHP法主要用于反映管理人员和行业专家对指标相对重要性的判断，熵权法则利用实际运营数据识别指标差异性，从而增强权重结果的客观性。最后，通过线性加权方式融合主客观权重，形成综合权重矩阵。</w:t>
      </w:r>
    </w:p>
    <w:p>
      <w:pPr>
        <w:pStyle w:val="Heading3"/>
      </w:pPr>
      <w:r>
        <w:t>4.2.3 阶段性权重结果</w:t>
      </w:r>
    </w:p>
    <w:p>
      <w:pPr/>
      <w:r>
        <w:t>根据目前阶段性测算结果，一级指标权重及关键二级指标情况如表4-1所示。</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fill="D9EAF7"/>
          </w:tcPr>
          <w:p>
            <w:pPr>
              <w:jc w:val="center"/>
            </w:pPr>
            <w:r/>
            <w:r>
              <w:rPr>
                <w:rFonts w:ascii="Times New Roman" w:hAnsi="Times New Roman" w:eastAsia="宋体"/>
                <w:b/>
                <w:sz w:val="20"/>
              </w:rPr>
              <w:t>一级指标</w:t>
            </w:r>
          </w:p>
        </w:tc>
        <w:tc>
          <w:tcPr>
            <w:tcW w:type="dxa" w:w="2256"/>
            <w:vAlign w:val="center"/>
            <w:shd w:fill="D9EAF7"/>
          </w:tcPr>
          <w:p>
            <w:pPr>
              <w:jc w:val="center"/>
            </w:pPr>
            <w:r/>
            <w:r>
              <w:rPr>
                <w:rFonts w:ascii="Times New Roman" w:hAnsi="Times New Roman" w:eastAsia="宋体"/>
                <w:b/>
                <w:sz w:val="20"/>
              </w:rPr>
              <w:t>权重</w:t>
            </w:r>
          </w:p>
        </w:tc>
        <w:tc>
          <w:tcPr>
            <w:tcW w:type="dxa" w:w="2256"/>
            <w:vAlign w:val="center"/>
            <w:shd w:fill="D9EAF7"/>
          </w:tcPr>
          <w:p>
            <w:pPr>
              <w:jc w:val="center"/>
            </w:pPr>
            <w:r/>
            <w:r>
              <w:rPr>
                <w:rFonts w:ascii="Times New Roman" w:hAnsi="Times New Roman" w:eastAsia="宋体"/>
                <w:b/>
                <w:sz w:val="20"/>
              </w:rPr>
              <w:t>关键二级指标</w:t>
            </w:r>
          </w:p>
        </w:tc>
        <w:tc>
          <w:tcPr>
            <w:tcW w:type="dxa" w:w="2256"/>
            <w:vAlign w:val="center"/>
            <w:shd w:fill="D9EAF7"/>
          </w:tcPr>
          <w:p>
            <w:pPr>
              <w:jc w:val="center"/>
            </w:pPr>
            <w:r/>
            <w:r>
              <w:rPr>
                <w:rFonts w:ascii="Times New Roman" w:hAnsi="Times New Roman" w:eastAsia="宋体"/>
                <w:b/>
                <w:sz w:val="20"/>
              </w:rPr>
              <w:t>权重</w:t>
            </w:r>
          </w:p>
        </w:tc>
      </w:tr>
      <w:tr>
        <w:tc>
          <w:tcPr>
            <w:tcW w:type="dxa" w:w="2256"/>
            <w:vAlign w:val="center"/>
          </w:tcPr>
          <w:p>
            <w:pPr>
              <w:jc w:val="center"/>
            </w:pPr>
            <w:r/>
            <w:r>
              <w:rPr>
                <w:rFonts w:ascii="Times New Roman" w:hAnsi="Times New Roman" w:eastAsia="宋体"/>
                <w:b w:val="0"/>
                <w:sz w:val="20"/>
              </w:rPr>
              <w:t>需求侧因素</w:t>
            </w:r>
          </w:p>
        </w:tc>
        <w:tc>
          <w:tcPr>
            <w:tcW w:type="dxa" w:w="2256"/>
            <w:vAlign w:val="center"/>
          </w:tcPr>
          <w:p>
            <w:pPr>
              <w:jc w:val="center"/>
            </w:pPr>
            <w:r/>
            <w:r>
              <w:rPr>
                <w:rFonts w:ascii="Times New Roman" w:hAnsi="Times New Roman" w:eastAsia="宋体"/>
                <w:b w:val="0"/>
                <w:sz w:val="20"/>
              </w:rPr>
              <w:t>0.35</w:t>
            </w:r>
          </w:p>
        </w:tc>
        <w:tc>
          <w:tcPr>
            <w:tcW w:type="dxa" w:w="2256"/>
            <w:vAlign w:val="center"/>
          </w:tcPr>
          <w:p>
            <w:pPr>
              <w:jc w:val="center"/>
            </w:pPr>
            <w:r/>
            <w:r>
              <w:rPr>
                <w:rFonts w:ascii="Times New Roman" w:hAnsi="Times New Roman" w:eastAsia="宋体"/>
                <w:b w:val="0"/>
                <w:sz w:val="20"/>
              </w:rPr>
              <w:t>电动自行车保有量与密度</w:t>
            </w:r>
          </w:p>
        </w:tc>
        <w:tc>
          <w:tcPr>
            <w:tcW w:type="dxa" w:w="2256"/>
            <w:vAlign w:val="center"/>
          </w:tcPr>
          <w:p>
            <w:pPr>
              <w:jc w:val="center"/>
            </w:pPr>
            <w:r/>
            <w:r>
              <w:rPr>
                <w:rFonts w:ascii="Times New Roman" w:hAnsi="Times New Roman" w:eastAsia="宋体"/>
                <w:b w:val="0"/>
                <w:sz w:val="20"/>
              </w:rPr>
              <w:t>0.15</w:t>
            </w:r>
          </w:p>
        </w:tc>
      </w:tr>
      <w:tr>
        <w:tc>
          <w:tcPr>
            <w:tcW w:type="dxa" w:w="2256"/>
            <w:vAlign w:val="center"/>
          </w:tcPr>
          <w:p>
            <w:pPr>
              <w:jc w:val="center"/>
            </w:pPr>
            <w:r/>
            <w:r>
              <w:rPr>
                <w:rFonts w:ascii="Times New Roman" w:hAnsi="Times New Roman" w:eastAsia="宋体"/>
                <w:b w:val="0"/>
                <w:sz w:val="20"/>
              </w:rPr>
              <w:t>需求侧因素</w:t>
            </w:r>
          </w:p>
        </w:tc>
        <w:tc>
          <w:tcPr>
            <w:tcW w:type="dxa" w:w="2256"/>
            <w:vAlign w:val="center"/>
          </w:tcPr>
          <w:p>
            <w:pPr>
              <w:jc w:val="center"/>
            </w:pPr>
            <w:r/>
            <w:r>
              <w:rPr>
                <w:rFonts w:ascii="Times New Roman" w:hAnsi="Times New Roman" w:eastAsia="宋体"/>
                <w:b w:val="0"/>
                <w:sz w:val="20"/>
              </w:rPr>
              <w:t>0.35</w:t>
            </w:r>
          </w:p>
        </w:tc>
        <w:tc>
          <w:tcPr>
            <w:tcW w:type="dxa" w:w="2256"/>
            <w:vAlign w:val="center"/>
          </w:tcPr>
          <w:p>
            <w:pPr>
              <w:jc w:val="center"/>
            </w:pPr>
            <w:r/>
            <w:r>
              <w:rPr>
                <w:rFonts w:ascii="Times New Roman" w:hAnsi="Times New Roman" w:eastAsia="宋体"/>
                <w:b w:val="0"/>
                <w:sz w:val="20"/>
              </w:rPr>
              <w:t>用户充电高峰时段匹配度</w:t>
            </w:r>
          </w:p>
        </w:tc>
        <w:tc>
          <w:tcPr>
            <w:tcW w:type="dxa" w:w="2256"/>
            <w:vAlign w:val="center"/>
          </w:tcPr>
          <w:p>
            <w:pPr>
              <w:jc w:val="center"/>
            </w:pPr>
            <w:r/>
            <w:r>
              <w:rPr>
                <w:rFonts w:ascii="Times New Roman" w:hAnsi="Times New Roman" w:eastAsia="宋体"/>
                <w:b w:val="0"/>
                <w:sz w:val="20"/>
              </w:rPr>
              <w:t>0.11</w:t>
            </w:r>
          </w:p>
        </w:tc>
      </w:tr>
      <w:tr>
        <w:tc>
          <w:tcPr>
            <w:tcW w:type="dxa" w:w="2256"/>
            <w:vAlign w:val="center"/>
          </w:tcPr>
          <w:p>
            <w:pPr>
              <w:jc w:val="center"/>
            </w:pPr>
            <w:r/>
            <w:r>
              <w:rPr>
                <w:rFonts w:ascii="Times New Roman" w:hAnsi="Times New Roman" w:eastAsia="宋体"/>
                <w:b w:val="0"/>
                <w:sz w:val="20"/>
              </w:rPr>
              <w:t>供给侧因素</w:t>
            </w:r>
          </w:p>
        </w:tc>
        <w:tc>
          <w:tcPr>
            <w:tcW w:type="dxa" w:w="2256"/>
            <w:vAlign w:val="center"/>
          </w:tcPr>
          <w:p>
            <w:pPr>
              <w:jc w:val="center"/>
            </w:pPr>
            <w:r/>
            <w:r>
              <w:rPr>
                <w:rFonts w:ascii="Times New Roman" w:hAnsi="Times New Roman" w:eastAsia="宋体"/>
                <w:b w:val="0"/>
                <w:sz w:val="20"/>
              </w:rPr>
              <w:t>0.28</w:t>
            </w:r>
          </w:p>
        </w:tc>
        <w:tc>
          <w:tcPr>
            <w:tcW w:type="dxa" w:w="2256"/>
            <w:vAlign w:val="center"/>
          </w:tcPr>
          <w:p>
            <w:pPr>
              <w:jc w:val="center"/>
            </w:pPr>
            <w:r/>
            <w:r>
              <w:rPr>
                <w:rFonts w:ascii="Times New Roman" w:hAnsi="Times New Roman" w:eastAsia="宋体"/>
                <w:b w:val="0"/>
                <w:sz w:val="20"/>
              </w:rPr>
              <w:t>电力接入条件与成本</w:t>
            </w:r>
          </w:p>
        </w:tc>
        <w:tc>
          <w:tcPr>
            <w:tcW w:type="dxa" w:w="2256"/>
            <w:vAlign w:val="center"/>
          </w:tcPr>
          <w:p>
            <w:pPr>
              <w:jc w:val="center"/>
            </w:pPr>
            <w:r/>
            <w:r>
              <w:rPr>
                <w:rFonts w:ascii="Times New Roman" w:hAnsi="Times New Roman" w:eastAsia="宋体"/>
                <w:b w:val="0"/>
                <w:sz w:val="20"/>
              </w:rPr>
              <w:t>0.13</w:t>
            </w:r>
          </w:p>
        </w:tc>
      </w:tr>
      <w:tr>
        <w:tc>
          <w:tcPr>
            <w:tcW w:type="dxa" w:w="2256"/>
            <w:vAlign w:val="center"/>
          </w:tcPr>
          <w:p>
            <w:pPr>
              <w:jc w:val="center"/>
            </w:pPr>
            <w:r/>
            <w:r>
              <w:rPr>
                <w:rFonts w:ascii="Times New Roman" w:hAnsi="Times New Roman" w:eastAsia="宋体"/>
                <w:b w:val="0"/>
                <w:sz w:val="20"/>
              </w:rPr>
              <w:t>供给侧因素</w:t>
            </w:r>
          </w:p>
        </w:tc>
        <w:tc>
          <w:tcPr>
            <w:tcW w:type="dxa" w:w="2256"/>
            <w:vAlign w:val="center"/>
          </w:tcPr>
          <w:p>
            <w:pPr>
              <w:jc w:val="center"/>
            </w:pPr>
            <w:r/>
            <w:r>
              <w:rPr>
                <w:rFonts w:ascii="Times New Roman" w:hAnsi="Times New Roman" w:eastAsia="宋体"/>
                <w:b w:val="0"/>
                <w:sz w:val="20"/>
              </w:rPr>
              <w:t>0.28</w:t>
            </w:r>
          </w:p>
        </w:tc>
        <w:tc>
          <w:tcPr>
            <w:tcW w:type="dxa" w:w="2256"/>
            <w:vAlign w:val="center"/>
          </w:tcPr>
          <w:p>
            <w:pPr>
              <w:jc w:val="center"/>
            </w:pPr>
            <w:r/>
            <w:r>
              <w:rPr>
                <w:rFonts w:ascii="Times New Roman" w:hAnsi="Times New Roman" w:eastAsia="宋体"/>
                <w:b w:val="0"/>
                <w:sz w:val="20"/>
              </w:rPr>
              <w:t>场地可获得性与租金</w:t>
            </w:r>
          </w:p>
        </w:tc>
        <w:tc>
          <w:tcPr>
            <w:tcW w:type="dxa" w:w="2256"/>
            <w:vAlign w:val="center"/>
          </w:tcPr>
          <w:p>
            <w:pPr>
              <w:jc w:val="center"/>
            </w:pPr>
            <w:r/>
            <w:r>
              <w:rPr>
                <w:rFonts w:ascii="Times New Roman" w:hAnsi="Times New Roman" w:eastAsia="宋体"/>
                <w:b w:val="0"/>
                <w:sz w:val="20"/>
              </w:rPr>
              <w:t>0.09</w:t>
            </w:r>
          </w:p>
        </w:tc>
      </w:tr>
      <w:tr>
        <w:tc>
          <w:tcPr>
            <w:tcW w:type="dxa" w:w="2256"/>
            <w:vAlign w:val="center"/>
          </w:tcPr>
          <w:p>
            <w:pPr>
              <w:jc w:val="center"/>
            </w:pPr>
            <w:r/>
            <w:r>
              <w:rPr>
                <w:rFonts w:ascii="Times New Roman" w:hAnsi="Times New Roman" w:eastAsia="宋体"/>
                <w:b w:val="0"/>
                <w:sz w:val="20"/>
              </w:rPr>
              <w:t>环境与政策因素</w:t>
            </w:r>
          </w:p>
        </w:tc>
        <w:tc>
          <w:tcPr>
            <w:tcW w:type="dxa" w:w="2256"/>
            <w:vAlign w:val="center"/>
          </w:tcPr>
          <w:p>
            <w:pPr>
              <w:jc w:val="center"/>
            </w:pPr>
            <w:r/>
            <w:r>
              <w:rPr>
                <w:rFonts w:ascii="Times New Roman" w:hAnsi="Times New Roman" w:eastAsia="宋体"/>
                <w:b w:val="0"/>
                <w:sz w:val="20"/>
              </w:rPr>
              <w:t>0.20</w:t>
            </w:r>
          </w:p>
        </w:tc>
        <w:tc>
          <w:tcPr>
            <w:tcW w:type="dxa" w:w="2256"/>
            <w:vAlign w:val="center"/>
          </w:tcPr>
          <w:p>
            <w:pPr>
              <w:jc w:val="center"/>
            </w:pPr>
            <w:r/>
            <w:r>
              <w:rPr>
                <w:rFonts w:ascii="Times New Roman" w:hAnsi="Times New Roman" w:eastAsia="宋体"/>
                <w:b w:val="0"/>
                <w:sz w:val="20"/>
              </w:rPr>
              <w:t>消防安全条件</w:t>
            </w:r>
          </w:p>
        </w:tc>
        <w:tc>
          <w:tcPr>
            <w:tcW w:type="dxa" w:w="2256"/>
            <w:vAlign w:val="center"/>
          </w:tcPr>
          <w:p>
            <w:pPr>
              <w:jc w:val="center"/>
            </w:pPr>
            <w:r/>
            <w:r>
              <w:rPr>
                <w:rFonts w:ascii="Times New Roman" w:hAnsi="Times New Roman" w:eastAsia="宋体"/>
                <w:b w:val="0"/>
                <w:sz w:val="20"/>
              </w:rPr>
              <w:t>0.09</w:t>
            </w:r>
          </w:p>
        </w:tc>
      </w:tr>
      <w:tr>
        <w:tc>
          <w:tcPr>
            <w:tcW w:type="dxa" w:w="2256"/>
            <w:vAlign w:val="center"/>
          </w:tcPr>
          <w:p>
            <w:pPr>
              <w:jc w:val="center"/>
            </w:pPr>
            <w:r/>
            <w:r>
              <w:rPr>
                <w:rFonts w:ascii="Times New Roman" w:hAnsi="Times New Roman" w:eastAsia="宋体"/>
                <w:b w:val="0"/>
                <w:sz w:val="20"/>
              </w:rPr>
              <w:t>环境与政策因素</w:t>
            </w:r>
          </w:p>
        </w:tc>
        <w:tc>
          <w:tcPr>
            <w:tcW w:type="dxa" w:w="2256"/>
            <w:vAlign w:val="center"/>
          </w:tcPr>
          <w:p>
            <w:pPr>
              <w:jc w:val="center"/>
            </w:pPr>
            <w:r/>
            <w:r>
              <w:rPr>
                <w:rFonts w:ascii="Times New Roman" w:hAnsi="Times New Roman" w:eastAsia="宋体"/>
                <w:b w:val="0"/>
                <w:sz w:val="20"/>
              </w:rPr>
              <w:t>0.20</w:t>
            </w:r>
          </w:p>
        </w:tc>
        <w:tc>
          <w:tcPr>
            <w:tcW w:type="dxa" w:w="2256"/>
            <w:vAlign w:val="center"/>
          </w:tcPr>
          <w:p>
            <w:pPr>
              <w:jc w:val="center"/>
            </w:pPr>
            <w:r/>
            <w:r>
              <w:rPr>
                <w:rFonts w:ascii="Times New Roman" w:hAnsi="Times New Roman" w:eastAsia="宋体"/>
                <w:b w:val="0"/>
                <w:sz w:val="20"/>
              </w:rPr>
              <w:t>区域政策支持力度</w:t>
            </w:r>
          </w:p>
        </w:tc>
        <w:tc>
          <w:tcPr>
            <w:tcW w:type="dxa" w:w="2256"/>
            <w:vAlign w:val="center"/>
          </w:tcPr>
          <w:p>
            <w:pPr>
              <w:jc w:val="center"/>
            </w:pPr>
            <w:r/>
            <w:r>
              <w:rPr>
                <w:rFonts w:ascii="Times New Roman" w:hAnsi="Times New Roman" w:eastAsia="宋体"/>
                <w:b w:val="0"/>
                <w:sz w:val="20"/>
              </w:rPr>
              <w:t>0.06</w:t>
            </w:r>
          </w:p>
        </w:tc>
      </w:tr>
      <w:tr>
        <w:tc>
          <w:tcPr>
            <w:tcW w:type="dxa" w:w="2256"/>
            <w:vAlign w:val="center"/>
          </w:tcPr>
          <w:p>
            <w:pPr>
              <w:jc w:val="center"/>
            </w:pPr>
            <w:r/>
            <w:r>
              <w:rPr>
                <w:rFonts w:ascii="Times New Roman" w:hAnsi="Times New Roman" w:eastAsia="宋体"/>
                <w:b w:val="0"/>
                <w:sz w:val="20"/>
              </w:rPr>
              <w:t>技术与运营因素</w:t>
            </w:r>
          </w:p>
        </w:tc>
        <w:tc>
          <w:tcPr>
            <w:tcW w:type="dxa" w:w="2256"/>
            <w:vAlign w:val="center"/>
          </w:tcPr>
          <w:p>
            <w:pPr>
              <w:jc w:val="center"/>
            </w:pPr>
            <w:r/>
            <w:r>
              <w:rPr>
                <w:rFonts w:ascii="Times New Roman" w:hAnsi="Times New Roman" w:eastAsia="宋体"/>
                <w:b w:val="0"/>
                <w:sz w:val="20"/>
              </w:rPr>
              <w:t>0.17</w:t>
            </w:r>
          </w:p>
        </w:tc>
        <w:tc>
          <w:tcPr>
            <w:tcW w:type="dxa" w:w="2256"/>
            <w:vAlign w:val="center"/>
          </w:tcPr>
          <w:p>
            <w:pPr>
              <w:jc w:val="center"/>
            </w:pPr>
            <w:r/>
            <w:r>
              <w:rPr>
                <w:rFonts w:ascii="Times New Roman" w:hAnsi="Times New Roman" w:eastAsia="宋体"/>
                <w:b w:val="0"/>
                <w:sz w:val="20"/>
              </w:rPr>
              <w:t>物业协同程度</w:t>
            </w:r>
          </w:p>
        </w:tc>
        <w:tc>
          <w:tcPr>
            <w:tcW w:type="dxa" w:w="2256"/>
            <w:vAlign w:val="center"/>
          </w:tcPr>
          <w:p>
            <w:pPr>
              <w:jc w:val="center"/>
            </w:pPr>
            <w:r/>
            <w:r>
              <w:rPr>
                <w:rFonts w:ascii="Times New Roman" w:hAnsi="Times New Roman" w:eastAsia="宋体"/>
                <w:b w:val="0"/>
                <w:sz w:val="20"/>
              </w:rPr>
              <w:t>0.08</w:t>
            </w:r>
          </w:p>
        </w:tc>
      </w:tr>
      <w:tr>
        <w:tc>
          <w:tcPr>
            <w:tcW w:type="dxa" w:w="2256"/>
            <w:vAlign w:val="center"/>
          </w:tcPr>
          <w:p>
            <w:pPr>
              <w:jc w:val="center"/>
            </w:pPr>
            <w:r/>
            <w:r>
              <w:rPr>
                <w:rFonts w:ascii="Times New Roman" w:hAnsi="Times New Roman" w:eastAsia="宋体"/>
                <w:b w:val="0"/>
                <w:sz w:val="20"/>
              </w:rPr>
              <w:t>技术与运营因素</w:t>
            </w:r>
          </w:p>
        </w:tc>
        <w:tc>
          <w:tcPr>
            <w:tcW w:type="dxa" w:w="2256"/>
            <w:vAlign w:val="center"/>
          </w:tcPr>
          <w:p>
            <w:pPr>
              <w:jc w:val="center"/>
            </w:pPr>
            <w:r/>
            <w:r>
              <w:rPr>
                <w:rFonts w:ascii="Times New Roman" w:hAnsi="Times New Roman" w:eastAsia="宋体"/>
                <w:b w:val="0"/>
                <w:sz w:val="20"/>
              </w:rPr>
              <w:t>0.17</w:t>
            </w:r>
          </w:p>
        </w:tc>
        <w:tc>
          <w:tcPr>
            <w:tcW w:type="dxa" w:w="2256"/>
            <w:vAlign w:val="center"/>
          </w:tcPr>
          <w:p>
            <w:pPr>
              <w:jc w:val="center"/>
            </w:pPr>
            <w:r/>
            <w:r>
              <w:rPr>
                <w:rFonts w:ascii="Times New Roman" w:hAnsi="Times New Roman" w:eastAsia="宋体"/>
                <w:b w:val="0"/>
                <w:sz w:val="20"/>
              </w:rPr>
              <w:t>设备安装便利性</w:t>
            </w:r>
          </w:p>
        </w:tc>
        <w:tc>
          <w:tcPr>
            <w:tcW w:type="dxa" w:w="2256"/>
            <w:vAlign w:val="center"/>
          </w:tcPr>
          <w:p>
            <w:pPr>
              <w:jc w:val="center"/>
            </w:pPr>
            <w:r/>
            <w:r>
              <w:rPr>
                <w:rFonts w:ascii="Times New Roman" w:hAnsi="Times New Roman" w:eastAsia="宋体"/>
                <w:b w:val="0"/>
                <w:sz w:val="20"/>
              </w:rPr>
              <w:t>0.05</w:t>
            </w:r>
          </w:p>
        </w:tc>
      </w:tr>
    </w:tbl>
    <w:p/>
    <w:p>
      <w:pPr/>
      <w:r>
        <w:t>从阶段性结果看，用户需求密度、电力接入条件和物业协同程度是影响选址效果的关键因素。这一结果与企业实践观察基本一致，也说明社区充电桩选址不仅要看需求，还要看项目是否“建得起、管得住、用得稳”。</w:t>
      </w:r>
    </w:p>
    <w:p>
      <w:pPr>
        <w:pStyle w:val="Heading2"/>
      </w:pPr>
      <w:r>
        <w:t>4.3 C公司成本结构分析</w:t>
      </w:r>
    </w:p>
    <w:p>
      <w:pPr>
        <w:pStyle w:val="Heading3"/>
      </w:pPr>
      <w:r>
        <w:t>4.3.1 安装成本结构分析</w:t>
      </w:r>
    </w:p>
    <w:p>
      <w:pPr/>
      <w:r>
        <w:t>结合C公司南京、深圳、徐州三地项目数据，本文将安装成本划分为硬件设备采购、基础施工（土建与布线）、电力接入改造、通信模块安装、验收与手续费用、物业协调费用六类。总体来看，硬件设备采购在三地均占较高比例，是基础性成本项；基础施工和电力接入则受城市环境和社区改造条件影响较大，是形成成本差异的核心来源。</w:t>
      </w:r>
    </w:p>
    <w:p>
      <w:pPr/>
      <w:r>
        <w:t>表4-2展示了三地安装成本结构的阶段性比较结果。</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fill="D9EAF7"/>
          </w:tcPr>
          <w:p>
            <w:pPr>
              <w:jc w:val="center"/>
            </w:pPr>
            <w:r/>
            <w:r>
              <w:rPr>
                <w:rFonts w:ascii="Times New Roman" w:hAnsi="Times New Roman" w:eastAsia="宋体"/>
                <w:b/>
                <w:sz w:val="20"/>
              </w:rPr>
              <w:t>成本子项</w:t>
            </w:r>
          </w:p>
        </w:tc>
        <w:tc>
          <w:tcPr>
            <w:tcW w:type="dxa" w:w="2256"/>
            <w:vAlign w:val="center"/>
            <w:shd w:fill="D9EAF7"/>
          </w:tcPr>
          <w:p>
            <w:pPr>
              <w:jc w:val="center"/>
            </w:pPr>
            <w:r/>
            <w:r>
              <w:rPr>
                <w:rFonts w:ascii="Times New Roman" w:hAnsi="Times New Roman" w:eastAsia="宋体"/>
                <w:b/>
                <w:sz w:val="20"/>
              </w:rPr>
              <w:t>南京占比</w:t>
            </w:r>
          </w:p>
        </w:tc>
        <w:tc>
          <w:tcPr>
            <w:tcW w:type="dxa" w:w="2256"/>
            <w:vAlign w:val="center"/>
            <w:shd w:fill="D9EAF7"/>
          </w:tcPr>
          <w:p>
            <w:pPr>
              <w:jc w:val="center"/>
            </w:pPr>
            <w:r/>
            <w:r>
              <w:rPr>
                <w:rFonts w:ascii="Times New Roman" w:hAnsi="Times New Roman" w:eastAsia="宋体"/>
                <w:b/>
                <w:sz w:val="20"/>
              </w:rPr>
              <w:t>深圳占比</w:t>
            </w:r>
          </w:p>
        </w:tc>
        <w:tc>
          <w:tcPr>
            <w:tcW w:type="dxa" w:w="2256"/>
            <w:vAlign w:val="center"/>
            <w:shd w:fill="D9EAF7"/>
          </w:tcPr>
          <w:p>
            <w:pPr>
              <w:jc w:val="center"/>
            </w:pPr>
            <w:r/>
            <w:r>
              <w:rPr>
                <w:rFonts w:ascii="Times New Roman" w:hAnsi="Times New Roman" w:eastAsia="宋体"/>
                <w:b/>
                <w:sz w:val="20"/>
              </w:rPr>
              <w:t>徐州占比</w:t>
            </w:r>
          </w:p>
        </w:tc>
      </w:tr>
      <w:tr>
        <w:tc>
          <w:tcPr>
            <w:tcW w:type="dxa" w:w="2256"/>
            <w:vAlign w:val="center"/>
          </w:tcPr>
          <w:p>
            <w:pPr>
              <w:jc w:val="center"/>
            </w:pPr>
            <w:r/>
            <w:r>
              <w:rPr>
                <w:rFonts w:ascii="Times New Roman" w:hAnsi="Times New Roman" w:eastAsia="宋体"/>
                <w:b w:val="0"/>
                <w:sz w:val="20"/>
              </w:rPr>
              <w:t>硬件设备采购</w:t>
            </w:r>
          </w:p>
        </w:tc>
        <w:tc>
          <w:tcPr>
            <w:tcW w:type="dxa" w:w="2256"/>
            <w:vAlign w:val="center"/>
          </w:tcPr>
          <w:p>
            <w:pPr>
              <w:jc w:val="center"/>
            </w:pPr>
            <w:r/>
            <w:r>
              <w:rPr>
                <w:rFonts w:ascii="Times New Roman" w:hAnsi="Times New Roman" w:eastAsia="宋体"/>
                <w:b w:val="0"/>
                <w:sz w:val="20"/>
              </w:rPr>
              <w:t>约40%</w:t>
            </w:r>
          </w:p>
        </w:tc>
        <w:tc>
          <w:tcPr>
            <w:tcW w:type="dxa" w:w="2256"/>
            <w:vAlign w:val="center"/>
          </w:tcPr>
          <w:p>
            <w:pPr>
              <w:jc w:val="center"/>
            </w:pPr>
            <w:r/>
            <w:r>
              <w:rPr>
                <w:rFonts w:ascii="Times New Roman" w:hAnsi="Times New Roman" w:eastAsia="宋体"/>
                <w:b w:val="0"/>
                <w:sz w:val="20"/>
              </w:rPr>
              <w:t>约35%</w:t>
            </w:r>
          </w:p>
        </w:tc>
        <w:tc>
          <w:tcPr>
            <w:tcW w:type="dxa" w:w="2256"/>
            <w:vAlign w:val="center"/>
          </w:tcPr>
          <w:p>
            <w:pPr>
              <w:jc w:val="center"/>
            </w:pPr>
            <w:r/>
            <w:r>
              <w:rPr>
                <w:rFonts w:ascii="Times New Roman" w:hAnsi="Times New Roman" w:eastAsia="宋体"/>
                <w:b w:val="0"/>
                <w:sz w:val="20"/>
              </w:rPr>
              <w:t>约45%</w:t>
            </w:r>
          </w:p>
        </w:tc>
      </w:tr>
      <w:tr>
        <w:tc>
          <w:tcPr>
            <w:tcW w:type="dxa" w:w="2256"/>
            <w:vAlign w:val="center"/>
          </w:tcPr>
          <w:p>
            <w:pPr>
              <w:jc w:val="center"/>
            </w:pPr>
            <w:r/>
            <w:r>
              <w:rPr>
                <w:rFonts w:ascii="Times New Roman" w:hAnsi="Times New Roman" w:eastAsia="宋体"/>
                <w:b w:val="0"/>
                <w:sz w:val="20"/>
              </w:rPr>
              <w:t>基础施工（土建与布线）</w:t>
            </w:r>
          </w:p>
        </w:tc>
        <w:tc>
          <w:tcPr>
            <w:tcW w:type="dxa" w:w="2256"/>
            <w:vAlign w:val="center"/>
          </w:tcPr>
          <w:p>
            <w:pPr>
              <w:jc w:val="center"/>
            </w:pPr>
            <w:r/>
            <w:r>
              <w:rPr>
                <w:rFonts w:ascii="Times New Roman" w:hAnsi="Times New Roman" w:eastAsia="宋体"/>
                <w:b w:val="0"/>
                <w:sz w:val="20"/>
              </w:rPr>
              <w:t>约20%</w:t>
            </w:r>
          </w:p>
        </w:tc>
        <w:tc>
          <w:tcPr>
            <w:tcW w:type="dxa" w:w="2256"/>
            <w:vAlign w:val="center"/>
          </w:tcPr>
          <w:p>
            <w:pPr>
              <w:jc w:val="center"/>
            </w:pPr>
            <w:r/>
            <w:r>
              <w:rPr>
                <w:rFonts w:ascii="Times New Roman" w:hAnsi="Times New Roman" w:eastAsia="宋体"/>
                <w:b w:val="0"/>
                <w:sz w:val="20"/>
              </w:rPr>
              <w:t>约25%</w:t>
            </w:r>
          </w:p>
        </w:tc>
        <w:tc>
          <w:tcPr>
            <w:tcW w:type="dxa" w:w="2256"/>
            <w:vAlign w:val="center"/>
          </w:tcPr>
          <w:p>
            <w:pPr>
              <w:jc w:val="center"/>
            </w:pPr>
            <w:r/>
            <w:r>
              <w:rPr>
                <w:rFonts w:ascii="Times New Roman" w:hAnsi="Times New Roman" w:eastAsia="宋体"/>
                <w:b w:val="0"/>
                <w:sz w:val="20"/>
              </w:rPr>
              <w:t>约18%</w:t>
            </w:r>
          </w:p>
        </w:tc>
      </w:tr>
      <w:tr>
        <w:tc>
          <w:tcPr>
            <w:tcW w:type="dxa" w:w="2256"/>
            <w:vAlign w:val="center"/>
          </w:tcPr>
          <w:p>
            <w:pPr>
              <w:jc w:val="center"/>
            </w:pPr>
            <w:r/>
            <w:r>
              <w:rPr>
                <w:rFonts w:ascii="Times New Roman" w:hAnsi="Times New Roman" w:eastAsia="宋体"/>
                <w:b w:val="0"/>
                <w:sz w:val="20"/>
              </w:rPr>
              <w:t>电力接入改造</w:t>
            </w:r>
          </w:p>
        </w:tc>
        <w:tc>
          <w:tcPr>
            <w:tcW w:type="dxa" w:w="2256"/>
            <w:vAlign w:val="center"/>
          </w:tcPr>
          <w:p>
            <w:pPr>
              <w:jc w:val="center"/>
            </w:pPr>
            <w:r/>
            <w:r>
              <w:rPr>
                <w:rFonts w:ascii="Times New Roman" w:hAnsi="Times New Roman" w:eastAsia="宋体"/>
                <w:b w:val="0"/>
                <w:sz w:val="20"/>
              </w:rPr>
              <w:t>约18%</w:t>
            </w:r>
          </w:p>
        </w:tc>
        <w:tc>
          <w:tcPr>
            <w:tcW w:type="dxa" w:w="2256"/>
            <w:vAlign w:val="center"/>
          </w:tcPr>
          <w:p>
            <w:pPr>
              <w:jc w:val="center"/>
            </w:pPr>
            <w:r/>
            <w:r>
              <w:rPr>
                <w:rFonts w:ascii="Times New Roman" w:hAnsi="Times New Roman" w:eastAsia="宋体"/>
                <w:b w:val="0"/>
                <w:sz w:val="20"/>
              </w:rPr>
              <w:t>约20%</w:t>
            </w:r>
          </w:p>
        </w:tc>
        <w:tc>
          <w:tcPr>
            <w:tcW w:type="dxa" w:w="2256"/>
            <w:vAlign w:val="center"/>
          </w:tcPr>
          <w:p>
            <w:pPr>
              <w:jc w:val="center"/>
            </w:pPr>
            <w:r/>
            <w:r>
              <w:rPr>
                <w:rFonts w:ascii="Times New Roman" w:hAnsi="Times New Roman" w:eastAsia="宋体"/>
                <w:b w:val="0"/>
                <w:sz w:val="20"/>
              </w:rPr>
              <w:t>约15%</w:t>
            </w:r>
          </w:p>
        </w:tc>
      </w:tr>
      <w:tr>
        <w:tc>
          <w:tcPr>
            <w:tcW w:type="dxa" w:w="2256"/>
            <w:vAlign w:val="center"/>
          </w:tcPr>
          <w:p>
            <w:pPr>
              <w:jc w:val="center"/>
            </w:pPr>
            <w:r/>
            <w:r>
              <w:rPr>
                <w:rFonts w:ascii="Times New Roman" w:hAnsi="Times New Roman" w:eastAsia="宋体"/>
                <w:b w:val="0"/>
                <w:sz w:val="20"/>
              </w:rPr>
              <w:t>通信模块安装</w:t>
            </w:r>
          </w:p>
        </w:tc>
        <w:tc>
          <w:tcPr>
            <w:tcW w:type="dxa" w:w="2256"/>
            <w:vAlign w:val="center"/>
          </w:tcPr>
          <w:p>
            <w:pPr>
              <w:jc w:val="center"/>
            </w:pPr>
            <w:r/>
            <w:r>
              <w:rPr>
                <w:rFonts w:ascii="Times New Roman" w:hAnsi="Times New Roman" w:eastAsia="宋体"/>
                <w:b w:val="0"/>
                <w:sz w:val="20"/>
              </w:rPr>
              <w:t>约8%</w:t>
            </w:r>
          </w:p>
        </w:tc>
        <w:tc>
          <w:tcPr>
            <w:tcW w:type="dxa" w:w="2256"/>
            <w:vAlign w:val="center"/>
          </w:tcPr>
          <w:p>
            <w:pPr>
              <w:jc w:val="center"/>
            </w:pPr>
            <w:r/>
            <w:r>
              <w:rPr>
                <w:rFonts w:ascii="Times New Roman" w:hAnsi="Times New Roman" w:eastAsia="宋体"/>
                <w:b w:val="0"/>
                <w:sz w:val="20"/>
              </w:rPr>
              <w:t>约7%</w:t>
            </w:r>
          </w:p>
        </w:tc>
        <w:tc>
          <w:tcPr>
            <w:tcW w:type="dxa" w:w="2256"/>
            <w:vAlign w:val="center"/>
          </w:tcPr>
          <w:p>
            <w:pPr>
              <w:jc w:val="center"/>
            </w:pPr>
            <w:r/>
            <w:r>
              <w:rPr>
                <w:rFonts w:ascii="Times New Roman" w:hAnsi="Times New Roman" w:eastAsia="宋体"/>
                <w:b w:val="0"/>
                <w:sz w:val="20"/>
              </w:rPr>
              <w:t>约9%</w:t>
            </w:r>
          </w:p>
        </w:tc>
      </w:tr>
      <w:tr>
        <w:tc>
          <w:tcPr>
            <w:tcW w:type="dxa" w:w="2256"/>
            <w:vAlign w:val="center"/>
          </w:tcPr>
          <w:p>
            <w:pPr>
              <w:jc w:val="center"/>
            </w:pPr>
            <w:r/>
            <w:r>
              <w:rPr>
                <w:rFonts w:ascii="Times New Roman" w:hAnsi="Times New Roman" w:eastAsia="宋体"/>
                <w:b w:val="0"/>
                <w:sz w:val="20"/>
              </w:rPr>
              <w:t>验收与手续费用</w:t>
            </w:r>
          </w:p>
        </w:tc>
        <w:tc>
          <w:tcPr>
            <w:tcW w:type="dxa" w:w="2256"/>
            <w:vAlign w:val="center"/>
          </w:tcPr>
          <w:p>
            <w:pPr>
              <w:jc w:val="center"/>
            </w:pPr>
            <w:r/>
            <w:r>
              <w:rPr>
                <w:rFonts w:ascii="Times New Roman" w:hAnsi="Times New Roman" w:eastAsia="宋体"/>
                <w:b w:val="0"/>
                <w:sz w:val="20"/>
              </w:rPr>
              <w:t>约5%</w:t>
            </w:r>
          </w:p>
        </w:tc>
        <w:tc>
          <w:tcPr>
            <w:tcW w:type="dxa" w:w="2256"/>
            <w:vAlign w:val="center"/>
          </w:tcPr>
          <w:p>
            <w:pPr>
              <w:jc w:val="center"/>
            </w:pPr>
            <w:r/>
            <w:r>
              <w:rPr>
                <w:rFonts w:ascii="Times New Roman" w:hAnsi="Times New Roman" w:eastAsia="宋体"/>
                <w:b w:val="0"/>
                <w:sz w:val="20"/>
              </w:rPr>
              <w:t>约5%</w:t>
            </w:r>
          </w:p>
        </w:tc>
        <w:tc>
          <w:tcPr>
            <w:tcW w:type="dxa" w:w="2256"/>
            <w:vAlign w:val="center"/>
          </w:tcPr>
          <w:p>
            <w:pPr>
              <w:jc w:val="center"/>
            </w:pPr>
            <w:r/>
            <w:r>
              <w:rPr>
                <w:rFonts w:ascii="Times New Roman" w:hAnsi="Times New Roman" w:eastAsia="宋体"/>
                <w:b w:val="0"/>
                <w:sz w:val="20"/>
              </w:rPr>
              <w:t>约5%</w:t>
            </w:r>
          </w:p>
        </w:tc>
      </w:tr>
      <w:tr>
        <w:tc>
          <w:tcPr>
            <w:tcW w:type="dxa" w:w="2256"/>
            <w:vAlign w:val="center"/>
          </w:tcPr>
          <w:p>
            <w:pPr>
              <w:jc w:val="center"/>
            </w:pPr>
            <w:r/>
            <w:r>
              <w:rPr>
                <w:rFonts w:ascii="Times New Roman" w:hAnsi="Times New Roman" w:eastAsia="宋体"/>
                <w:b w:val="0"/>
                <w:sz w:val="20"/>
              </w:rPr>
              <w:t>物业协调费用</w:t>
            </w:r>
          </w:p>
        </w:tc>
        <w:tc>
          <w:tcPr>
            <w:tcW w:type="dxa" w:w="2256"/>
            <w:vAlign w:val="center"/>
          </w:tcPr>
          <w:p>
            <w:pPr>
              <w:jc w:val="center"/>
            </w:pPr>
            <w:r/>
            <w:r>
              <w:rPr>
                <w:rFonts w:ascii="Times New Roman" w:hAnsi="Times New Roman" w:eastAsia="宋体"/>
                <w:b w:val="0"/>
                <w:sz w:val="20"/>
              </w:rPr>
              <w:t>约9%</w:t>
            </w:r>
          </w:p>
        </w:tc>
        <w:tc>
          <w:tcPr>
            <w:tcW w:type="dxa" w:w="2256"/>
            <w:vAlign w:val="center"/>
          </w:tcPr>
          <w:p>
            <w:pPr>
              <w:jc w:val="center"/>
            </w:pPr>
            <w:r/>
            <w:r>
              <w:rPr>
                <w:rFonts w:ascii="Times New Roman" w:hAnsi="Times New Roman" w:eastAsia="宋体"/>
                <w:b w:val="0"/>
                <w:sz w:val="20"/>
              </w:rPr>
              <w:t>约8%</w:t>
            </w:r>
          </w:p>
        </w:tc>
        <w:tc>
          <w:tcPr>
            <w:tcW w:type="dxa" w:w="2256"/>
            <w:vAlign w:val="center"/>
          </w:tcPr>
          <w:p>
            <w:pPr>
              <w:jc w:val="center"/>
            </w:pPr>
            <w:r/>
            <w:r>
              <w:rPr>
                <w:rFonts w:ascii="Times New Roman" w:hAnsi="Times New Roman" w:eastAsia="宋体"/>
                <w:b w:val="0"/>
                <w:sz w:val="20"/>
              </w:rPr>
              <w:t>约8%</w:t>
            </w:r>
          </w:p>
        </w:tc>
      </w:tr>
    </w:tbl>
    <w:p/>
    <w:p>
      <w:pPr/>
      <w:r>
        <w:t>从比较结果看，深圳项目的基础施工和电力接入成本明显高于南京和徐州，这与人工费用较高、施工条件复杂和社区改造要求更严格有关；徐州项目的设备采购占比较高，但总体施工和改造压力相对较小，因此综合成本水平相对可控；南京则处于中间状态，成本结构较为均衡。</w:t>
      </w:r>
    </w:p>
    <w:p>
      <w:pPr>
        <w:pStyle w:val="Heading3"/>
      </w:pPr>
      <w:r>
        <w:t>4.3.2 维护成本结构分析</w:t>
      </w:r>
    </w:p>
    <w:p>
      <w:pPr/>
      <w:r>
        <w:t>维护成本方面，本文根据现有维保记录，将成本划分为设备故障维修、损耗件更换、通信模块维护、定期巡检和物业协调费用五类。初步统计显示，设备故障维修在总维护成本中占比最高，约为35%至45%，其次为损耗件更换和定期巡检费用。</w:t>
      </w:r>
    </w:p>
    <w:p>
      <w:pPr/>
      <w:r>
        <w:t>从维护规律看，设备使用强度越高、环境越复杂、物业协作越弱的社区，其维护投入通常越大。此外，安装时间超过一定周期后，设备故障率会出现明显上升趋势，维护成本也逐步由“稳定运转阶段”向“老化上升阶段”转变。</w:t>
      </w:r>
    </w:p>
    <w:p>
      <w:pPr>
        <w:pStyle w:val="Heading3"/>
      </w:pPr>
      <w:r>
        <w:t>4.3.3 跨城市成本差异成因</w:t>
      </w:r>
    </w:p>
    <w:p>
      <w:pPr/>
      <w:r>
        <w:t>造成三地成本差异的原因，主要可以归纳为三个方面。第一，人工成本差异。深圳的人工和施工组织成本明显高于南京和徐州。第二，电力接入与市政施工条件差异。部分社区由于原有配电能力不足，需要额外电改和施工协调，显著提高了项目前期投入。第三，物业和场地改造环境差异。不同城市物业管理模式和社区改造难度不同，会对项目推进效率和隐性成本形成影响。</w:t>
      </w:r>
    </w:p>
    <w:p>
      <w:pPr/>
      <w:r>
        <w:t>因此，成本差异并不只是简单的价格差，而是选址条件、城市属性和项目落地复杂度共同作用的结果。</w:t>
      </w:r>
    </w:p>
    <w:p>
      <w:pPr>
        <w:pStyle w:val="Heading2"/>
      </w:pPr>
      <w:r>
        <w:t>4.4 选址对成本与收益的影响机制</w:t>
      </w:r>
    </w:p>
    <w:p>
      <w:pPr>
        <w:pStyle w:val="Heading3"/>
      </w:pPr>
      <w:r>
        <w:t>4.4.1 选址对安装成本的影响</w:t>
      </w:r>
    </w:p>
    <w:p>
      <w:pPr/>
      <w:r>
        <w:t>选址方案决定了项目的施工条件和资源接入难度。若站点位于电源近、场地平整、施工便利、物业支持度高的区域，则安装成本通常较低；反之，若需要较长距离布线、电改复杂或场地改造受限，则前期投入将明显上升。</w:t>
      </w:r>
    </w:p>
    <w:p>
      <w:pPr>
        <w:pStyle w:val="Heading3"/>
      </w:pPr>
      <w:r>
        <w:t>4.4.2 选址对维护成本的影响</w:t>
      </w:r>
    </w:p>
    <w:p>
      <w:pPr/>
      <w:r>
        <w:t>选址还会影响后续维护成本。设备若布设在管理混乱、暴露性高、信号不稳定或居民干扰较多的区域，故障率和维护频次通常更高。同时，物业配合程度不足也会增加巡检和故障处理的沟通成本。</w:t>
      </w:r>
    </w:p>
    <w:p>
      <w:pPr>
        <w:pStyle w:val="Heading3"/>
      </w:pPr>
      <w:r>
        <w:t>4.4.3 选址对收益水平的影响</w:t>
      </w:r>
    </w:p>
    <w:p>
      <w:pPr/>
      <w:r>
        <w:t>从收益角度看，需求密度高、用户出行规律清晰、使用便利的社区更容易形成稳定订单量，提高设备利用率并缩短投资回收周期。若站点虽然建设条件好，但远离真实需求点位，最终也可能出现收益不足的情况。因此，成本最小不等于方案最优，收益最大也不等于风险最低，企业需要在需求、成本和长期运营效率之间实现平衡。</w:t>
      </w:r>
    </w:p>
    <w:p>
      <w:pPr>
        <w:pStyle w:val="Heading2"/>
      </w:pPr>
      <w:r>
        <w:t>4.5 本章小结</w:t>
      </w:r>
    </w:p>
    <w:p>
      <w:pPr/>
      <w:r>
        <w:t>本章从需求侧、供给侧、环境与政策、技术与运营四个维度系统识别了影响社区电动自行车充电桩选址的关键因素，并通过AHP法与熵权法的组合赋权形成阶段性权重结果。研究发现，用户需求密度、电力接入条件和物业协同程度是影响站点选址效果的核心因素。与此同时，本文结合C公司三地项目数据，对安装成本和维护成本进行了结构化分析，揭示了跨城市成本差异与选址条件之间的内在联系。这些研究结果为后续构建综合选址评价模型提供了直接依据。</w:t>
      </w:r>
    </w:p>
    <w:p>
      <w:pPr>
        <w:pStyle w:val="Heading1"/>
      </w:pPr>
      <w:r>
        <w:t>第5章 综合选址评价模型构建（阶段性完成内容）</w:t>
      </w:r>
    </w:p>
    <w:p>
      <w:pPr>
        <w:pStyle w:val="Heading2"/>
      </w:pPr>
      <w:r>
        <w:t>5.1 指标体系构建原则</w:t>
      </w:r>
    </w:p>
    <w:p>
      <w:pPr/>
      <w:r>
        <w:t>为保证评价模型既具有理论合理性，又能够服务于企业实际决策，本文在构建综合选址评价指标体系时遵循以下原则：</w:t>
      </w:r>
    </w:p>
    <w:p>
      <w:pPr/>
      <w:r>
        <w:t>第一，系统性原则。指标体系应覆盖需求、成本、约束、运营和政策等关键维度，能够较完整反映社区充电桩项目的选址条件。</w:t>
      </w:r>
    </w:p>
    <w:p>
      <w:pPr/>
      <w:r>
        <w:t>第二，可操作性原则。指标应便于在项目开发阶段获取和判断，避免过度依赖难以测量的数据。</w:t>
      </w:r>
    </w:p>
    <w:p>
      <w:pPr/>
      <w:r>
        <w:t>第三，差异性原则。指标应能够反映不同候选社区之间的实际差异，为排序提供有效信息。</w:t>
      </w:r>
    </w:p>
    <w:p>
      <w:pPr/>
      <w:r>
        <w:t>第四，动态适配原则。指标体系应保留后续扩展空间，以便在企业数据积累后不断优化。</w:t>
      </w:r>
    </w:p>
    <w:p>
      <w:pPr>
        <w:pStyle w:val="Heading2"/>
      </w:pPr>
      <w:r>
        <w:t>5.2 综合评价指标体系设计</w:t>
      </w:r>
    </w:p>
    <w:p>
      <w:pPr/>
      <w:r>
        <w:t>结合前文因素识别与权重分析结果，本文初步建立了由4个一级指标、若干二级指标构成的综合评价体系。</w:t>
      </w:r>
    </w:p>
    <w:p>
      <w:pPr>
        <w:pStyle w:val="Heading3"/>
      </w:pPr>
      <w:r>
        <w:t>5.2.1 需求侧指标</w:t>
      </w:r>
    </w:p>
    <w:p>
      <w:pPr/>
      <w:r>
        <w:t>需求侧指标主要包括电动自行车保有量与密度、用户充电高峰时段匹配度、社区人口密度等。该类指标主要用于衡量潜在用户规模和稳定使用基础。</w:t>
      </w:r>
    </w:p>
    <w:p>
      <w:pPr>
        <w:pStyle w:val="Heading3"/>
      </w:pPr>
      <w:r>
        <w:t>5.2.2 供给侧指标</w:t>
      </w:r>
    </w:p>
    <w:p>
      <w:pPr/>
      <w:r>
        <w:t>供给侧指标主要包括场地可获得性与租金、电力接入条件与成本、周边竞争设施情况等。该类指标用于判断项目建设的现实可行性和前期成本压力。</w:t>
      </w:r>
    </w:p>
    <w:p>
      <w:pPr>
        <w:pStyle w:val="Heading3"/>
      </w:pPr>
      <w:r>
        <w:t>5.2.3 环境与政策指标</w:t>
      </w:r>
    </w:p>
    <w:p>
      <w:pPr/>
      <w:r>
        <w:t>环境与政策指标包括消防安全条件、区域政策支持力度、交通便利性等，用于反映项目的合规性、推广条件和长期稳定性。</w:t>
      </w:r>
    </w:p>
    <w:p>
      <w:pPr>
        <w:pStyle w:val="Heading3"/>
      </w:pPr>
      <w:r>
        <w:t>5.2.4 技术与运营指标</w:t>
      </w:r>
    </w:p>
    <w:p>
      <w:pPr/>
      <w:r>
        <w:t>技术与运营指标包括物业协同程度、设备安装便利性、网络信号覆盖等，用于衡量项目后续运维效率和服务稳定性。</w:t>
      </w:r>
    </w:p>
    <w:p>
      <w:pPr>
        <w:pStyle w:val="Heading2"/>
      </w:pPr>
      <w:r>
        <w:t>5.3 权重确定与模型构建思路</w:t>
      </w:r>
    </w:p>
    <w:p>
      <w:pPr>
        <w:pStyle w:val="Heading3"/>
      </w:pPr>
      <w:r>
        <w:t>5.3.1 权重确定路径</w:t>
      </w:r>
    </w:p>
    <w:p>
      <w:pPr/>
      <w:r>
        <w:t>本研究继续采用AHP法与熵权法组合赋权。其中，AHP法负责反映管理人员和专家对指标重要性的认知，熵权法负责基于历史数据识别指标差异。通过将两类权重结果进行综合，可以在一定程度上平衡主观经验与客观事实。</w:t>
      </w:r>
    </w:p>
    <w:p>
      <w:pPr>
        <w:pStyle w:val="Heading3"/>
      </w:pPr>
      <w:r>
        <w:t>5.3.2 评价模型选择</w:t>
      </w:r>
    </w:p>
    <w:p>
      <w:pPr/>
      <w:r>
        <w:t>在备选评价方法中，TOPSIS法具有计算逻辑清晰、结果可解释性较强、便于处理多指标排序问题等优势，较适合企业在多个候选社区之间做优先级判断。因此，本文拟采用TOPSIS法作为综合评价模型的核心方法。</w:t>
      </w:r>
    </w:p>
    <w:p>
      <w:pPr>
        <w:pStyle w:val="Heading3"/>
      </w:pPr>
      <w:r>
        <w:t>5.3.3 模型计算步骤</w:t>
      </w:r>
    </w:p>
    <w:p>
      <w:pPr/>
      <w:r>
        <w:t>模型的基本步骤包括：一是构建候选社区原始指标矩阵；二是对正向指标和逆向指标进行标准化处理；三是结合综合权重形成加权标准化矩阵；四是确定正理想解和负理想解；五是计算各候选社区与理想解之间的距离；六是计算相对贴近度并据此完成排序。</w:t>
      </w:r>
    </w:p>
    <w:p>
      <w:pPr>
        <w:pStyle w:val="Heading2"/>
      </w:pPr>
      <w:r>
        <w:t>5.4 阶段性应用方案</w:t>
      </w:r>
    </w:p>
    <w:p>
      <w:pPr/>
      <w:r>
        <w:t>基于目前研究进展，本文已完成模型的评价框架设计和指标体系构建，下一阶段将以C公司三地站点中的典型社区样本作为候选对象，开展数据代入和排序验证工作。验证内容主要包括：</w:t>
      </w:r>
    </w:p>
    <w:p>
      <w:pPr/>
      <w:r>
        <w:t>第一，比较模型排序结果与企业现有经验判断是否一致。</w:t>
      </w:r>
    </w:p>
    <w:p>
      <w:pPr/>
      <w:r>
        <w:t>第二，比较模型优选结果与站点实际运营表现是否存在对应关系。</w:t>
      </w:r>
    </w:p>
    <w:p>
      <w:pPr/>
      <w:r>
        <w:t>第三，分析若干关键参数变化对排序结果的影响，以检验模型的稳健性。</w:t>
      </w:r>
    </w:p>
    <w:p>
      <w:pPr>
        <w:pStyle w:val="Heading2"/>
      </w:pPr>
      <w:r>
        <w:t>5.5 本章小结</w:t>
      </w:r>
    </w:p>
    <w:p>
      <w:pPr/>
      <w:r>
        <w:t>本章在前文研究基础上，完成了综合选址评价模型的阶段性构建工作，明确了指标体系构建原则、评价指标结构、组合赋权路径以及TOPSIS模型的基本计算思路。当前模型已具备进入实证验证阶段的条件，但具体排序结果、模型有效性分析和策略提炼仍需在后续研究中进一步完成。</w:t>
      </w:r>
    </w:p>
    <w:p>
      <w:pPr>
        <w:pStyle w:val="Heading1"/>
      </w:pPr>
      <w:r>
        <w:t>第6章 后续待完成内容说明</w:t>
      </w:r>
    </w:p>
    <w:p>
      <w:pPr/>
      <w:r>
        <w:t>结合当前中期研究进度，本文后续仍需重点完成以下工作：</w:t>
      </w:r>
    </w:p>
    <w:p>
      <w:pPr/>
      <w:r>
        <w:t>第一，完成综合选址评价模型的实证应用与结果验证，包括候选社区样本选取、数据标准化处理、排序结果分析以及与实际运营情况对照。</w:t>
      </w:r>
    </w:p>
    <w:p>
      <w:pPr/>
      <w:r>
        <w:t>第二，完善维护成本预测模型，对不同社区类型和不同使用周期下的维护成本规律进行更细致分析。</w:t>
      </w:r>
    </w:p>
    <w:p>
      <w:pPr/>
      <w:r>
        <w:t>第三，基于模型结果和企业管理需求，提出具有可操作性的布局优化建议、成本控制建议和扩张复制建议。</w:t>
      </w:r>
    </w:p>
    <w:p>
      <w:pPr/>
      <w:r>
        <w:t>第四，补充参考文献、附图附表、摘要英文版及全文格式细化工作，形成最终定稿。</w:t>
      </w:r>
    </w:p>
    <w:p>
      <w:pPr>
        <w:pStyle w:val="Heading1"/>
      </w:pPr>
      <w:r>
        <w:t>参考文献（阶段性整理）</w:t>
      </w:r>
    </w:p>
    <w:p>
      <w:pPr/>
      <w:r>
        <w:t>[1] 艾利·高德拉特. 突破项目管理的瓶颈:关键链[M]. 北京:电子工业出版社, 2012.</w:t>
      </w:r>
    </w:p>
    <w:p>
      <w:pPr/>
      <w:r>
        <w:t>[2] 朱宏亮. 项目进度管理[M]. 北京:清华大学出版社, 2002.</w:t>
      </w:r>
    </w:p>
    <w:p>
      <w:pPr/>
      <w:r>
        <w:t>[3] Chiu-Chi Wei, Ping-Hung Liu, Ying-Chin Tsai. Resource-constrained project management using enhanced theory of constraint[J]. International Journal of Project Management, 2002, 20(7): 561-567.</w:t>
      </w:r>
    </w:p>
    <w:p>
      <w:pPr/>
      <w:r>
        <w:t>[4] 国家制造强国建设战略咨询委员会. 中国制造2025蓝皮书(2018)[M]. 北京:电子工业出版社, 2018.</w:t>
      </w:r>
    </w:p>
    <w:p>
      <w:pPr/>
      <w:r>
        <w:t>[5] 叶平. 基于PERT/CPM的甘特图应用研究[J]. 浙江建筑, 2011, 28(03): 72-74.</w:t>
      </w:r>
    </w:p>
    <w:p>
      <w:pPr/>
      <w:r>
        <w:t>[6] 武丽丽, 华一新, 张亚军, 等. “北斗一号”监控管理网设计与实现[J]. 测绘科学, 2008, 33(5): 8-9.</w:t>
      </w:r>
    </w:p>
    <w:p>
      <w:pPr>
        <w:pStyle w:val="Heading1"/>
      </w:pPr>
      <w:r>
        <w:t>附注</w:t>
      </w:r>
    </w:p>
    <w:p>
      <w:pPr/>
      <w:r>
        <w:t>本文稿件为依据开题报告与中期检查报告整理形成的阶段性论文稿，完成度约为60%。目前已完成绪论、理论基础与文献综述、企业运营现状分析、选址影响因素与成本结构分析，以及综合评价模型的框架构建。涉及模型实证验证、布局优化建议、结论展望和参考文献规范化等内容，仍需在后续研究中继续完善。</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t>C公司充电桩选址问题研究（阶段性论文稿）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00" w:lineRule="auto"/>
      <w:ind w:firstLine="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00" w:lineRule="auto"/>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00" w:lineRule="auto"/>
      <w:ind w:firstLine="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