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W w:w="0" w:type="auto"/>
        <w:tblInd w:w="-359" w:type="dxa"/>
        <w:tblLayout w:type="fixed"/>
        <w:tblCellMar>
          <w:top w:w="0" w:type="dxa"/>
          <w:left w:w="108" w:type="dxa"/>
          <w:bottom w:w="0" w:type="dxa"/>
          <w:right w:w="108" w:type="dxa"/>
        </w:tblCellMar>
      </w:tblPr>
      <w:tblGrid>
        <w:gridCol w:w="1300"/>
        <w:gridCol w:w="1929"/>
      </w:tblGrid>
      <w:tr w14:paraId="55391FAD">
        <w:trPr>
          <w:trHeight w:val="277" w:hRule="atLeast"/>
        </w:trPr>
        <w:tc>
          <w:tcPr>
            <w:tcW w:w="1300" w:type="dxa"/>
            <w:shd w:val="clear" w:color="auto" w:fill="auto"/>
            <w:vAlign w:val="bottom"/>
          </w:tcPr>
          <w:p w14:paraId="66E0CA4F">
            <w:pPr>
              <w:widowControl w:val="0"/>
              <w:spacing w:before="0" w:after="0" w:line="240" w:lineRule="auto"/>
              <w:ind w:firstLine="0"/>
              <w:jc w:val="center"/>
              <w:rPr>
                <w:sz w:val="18"/>
                <w:szCs w:val="18"/>
                <w:u w:val="single"/>
              </w:rPr>
            </w:pPr>
            <w:r>
              <w:rPr>
                <w:rFonts w:hint="eastAsia" w:asciiTheme="minorEastAsia" w:hAnsiTheme="minorEastAsia" w:eastAsiaTheme="minorEastAsia" w:cstheme="minorEastAsia"/>
                <w:spacing w:val="50"/>
                <w:w w:val="58"/>
                <w:kern w:val="0"/>
                <w:sz w:val="18"/>
                <w:szCs w:val="18"/>
                <w:lang w:eastAsia="zh-CN"/>
              </w:rPr>
              <w:t>学校代码：</w:t>
            </w:r>
          </w:p>
        </w:tc>
        <w:tc>
          <w:tcPr>
            <w:tcW w:w="1929" w:type="dxa"/>
            <w:tcBorders>
              <w:bottom w:val="single" w:color="auto" w:sz="4" w:space="0"/>
            </w:tcBorders>
            <w:shd w:val="clear" w:color="auto" w:fill="auto"/>
            <w:vAlign w:val="bottom"/>
          </w:tcPr>
          <w:p w14:paraId="195D35DD">
            <w:pPr>
              <w:widowControl w:val="0"/>
              <w:spacing w:before="0" w:after="0" w:line="240" w:lineRule="auto"/>
              <w:ind w:firstLine="0"/>
              <w:jc w:val="center"/>
              <w:rPr>
                <w:sz w:val="18"/>
                <w:szCs w:val="18"/>
              </w:rPr>
            </w:pPr>
            <w:r>
              <w:rPr>
                <w:rFonts w:asciiTheme="minorHAnsi" w:hAnsiTheme="minorHAnsi" w:eastAsiaTheme="minorEastAsia"/>
                <w:kern w:val="2"/>
                <w:sz w:val="18"/>
                <w:szCs w:val="18"/>
                <w:lang w:eastAsia="zh-CN"/>
              </w:rPr>
              <w:t>10284</w:t>
            </w:r>
          </w:p>
        </w:tc>
      </w:tr>
      <w:tr w14:paraId="55A325C6">
        <w:trPr>
          <w:trHeight w:val="296" w:hRule="atLeast"/>
        </w:trPr>
        <w:tc>
          <w:tcPr>
            <w:tcW w:w="1300" w:type="dxa"/>
            <w:shd w:val="clear" w:color="auto" w:fill="auto"/>
            <w:vAlign w:val="bottom"/>
          </w:tcPr>
          <w:p w14:paraId="4439C7F1">
            <w:pPr>
              <w:widowControl w:val="0"/>
              <w:spacing w:before="0" w:after="0" w:line="240" w:lineRule="auto"/>
              <w:ind w:firstLine="0"/>
              <w:jc w:val="center"/>
              <w:rPr>
                <w:sz w:val="18"/>
                <w:szCs w:val="18"/>
                <w:u w:val="single"/>
              </w:rPr>
            </w:pPr>
            <w:r>
              <w:rPr>
                <w:rFonts w:hint="eastAsia" w:asciiTheme="minorHAnsi" w:hAnsiTheme="minorHAnsi" w:eastAsiaTheme="minorEastAsia"/>
                <w:spacing w:val="50"/>
                <w:w w:val="58"/>
                <w:kern w:val="0"/>
                <w:sz w:val="18"/>
                <w:szCs w:val="18"/>
                <w:lang w:eastAsia="zh-CN"/>
              </w:rPr>
              <w:t>分类号</w:t>
            </w:r>
            <w:r>
              <w:rPr>
                <w:rFonts w:asciiTheme="minorHAnsi" w:hAnsiTheme="minorHAnsi" w:eastAsiaTheme="minorEastAsia"/>
                <w:spacing w:val="50"/>
                <w:w w:val="58"/>
                <w:kern w:val="0"/>
                <w:sz w:val="18"/>
                <w:szCs w:val="18"/>
                <w:lang w:eastAsia="zh-CN"/>
              </w:rPr>
              <w:t>：</w:t>
            </w:r>
          </w:p>
        </w:tc>
        <w:tc>
          <w:tcPr>
            <w:tcW w:w="1929" w:type="dxa"/>
            <w:tcBorders>
              <w:top w:val="single" w:color="auto" w:sz="4" w:space="0"/>
              <w:bottom w:val="single" w:color="auto" w:sz="4" w:space="0"/>
            </w:tcBorders>
            <w:shd w:val="clear" w:color="auto" w:fill="auto"/>
            <w:vAlign w:val="bottom"/>
          </w:tcPr>
          <w:p w14:paraId="430A0AE5">
            <w:pPr>
              <w:jc w:val="center"/>
              <w:rPr>
                <w:spacing w:val="180"/>
                <w:kern w:val="0"/>
                <w:sz w:val="18"/>
                <w:szCs w:val="18"/>
              </w:rPr>
            </w:pPr>
          </w:p>
        </w:tc>
      </w:tr>
      <w:tr w14:paraId="10E5860A">
        <w:trPr>
          <w:trHeight w:val="277" w:hRule="atLeast"/>
        </w:trPr>
        <w:tc>
          <w:tcPr>
            <w:tcW w:w="1300" w:type="dxa"/>
            <w:shd w:val="clear" w:color="auto" w:fill="auto"/>
            <w:vAlign w:val="bottom"/>
          </w:tcPr>
          <w:p w14:paraId="06EFE38B">
            <w:pPr>
              <w:widowControl w:val="0"/>
              <w:spacing w:before="0" w:after="0" w:line="240" w:lineRule="auto"/>
              <w:ind w:firstLine="0"/>
              <w:jc w:val="center"/>
              <w:rPr>
                <w:sz w:val="18"/>
                <w:szCs w:val="18"/>
                <w:u w:val="single"/>
              </w:rPr>
            </w:pPr>
            <w:r>
              <w:rPr>
                <w:rFonts w:hint="eastAsia" w:asciiTheme="minorHAnsi" w:hAnsiTheme="minorHAnsi" w:eastAsiaTheme="minorEastAsia"/>
                <w:spacing w:val="50"/>
                <w:w w:val="58"/>
                <w:kern w:val="0"/>
                <w:sz w:val="18"/>
                <w:szCs w:val="18"/>
                <w:lang w:eastAsia="zh-CN"/>
              </w:rPr>
              <w:t>密级：</w:t>
            </w:r>
          </w:p>
        </w:tc>
        <w:tc>
          <w:tcPr>
            <w:tcW w:w="1929" w:type="dxa"/>
            <w:tcBorders>
              <w:top w:val="single" w:color="auto" w:sz="4" w:space="0"/>
              <w:bottom w:val="single" w:color="auto" w:sz="4" w:space="0"/>
            </w:tcBorders>
            <w:shd w:val="clear" w:color="auto" w:fill="auto"/>
            <w:vAlign w:val="bottom"/>
          </w:tcPr>
          <w:p w14:paraId="386841FA">
            <w:pPr>
              <w:jc w:val="center"/>
              <w:rPr>
                <w:sz w:val="18"/>
                <w:szCs w:val="18"/>
                <w:u w:val="single"/>
              </w:rPr>
            </w:pPr>
          </w:p>
        </w:tc>
      </w:tr>
      <w:tr w14:paraId="62105447">
        <w:trPr>
          <w:trHeight w:val="277" w:hRule="atLeast"/>
        </w:trPr>
        <w:tc>
          <w:tcPr>
            <w:tcW w:w="1300" w:type="dxa"/>
            <w:shd w:val="clear" w:color="auto" w:fill="auto"/>
            <w:vAlign w:val="bottom"/>
          </w:tcPr>
          <w:p w14:paraId="4F013FA0">
            <w:pPr>
              <w:widowControl w:val="0"/>
              <w:spacing w:before="0" w:after="0" w:line="240" w:lineRule="auto"/>
              <w:ind w:firstLine="0"/>
              <w:jc w:val="center"/>
              <w:rPr>
                <w:sz w:val="18"/>
                <w:szCs w:val="18"/>
                <w:u w:val="single"/>
              </w:rPr>
            </w:pPr>
            <w:r>
              <w:rPr>
                <w:rFonts w:hint="eastAsia" w:asciiTheme="minorHAnsi" w:hAnsiTheme="minorHAnsi" w:eastAsiaTheme="minorEastAsia"/>
                <w:spacing w:val="50"/>
                <w:w w:val="58"/>
                <w:kern w:val="0"/>
                <w:sz w:val="18"/>
                <w:szCs w:val="18"/>
                <w:lang w:eastAsia="zh-CN"/>
              </w:rPr>
              <w:t>UDC：</w:t>
            </w:r>
          </w:p>
        </w:tc>
        <w:tc>
          <w:tcPr>
            <w:tcW w:w="1929" w:type="dxa"/>
            <w:tcBorders>
              <w:top w:val="single" w:color="auto" w:sz="4" w:space="0"/>
              <w:bottom w:val="single" w:color="auto" w:sz="4" w:space="0"/>
            </w:tcBorders>
            <w:shd w:val="clear" w:color="auto" w:fill="auto"/>
            <w:vAlign w:val="bottom"/>
          </w:tcPr>
          <w:p w14:paraId="7440BBE2">
            <w:pPr>
              <w:jc w:val="center"/>
              <w:rPr>
                <w:sz w:val="18"/>
                <w:szCs w:val="18"/>
                <w:u w:val="single"/>
              </w:rPr>
            </w:pPr>
          </w:p>
        </w:tc>
      </w:tr>
      <w:tr w14:paraId="60290297">
        <w:trPr>
          <w:trHeight w:val="277" w:hRule="atLeast"/>
        </w:trPr>
        <w:tc>
          <w:tcPr>
            <w:tcW w:w="1300" w:type="dxa"/>
            <w:shd w:val="clear" w:color="auto" w:fill="auto"/>
            <w:vAlign w:val="bottom"/>
          </w:tcPr>
          <w:p w14:paraId="0AFCB7FC">
            <w:pPr>
              <w:widowControl w:val="0"/>
              <w:spacing w:before="0" w:after="0" w:line="240" w:lineRule="auto"/>
              <w:ind w:firstLine="0"/>
              <w:jc w:val="center"/>
              <w:rPr>
                <w:sz w:val="18"/>
                <w:szCs w:val="18"/>
                <w:u w:val="single"/>
              </w:rPr>
            </w:pPr>
            <w:r>
              <w:rPr>
                <w:rFonts w:hint="eastAsia" w:asciiTheme="minorHAnsi" w:hAnsiTheme="minorHAnsi" w:eastAsiaTheme="minorEastAsia"/>
                <w:spacing w:val="50"/>
                <w:w w:val="58"/>
                <w:kern w:val="0"/>
                <w:sz w:val="18"/>
                <w:szCs w:val="18"/>
                <w:lang w:eastAsia="zh-CN"/>
              </w:rPr>
              <w:t>学号：</w:t>
            </w:r>
          </w:p>
        </w:tc>
        <w:tc>
          <w:tcPr>
            <w:tcW w:w="1929" w:type="dxa"/>
            <w:tcBorders>
              <w:top w:val="single" w:color="auto" w:sz="4" w:space="0"/>
              <w:bottom w:val="single" w:color="auto" w:sz="4" w:space="0"/>
            </w:tcBorders>
            <w:shd w:val="clear" w:color="auto" w:fill="auto"/>
            <w:vAlign w:val="bottom"/>
          </w:tcPr>
          <w:p w14:paraId="469BD721">
            <w:pPr>
              <w:widowControl w:val="0"/>
              <w:spacing w:before="0" w:after="0" w:line="240" w:lineRule="auto"/>
              <w:ind w:firstLine="0"/>
              <w:jc w:val="center"/>
              <w:rPr>
                <w:rFonts w:hint="default" w:eastAsia="宋体"/>
                <w:sz w:val="18"/>
                <w:szCs w:val="18"/>
                <w:lang w:val="en-US" w:eastAsia="zh-CN"/>
              </w:rPr>
            </w:pPr>
            <w:r>
              <w:rPr>
                <w:rFonts w:asciiTheme="minorHAnsi" w:hAnsiTheme="minorHAnsi" w:eastAsiaTheme="minorEastAsia"/>
                <w:kern w:val="2"/>
                <w:sz w:val="18"/>
                <w:szCs w:val="18"/>
                <w:lang w:val="en-US" w:eastAsia="zh-CN"/>
              </w:rPr>
              <w:t>532024150155</w:t>
            </w:r>
          </w:p>
        </w:tc>
      </w:tr>
    </w:tbl>
    <w:p w14:paraId="6CCED3BA">
      <w:pPr>
        <w:spacing w:before="0" w:after="360"/>
        <w:jc w:val="center"/>
        <w:rPr>
          <w:b/>
          <w:spacing w:val="-20"/>
          <w:sz w:val="52"/>
        </w:rPr>
      </w:pPr>
      <w:r>
        <w:rPr>
          <w:b/>
          <w:spacing w:val="-20"/>
          <w:sz w:val="52"/>
        </w:rPr>
        <w:drawing>
          <wp:inline distT="0" distB="0" distL="114300" distR="114300">
            <wp:extent cx="1380490" cy="1243330"/>
            <wp:effectExtent l="0" t="0" r="16510" b="1270"/>
            <wp:docPr id="12" name="图片 1" descr="04校标，中文校名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04校标，中文校名组合"/>
                    <pic:cNvPicPr>
                      <a:picLocks noChangeAspect="1"/>
                    </pic:cNvPicPr>
                  </pic:nvPicPr>
                  <pic:blipFill>
                    <a:blip r:embed="rId7"/>
                    <a:stretch>
                      <a:fillRect/>
                    </a:stretch>
                  </pic:blipFill>
                  <pic:spPr>
                    <a:xfrm>
                      <a:off x="0" y="0"/>
                      <a:ext cx="1380490" cy="1243330"/>
                    </a:xfrm>
                    <a:prstGeom prst="rect">
                      <a:avLst/>
                    </a:prstGeom>
                    <a:noFill/>
                    <a:ln>
                      <a:noFill/>
                    </a:ln>
                  </pic:spPr>
                </pic:pic>
              </a:graphicData>
            </a:graphic>
          </wp:inline>
        </w:drawing>
      </w:r>
    </w:p>
    <w:p w14:paraId="78EE35E2">
      <w:pPr>
        <w:jc w:val="center"/>
        <w:rPr>
          <w:rFonts w:ascii="华文中宋" w:hAnsi="华文中宋" w:eastAsia="华文中宋"/>
          <w:b/>
          <w:sz w:val="56"/>
        </w:rPr>
      </w:pPr>
      <w:r>
        <w:rPr>
          <w:rFonts w:hint="eastAsia" w:ascii="华文中宋" w:hAnsi="华文中宋" w:eastAsia="华文中宋"/>
          <w:b/>
          <w:sz w:val="56"/>
        </w:rPr>
        <w:t>硕 士 学 位 论 文</w:t>
      </w:r>
    </w:p>
    <w:p w14:paraId="00BAED98">
      <w:pPr>
        <w:tabs>
          <w:tab w:val="left" w:pos="1320"/>
        </w:tabs>
        <w:spacing w:line="360" w:lineRule="auto"/>
        <w:ind w:left="0" w:leftChars="0" w:firstLine="0" w:firstLineChars="0"/>
        <w:rPr>
          <w:rFonts w:eastAsia="楷体_GB2312"/>
          <w:b/>
          <w:sz w:val="52"/>
        </w:rPr>
      </w:pPr>
    </w:p>
    <w:tbl>
      <w:tblPr>
        <w:tblStyle w:val="33"/>
        <w:tblW w:w="7534" w:type="dxa"/>
        <w:tblInd w:w="1077" w:type="dxa"/>
        <w:tblLayout w:type="autofit"/>
        <w:tblCellMar>
          <w:top w:w="0" w:type="dxa"/>
          <w:left w:w="108" w:type="dxa"/>
          <w:bottom w:w="0" w:type="dxa"/>
          <w:right w:w="108" w:type="dxa"/>
        </w:tblCellMar>
      </w:tblPr>
      <w:tblGrid>
        <w:gridCol w:w="2466"/>
        <w:gridCol w:w="5068"/>
      </w:tblGrid>
      <w:tr w14:paraId="6F37C62B">
        <w:trPr>
          <w:trHeight w:val="663" w:hRule="atLeast"/>
        </w:trPr>
        <w:tc>
          <w:tcPr>
            <w:tcW w:w="2466" w:type="dxa"/>
            <w:shd w:val="clear" w:color="auto" w:fill="auto"/>
            <w:vAlign w:val="bottom"/>
          </w:tcPr>
          <w:p w14:paraId="71636939">
            <w:pPr>
              <w:rPr>
                <w:rFonts w:ascii="楷体" w:hAnsi="楷体" w:eastAsia="楷体"/>
                <w:b/>
                <w:spacing w:val="66"/>
                <w:sz w:val="32"/>
              </w:rPr>
            </w:pPr>
            <w:r>
              <w:rPr>
                <w:rFonts w:hint="eastAsia" w:ascii="楷体" w:hAnsi="楷体" w:eastAsia="楷体"/>
                <w:b/>
                <w:spacing w:val="66"/>
                <w:sz w:val="32"/>
              </w:rPr>
              <w:t>论文题目</w:t>
            </w:r>
          </w:p>
        </w:tc>
        <w:tc>
          <w:tcPr>
            <w:tcW w:w="5068" w:type="dxa"/>
            <w:tcBorders>
              <w:bottom w:val="single" w:color="auto" w:sz="4" w:space="0"/>
            </w:tcBorders>
            <w:shd w:val="clear" w:color="auto" w:fill="auto"/>
            <w:vAlign w:val="bottom"/>
          </w:tcPr>
          <w:p w14:paraId="161AF72A">
            <w:pPr>
              <w:ind w:left="0" w:leftChars="0" w:firstLine="0" w:firstLineChars="0"/>
              <w:jc w:val="center"/>
              <w:rPr>
                <w:rFonts w:eastAsia="楷体_GB2312"/>
                <w:spacing w:val="66"/>
                <w:sz w:val="32"/>
                <w:u w:val="single"/>
              </w:rPr>
            </w:pPr>
            <w:r>
              <w:rPr>
                <w:rFonts w:ascii="楷体" w:hAnsi="楷体" w:eastAsia="楷体" w:cs="Times New Roman"/>
                <w:b/>
                <w:sz w:val="32"/>
              </w:rPr>
              <w:t>C公司充电桩选址问题研究</w:t>
            </w:r>
          </w:p>
        </w:tc>
      </w:tr>
      <w:tr w14:paraId="7746482A">
        <w:trPr>
          <w:trHeight w:val="639" w:hRule="atLeast"/>
        </w:trPr>
        <w:tc>
          <w:tcPr>
            <w:tcW w:w="2466" w:type="dxa"/>
            <w:shd w:val="clear" w:color="auto" w:fill="auto"/>
            <w:vAlign w:val="bottom"/>
          </w:tcPr>
          <w:p w14:paraId="081DCC41">
            <w:pPr>
              <w:rPr>
                <w:rFonts w:ascii="楷体" w:hAnsi="楷体" w:eastAsia="楷体"/>
                <w:b/>
                <w:spacing w:val="66"/>
                <w:sz w:val="32"/>
              </w:rPr>
            </w:pPr>
            <w:r>
              <w:rPr>
                <w:rFonts w:hint="eastAsia" w:ascii="楷体" w:hAnsi="楷体" w:eastAsia="楷体"/>
                <w:b/>
                <w:spacing w:val="66"/>
                <w:sz w:val="32"/>
              </w:rPr>
              <w:t>作者姓名</w:t>
            </w:r>
          </w:p>
        </w:tc>
        <w:tc>
          <w:tcPr>
            <w:tcW w:w="5068" w:type="dxa"/>
            <w:tcBorders>
              <w:top w:val="single" w:color="auto" w:sz="4" w:space="0"/>
              <w:bottom w:val="single" w:color="auto" w:sz="4" w:space="0"/>
            </w:tcBorders>
            <w:shd w:val="clear" w:color="auto" w:fill="auto"/>
            <w:vAlign w:val="bottom"/>
          </w:tcPr>
          <w:p w14:paraId="4CCA9E8F">
            <w:pPr>
              <w:tabs>
                <w:tab w:val="center" w:pos="2755"/>
                <w:tab w:val="left" w:pos="3840"/>
              </w:tabs>
              <w:ind w:left="0" w:leftChars="0" w:firstLine="0" w:firstLineChars="0"/>
              <w:jc w:val="center"/>
              <w:rPr>
                <w:rFonts w:hint="eastAsia" w:eastAsia="楷体_GB2312"/>
                <w:b/>
                <w:spacing w:val="66"/>
                <w:sz w:val="32"/>
                <w:lang w:val="en-US" w:eastAsia="zh-CN"/>
              </w:rPr>
            </w:pPr>
            <w:r>
              <w:rPr>
                <w:rFonts w:hint="eastAsia" w:ascii="楷体" w:hAnsi="楷体" w:eastAsia="楷体" w:cs="Times New Roman"/>
                <w:b/>
                <w:sz w:val="32"/>
                <w:lang w:val="en-US" w:eastAsia="zh-CN"/>
              </w:rPr>
              <w:t>于琮源</w:t>
            </w:r>
          </w:p>
        </w:tc>
      </w:tr>
      <w:tr w14:paraId="36EC3B49">
        <w:trPr>
          <w:trHeight w:val="663" w:hRule="atLeast"/>
        </w:trPr>
        <w:tc>
          <w:tcPr>
            <w:tcW w:w="2466" w:type="dxa"/>
            <w:shd w:val="clear" w:color="auto" w:fill="auto"/>
            <w:tcFitText/>
            <w:vAlign w:val="bottom"/>
          </w:tcPr>
          <w:p w14:paraId="2AA6058F">
            <w:pPr>
              <w:jc w:val="both"/>
              <w:rPr>
                <w:rFonts w:ascii="楷体" w:hAnsi="楷体" w:eastAsia="楷体"/>
                <w:b/>
                <w:spacing w:val="0"/>
                <w:kern w:val="0"/>
                <w:sz w:val="32"/>
              </w:rPr>
            </w:pPr>
            <w:r>
              <w:rPr>
                <w:rFonts w:hint="eastAsia" w:ascii="楷体" w:hAnsi="楷体" w:eastAsia="楷体"/>
                <w:b/>
                <w:spacing w:val="63"/>
                <w:w w:val="39"/>
                <w:kern w:val="0"/>
                <w:sz w:val="32"/>
                <w:szCs w:val="24"/>
                <w:lang w:eastAsia="zh-CN"/>
              </w:rPr>
              <w:t>专业学位类别（领域</w:t>
            </w:r>
            <w:r>
              <w:rPr>
                <w:rFonts w:hint="eastAsia" w:ascii="楷体" w:hAnsi="楷体" w:eastAsia="楷体"/>
                <w:b/>
                <w:spacing w:val="0"/>
                <w:w w:val="39"/>
                <w:kern w:val="0"/>
                <w:sz w:val="32"/>
              </w:rPr>
              <w:t>）</w:t>
            </w:r>
          </w:p>
        </w:tc>
        <w:tc>
          <w:tcPr>
            <w:tcW w:w="5068" w:type="dxa"/>
            <w:tcBorders>
              <w:top w:val="single" w:color="auto" w:sz="4" w:space="0"/>
              <w:bottom w:val="single" w:color="auto" w:sz="4" w:space="0"/>
            </w:tcBorders>
            <w:shd w:val="clear" w:color="auto" w:fill="auto"/>
            <w:vAlign w:val="bottom"/>
          </w:tcPr>
          <w:p w14:paraId="674ECCE9">
            <w:pPr>
              <w:ind w:left="0" w:leftChars="0" w:firstLine="0" w:firstLineChars="0"/>
              <w:jc w:val="center"/>
              <w:rPr>
                <w:rFonts w:eastAsia="楷体_GB2312"/>
                <w:b/>
                <w:spacing w:val="66"/>
                <w:sz w:val="32"/>
              </w:rPr>
            </w:pPr>
            <w:r>
              <w:rPr>
                <w:rFonts w:ascii="楷体" w:hAnsi="楷体" w:eastAsia="楷体" w:cs="Times New Roman"/>
                <w:b/>
                <w:sz w:val="32"/>
              </w:rPr>
              <w:t>工程管理</w:t>
            </w:r>
          </w:p>
        </w:tc>
      </w:tr>
      <w:tr w14:paraId="6A8A423F">
        <w:trPr>
          <w:trHeight w:val="663" w:hRule="atLeast"/>
        </w:trPr>
        <w:tc>
          <w:tcPr>
            <w:tcW w:w="2466" w:type="dxa"/>
            <w:shd w:val="clear" w:color="auto" w:fill="auto"/>
            <w:vAlign w:val="bottom"/>
          </w:tcPr>
          <w:p w14:paraId="1766B774">
            <w:pPr>
              <w:rPr>
                <w:rFonts w:ascii="楷体" w:hAnsi="楷体" w:eastAsia="楷体"/>
                <w:b/>
                <w:spacing w:val="66"/>
                <w:sz w:val="32"/>
              </w:rPr>
            </w:pPr>
            <w:r>
              <w:rPr>
                <w:rFonts w:hint="eastAsia" w:ascii="楷体" w:hAnsi="楷体" w:eastAsia="楷体"/>
                <w:b/>
                <w:spacing w:val="66"/>
                <w:sz w:val="32"/>
              </w:rPr>
              <w:t>研究方向</w:t>
            </w:r>
          </w:p>
        </w:tc>
        <w:tc>
          <w:tcPr>
            <w:tcW w:w="5068" w:type="dxa"/>
            <w:tcBorders>
              <w:top w:val="single" w:color="auto" w:sz="4" w:space="0"/>
              <w:bottom w:val="single" w:color="auto" w:sz="4" w:space="0"/>
            </w:tcBorders>
            <w:shd w:val="clear" w:color="auto" w:fill="auto"/>
            <w:vAlign w:val="bottom"/>
          </w:tcPr>
          <w:p w14:paraId="418DC615">
            <w:pPr>
              <w:ind w:left="0" w:leftChars="0" w:firstLine="0" w:firstLineChars="0"/>
              <w:jc w:val="center"/>
              <w:rPr>
                <w:rFonts w:hint="default" w:eastAsia="楷体_GB2312"/>
                <w:b/>
                <w:spacing w:val="66"/>
                <w:sz w:val="32"/>
                <w:lang w:val="en-US" w:eastAsia="zh-CN"/>
              </w:rPr>
            </w:pPr>
            <w:r>
              <w:rPr>
                <w:rFonts w:hint="eastAsia" w:ascii="楷体" w:hAnsi="楷体" w:eastAsia="楷体" w:cs="Times New Roman"/>
                <w:b/>
                <w:sz w:val="32"/>
                <w:lang w:val="en-US" w:eastAsia="zh-CN"/>
              </w:rPr>
              <w:t>项目管理</w:t>
            </w:r>
          </w:p>
        </w:tc>
      </w:tr>
      <w:tr w14:paraId="384D45FF">
        <w:trPr>
          <w:trHeight w:val="663" w:hRule="atLeast"/>
        </w:trPr>
        <w:tc>
          <w:tcPr>
            <w:tcW w:w="2466" w:type="dxa"/>
            <w:shd w:val="clear" w:color="auto" w:fill="auto"/>
            <w:vAlign w:val="bottom"/>
          </w:tcPr>
          <w:p w14:paraId="7957578D">
            <w:pPr>
              <w:rPr>
                <w:rFonts w:ascii="楷体" w:hAnsi="楷体" w:eastAsia="楷体"/>
                <w:b/>
                <w:spacing w:val="66"/>
                <w:sz w:val="32"/>
              </w:rPr>
            </w:pPr>
            <w:r>
              <w:rPr>
                <w:rFonts w:hint="eastAsia" w:ascii="楷体" w:hAnsi="楷体" w:eastAsia="楷体"/>
                <w:b/>
                <w:spacing w:val="66"/>
                <w:sz w:val="32"/>
              </w:rPr>
              <w:t>导师姓名</w:t>
            </w:r>
          </w:p>
        </w:tc>
        <w:tc>
          <w:tcPr>
            <w:tcW w:w="5068" w:type="dxa"/>
            <w:tcBorders>
              <w:top w:val="single" w:color="auto" w:sz="4" w:space="0"/>
              <w:bottom w:val="single" w:color="auto" w:sz="4" w:space="0"/>
            </w:tcBorders>
            <w:shd w:val="clear" w:color="auto" w:fill="auto"/>
            <w:vAlign w:val="bottom"/>
          </w:tcPr>
          <w:p w14:paraId="45EC9CEF">
            <w:pPr>
              <w:ind w:left="0" w:leftChars="0" w:firstLine="0" w:firstLineChars="0"/>
              <w:jc w:val="center"/>
              <w:rPr>
                <w:rFonts w:hint="eastAsia" w:eastAsia="楷体_GB2312"/>
                <w:b/>
                <w:spacing w:val="66"/>
                <w:sz w:val="32"/>
                <w:lang w:val="en-US" w:eastAsia="zh-CN"/>
              </w:rPr>
            </w:pPr>
            <w:r>
              <w:rPr>
                <w:rFonts w:hint="eastAsia" w:ascii="楷体" w:hAnsi="楷体" w:eastAsia="楷体" w:cs="Times New Roman"/>
                <w:b/>
                <w:sz w:val="32"/>
                <w:lang w:val="en-US" w:eastAsia="zh-CN"/>
              </w:rPr>
              <w:t>赵佳宝</w:t>
            </w:r>
          </w:p>
        </w:tc>
      </w:tr>
    </w:tbl>
    <w:p w14:paraId="364AEACE">
      <w:pPr>
        <w:spacing w:before="0" w:after="360"/>
        <w:ind w:left="0" w:leftChars="0" w:firstLine="0" w:firstLineChars="0"/>
        <w:jc w:val="both"/>
        <w:rPr>
          <w:b/>
          <w:spacing w:val="-20"/>
          <w:sz w:val="52"/>
        </w:rPr>
      </w:pPr>
    </w:p>
    <w:p w14:paraId="0BD31E0D">
      <w:pPr>
        <w:spacing w:before="0" w:after="360"/>
        <w:ind w:left="0" w:leftChars="0" w:firstLine="0" w:firstLineChars="0"/>
        <w:jc w:val="both"/>
        <w:rPr>
          <w:b/>
          <w:spacing w:val="-20"/>
          <w:sz w:val="52"/>
        </w:rPr>
      </w:pPr>
    </w:p>
    <w:p w14:paraId="2F8E8FF7">
      <w:pPr>
        <w:jc w:val="center"/>
        <w:rPr>
          <w:rFonts w:ascii="楷体" w:hAnsi="楷体" w:eastAsia="楷体"/>
          <w:b/>
          <w:sz w:val="28"/>
        </w:rPr>
      </w:pPr>
      <w:r>
        <w:rPr>
          <w:rFonts w:hint="eastAsia" w:ascii="楷体" w:hAnsi="楷体" w:eastAsia="楷体"/>
          <w:b/>
          <w:bCs/>
          <w:sz w:val="28"/>
          <w:szCs w:val="28"/>
          <w:lang w:val="en-US" w:eastAsia="zh-CN"/>
        </w:rPr>
        <w:t>2026</w:t>
      </w:r>
      <w:r>
        <w:rPr>
          <w:rFonts w:hint="eastAsia" w:ascii="楷体" w:hAnsi="楷体" w:eastAsia="楷体"/>
          <w:b/>
          <w:sz w:val="28"/>
        </w:rPr>
        <w:t>年</w:t>
      </w:r>
      <w:r>
        <w:rPr>
          <w:rFonts w:hint="eastAsia" w:ascii="楷体" w:hAnsi="楷体" w:eastAsia="楷体"/>
          <w:b/>
          <w:sz w:val="28"/>
          <w:lang w:val="en-US" w:eastAsia="zh-CN"/>
        </w:rPr>
        <w:t>06</w:t>
      </w:r>
      <w:r>
        <w:rPr>
          <w:rFonts w:hint="eastAsia" w:ascii="楷体" w:hAnsi="楷体" w:eastAsia="楷体"/>
          <w:b/>
          <w:sz w:val="28"/>
        </w:rPr>
        <w:t xml:space="preserve"> 月</w:t>
      </w:r>
      <w:r>
        <w:rPr>
          <w:rFonts w:hint="eastAsia" w:ascii="楷体" w:hAnsi="楷体" w:eastAsia="楷体"/>
          <w:b/>
          <w:sz w:val="28"/>
          <w:lang w:val="en-US" w:eastAsia="zh-CN"/>
        </w:rPr>
        <w:t>15</w:t>
      </w:r>
      <w:r>
        <w:rPr>
          <w:rFonts w:hint="eastAsia" w:ascii="楷体" w:hAnsi="楷体" w:eastAsia="楷体"/>
          <w:b/>
          <w:sz w:val="28"/>
        </w:rPr>
        <w:t>日</w:t>
      </w:r>
    </w:p>
    <w:p w14:paraId="11A3FE0E">
      <w:pPr>
        <w:spacing w:before="0" w:after="360"/>
        <w:ind w:left="1440" w:leftChars="0" w:firstLine="720" w:firstLineChars="0"/>
        <w:jc w:val="both"/>
        <w:rPr>
          <w:b/>
          <w:spacing w:val="-20"/>
          <w:sz w:val="52"/>
        </w:rPr>
      </w:pPr>
    </w:p>
    <w:p w14:paraId="5CAAB16D">
      <w:pPr>
        <w:snapToGrid/>
        <w:spacing w:before="0" w:beforeAutospacing="0" w:after="0" w:afterAutospacing="0" w:line="360" w:lineRule="auto"/>
        <w:ind w:left="0" w:leftChars="0" w:right="0" w:rightChars="0" w:firstLine="0" w:firstLineChars="0"/>
        <w:jc w:val="center"/>
        <w:rPr>
          <w:rFonts w:ascii="Times New Roman" w:eastAsia="楷体_GB2312"/>
          <w:b/>
          <w:sz w:val="36"/>
        </w:rPr>
      </w:pPr>
      <w:r>
        <w:rPr>
          <w:rFonts w:ascii="Times New Roman" w:hAnsi="Times New Roman" w:eastAsia="楷体_GB2312"/>
          <w:b/>
          <w:sz w:val="36"/>
        </w:rPr>
        <w:t>C公司充电桩选址问题研究</w:t>
      </w:r>
    </w:p>
    <w:p w14:paraId="35F895B0">
      <w:pPr>
        <w:pStyle w:val="3"/>
        <w:snapToGrid/>
        <w:spacing w:before="0" w:beforeAutospacing="0" w:after="0" w:afterAutospacing="0" w:line="360" w:lineRule="auto"/>
        <w:ind w:left="0" w:leftChars="0" w:right="0" w:rightChars="0" w:firstLine="0" w:firstLineChars="0"/>
        <w:jc w:val="center"/>
        <w:rPr>
          <w:rFonts w:ascii="Times New Roman" w:eastAsia="黑体"/>
          <w:b w:val="0"/>
          <w:color w:val="auto"/>
          <w:sz w:val="28"/>
        </w:rPr>
      </w:pPr>
      <w:r>
        <w:rPr>
          <w:rFonts w:ascii="Times New Roman" w:eastAsia="黑体"/>
          <w:b w:val="0"/>
          <w:color w:val="auto"/>
          <w:sz w:val="28"/>
        </w:rPr>
        <w:t>摘要</w:t>
      </w:r>
    </w:p>
    <w:p w14:paraId="27FD4BF9">
      <w:pPr>
        <w:snapToGrid/>
        <w:spacing w:before="0" w:beforeAutospacing="0" w:after="0" w:afterAutospacing="0" w:line="360" w:lineRule="auto"/>
        <w:ind w:left="0" w:leftChars="0" w:right="0" w:rightChars="0" w:firstLine="480" w:firstLineChars="200"/>
        <w:jc w:val="both"/>
        <w:rPr>
          <w:rFonts w:ascii="楷体" w:eastAsia="楷体"/>
          <w:sz w:val="28"/>
        </w:rPr>
      </w:pPr>
      <w:r>
        <w:rPr>
          <w:rFonts w:ascii="楷体" w:eastAsia="楷体"/>
          <w:b w:val="0"/>
          <w:i w:val="0"/>
          <w:sz w:val="24"/>
        </w:rPr>
        <w:t>随着城市短途出行需求的持续增长，电动自行车已成为居民日常通勤的重要工具。与之相伴的是社区充电需求快速上升，但现有社区充电基础设施在布局合理性、建设成本控制和运营效率提升等方面仍存在明显不足。C公司作为社区电动自行车充电桩运营企业，已在南京、深圳、徐州等地开展业务布局。在实际扩张过程中，公司选址工作较多依赖经验判断，缺乏统一的评价模型和标准化的决策流程，导致不同城市和不同社区项目在安装成本、利用率、维护投入和投资回收周期等方面差异显著。基于此，本文以C公司为研究对象，围绕社区电动自行车充电桩选址问题，系统研究选址影响因素识别、成本结构分析以及综合评价模型构建问题。</w:t>
      </w:r>
    </w:p>
    <w:p w14:paraId="33535DE7">
      <w:pPr>
        <w:snapToGrid/>
        <w:spacing w:before="0" w:beforeAutospacing="0" w:after="0" w:afterAutospacing="0" w:line="360" w:lineRule="auto"/>
        <w:ind w:left="0" w:leftChars="0" w:right="0" w:rightChars="0" w:firstLine="480" w:firstLineChars="200"/>
        <w:jc w:val="both"/>
        <w:rPr>
          <w:rFonts w:ascii="楷体" w:eastAsia="楷体"/>
          <w:sz w:val="28"/>
        </w:rPr>
      </w:pPr>
      <w:r>
        <w:rPr>
          <w:rFonts w:ascii="楷体" w:eastAsia="楷体"/>
          <w:b w:val="0"/>
          <w:i w:val="0"/>
          <w:sz w:val="24"/>
        </w:rPr>
        <w:t>本文首先结合行业发展背景与企业实际需求，梳理社区电动自行车充电设施布局的研究意义与现实价值。其次，以公共设施选址理论、消费者行为理论、成本收益理论和可持续发展理论为基础，对相关文献进行系统综述。随后，基于C公司南京、深圳、徐州三地的运营数据和管理实践，分析企业现有充电桩运营状况、选址流程及主要问题。在此基础上，本文从需求侧、供给侧、环境与政策、技术与运营四个维度构建选址影响因素体系，并采用AHP法与熵权法进行组合赋权，形成综合权重矩阵。进一步地，本文对C公司三地项目的安装成本、维护成本及其差异成因进行结构化分析，初步揭示选址方案影响成本与收益的作用机制。</w:t>
      </w:r>
    </w:p>
    <w:p w14:paraId="08A1DDCF">
      <w:pPr>
        <w:snapToGrid/>
        <w:spacing w:before="0" w:beforeAutospacing="0" w:after="0" w:afterAutospacing="0" w:line="360" w:lineRule="auto"/>
        <w:ind w:left="0" w:leftChars="0" w:right="0" w:rightChars="0" w:firstLine="480" w:firstLineChars="200"/>
        <w:jc w:val="both"/>
        <w:rPr>
          <w:rFonts w:ascii="楷体" w:eastAsia="楷体"/>
          <w:sz w:val="28"/>
        </w:rPr>
      </w:pPr>
      <w:bookmarkStart w:id="0" w:name="_GoBack"/>
      <w:bookmarkEnd w:id="0"/>
      <w:r>
        <w:rPr>
          <w:rFonts w:ascii="楷体" w:eastAsia="楷体"/>
          <w:b w:val="0"/>
          <w:i w:val="0"/>
          <w:sz w:val="24"/>
        </w:rPr>
        <w:t>阶段性研究结果表明，用户需求密度、电力接入条件和物业协同程度是影响社区充电桩选址效果的关键因素。在跨城市扩张过程中，C公司站点的安装成本受人工费用、电力改造难度和市政施工条件影响显著；维护成本则因设备使用强度和社区类型不同而呈现差异化特征。由此可见，基于选址影响因素和成本变量构建综合评价模型具有较强可行性，能够为企业后续项目布局提供量化支持。当前，本文已完成绪论、理论基础与文献综述、企业运营现状分析、选址影响因素与成本结构分析，以及综合选址评价模型的指标体系与方法框架构建，约完成论文整体工作量的60%。后续将继续开展模型实证验证、布局优化策略提炼和全文修改完善工作。</w:t>
      </w:r>
    </w:p>
    <w:p w14:paraId="16D6B70C">
      <w:pPr>
        <w:snapToGrid/>
        <w:spacing w:before="0" w:beforeAutospacing="0" w:after="0" w:afterAutospacing="0" w:line="360" w:lineRule="auto"/>
        <w:ind w:left="0" w:leftChars="0" w:right="0" w:rightChars="0" w:firstLine="480" w:firstLineChars="200"/>
        <w:jc w:val="both"/>
        <w:rPr>
          <w:rFonts w:ascii="楷体" w:eastAsia="楷体"/>
          <w:sz w:val="28"/>
        </w:rPr>
      </w:pPr>
      <w:r>
        <w:rPr>
          <w:rFonts w:ascii="楷体" w:eastAsia="楷体"/>
          <w:b w:val="0"/>
          <w:i w:val="0"/>
          <w:sz w:val="24"/>
        </w:rPr>
        <w:t>**关键词**：电动自行车充电桩；选址评价；成本结构；AHP；熵权法；TOPSIS；社区基础设施</w:t>
      </w:r>
      <w:r>
        <w:rPr>
          <w:rFonts w:ascii="楷体" w:eastAsia="楷体"/>
          <w:b w:val="0"/>
          <w:i w:val="0"/>
          <w:sz w:val="24"/>
        </w:rPr>
        <w:br w:type="page"/>
      </w:r>
    </w:p>
    <w:p w14:paraId="700946C3"/>
    <w:p w14:paraId="005CB078">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第1章 绪论</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社区电动自行车充电设施的快速发展，使站点布局由单纯的设备建设问题逐步转变为兼顾公共安全、用户需求与企业经营效率的综合决策问题。基于这一现实背景，本章首先说明研究问题的提出过程，进而梳理研究目的、研究意义与国内外研究现状，并介绍本文的研究内容、研究方法、技术路线及创新点，为后续理论分析和企业案例研究奠定基础。</w:t>
      </w:r>
    </w:p>
    <w:p w14:paraId="2BB33D56">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1.1 研究背景</w:t>
      </w:r>
    </w:p>
    <w:p w14:paraId="52326214">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1.1.1 行业发展背景</w:t>
      </w:r>
    </w:p>
    <w:p w14:paraId="6CBD1AB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近年来，随着我国城市化进程持续推进以及居民绿色出行意识不断增强，电动自行车因其购置成本低、通行灵活、停放便捷等优势，已成为城市短距离出行的重要交通工具。在大量居民日常通勤、生活购物和接驳地铁公交等场景中，电动自行车的使用频率不断提升，其保有量和使用强度也保持增长态势。与车辆保有量增长相对应的是社区充电需求的迅速扩大，尤其是在高密度居住社区、老旧小区以及外来人口聚集区域，充电设施供需矛盾日益突出。</w:t>
      </w:r>
    </w:p>
    <w:p w14:paraId="5FE4F82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与汽车充电设施相比，社区电动自行车充电设施具有使用频次高、单次充电金额低、分布场景分散、物业协调要求强等特点。其站点选址不仅关系到用户充电便利性和设备利用率，还与消防安全、场地改造难度、物业协同水平以及后续维护成本密切相关。因此，社区电动自行车充电设施并不是简单意义上的设备铺设问题，而是一个同时涉及公共安全、社区治理、居民服务和企业投资回报的综合管理问题。</w:t>
      </w:r>
    </w:p>
    <w:p w14:paraId="221AE7A0">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1.1.2 政策与安全背景</w:t>
      </w:r>
    </w:p>
    <w:p w14:paraId="13AAF53B">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近年来，多地因“飞线充电”“入户充电”等问题引发火灾事故，社区电动自行车充电安全问题受到社会高度关注。国家及地方政府不断强化对电动自行车停放和充电行为的规范管理，推动社区集中充电设施建设，将其纳入基层治理、消防整治和便民服务体系。政策导向为充电桩企业带来了较大的市场空间，但同时也提高了项目合规性、建设标准和运营管理的要求。</w:t>
      </w:r>
    </w:p>
    <w:p w14:paraId="420D682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在这一背景下，企业若仅依靠传统经验进行站点布局，很容易出现“建得出、用不好、收不回”的问题。一方面，若选址偏离真实需求区域，设备利用率不足，会直接影响项目收益；另一方面，若前期忽视电力接入、消防条件、物业态度和社区结构差异，则可能造成安装成本失控、后期维护压力加大甚至项目推进受阻。因此，如何构建适用于社区场景的科学选址方法，已经成为电动自行车充电运营企业提升扩张质量的关键。</w:t>
      </w:r>
    </w:p>
    <w:p w14:paraId="1FA15AA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1.1.3 企业实践背景</w:t>
      </w:r>
    </w:p>
    <w:p w14:paraId="4CF5DDC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C公司目前已在南京、深圳、徐州等城市开展社区电动自行车充电桩业务。作为一家处于扩张阶段的运营企业，C公司在前期项目开发中积累了一定实践经验，也暴露出明显问题：一是不同城市、不同社区站点的安装成本差异较大，成本管控难度高；二是站点利用率和收益水平波动明显，部分项目未能实现预期回报；三是现有选址决策较多依赖业务人员经验判断，缺乏统一的指标体系和量化评价工具，导致成功经验难以复制，扩张效率受到限制。</w:t>
      </w:r>
    </w:p>
    <w:p w14:paraId="074C3E5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因此，以C公司为样本研究社区电动自行车充电桩选址问题，不仅具有较强的实践针对性，也有助于从企业管理视角补充现有研究中关于社区细分场景、成本约束和多城市扩张问题的不足。</w:t>
      </w:r>
    </w:p>
    <w:p w14:paraId="151692A5">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1.2 研究目的与意义</w:t>
      </w:r>
    </w:p>
    <w:p w14:paraId="5695C27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1.2.1 研究目的</w:t>
      </w:r>
    </w:p>
    <w:p w14:paraId="25EC1DFC">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本文的总体目标是围绕C公司社区电动自行车充电桩业务，构建一套兼顾需求特征、建设约束与成本收益平衡的选址分析框架。具体而言，本文拟实现以下几个方面的研究目的：</w:t>
      </w:r>
    </w:p>
    <w:p w14:paraId="73C560B0">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第一，系统识别影响社区电动自行车充电桩选址效果的关键因素，构建结构化的选址影响因素体系。</w:t>
      </w:r>
    </w:p>
    <w:p w14:paraId="1B37F983">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第二，结合C公司三地运营数据，对安装成本与维护成本进行拆解，形成可比较、可迁移的成本结构分析框架。</w:t>
      </w:r>
    </w:p>
    <w:p w14:paraId="4653A25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第三，基于选址因素和成本变量，搭建综合评价模型，为后续站点优选和扩张决策提供方法基础。</w:t>
      </w:r>
    </w:p>
    <w:p w14:paraId="517F253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第四，总结C公司既有站点布局经验，为企业后续在新城市和新社区中开展标准化复制提供参考依据。</w:t>
      </w:r>
    </w:p>
    <w:p w14:paraId="454E0F7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1.2.2 理论意义</w:t>
      </w:r>
    </w:p>
    <w:p w14:paraId="08D0664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现有充电设施选址研究主要聚焦于新能源汽车充电站、城市级网络布局或一般公共设施优化模型，对于社区电动自行车充电桩这一细分场景的研究相对不足。尤其在选址因素识别、运维成本分析以及社区治理因素嵌入等方面，尚未形成成熟统一的研究框架。本文以C公司为案例，从社区运营场景出发，将需求、成本、物业协同和政策环境等因素纳入同一分析框架，有助于丰富社区微观场景下公共设施选址研究的内容。</w:t>
      </w:r>
    </w:p>
    <w:p w14:paraId="7A0B9C8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此外，本文尝试将AHP法、熵权法与综合评价方法结合，用于社区电动自行车充电桩选址分析，这对于拓展多准则决策方法在该领域中的应用也具有一定参考价值。</w:t>
      </w:r>
    </w:p>
    <w:p w14:paraId="5C3C1CAC">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1.2.3 实践意义</w:t>
      </w:r>
    </w:p>
    <w:p w14:paraId="1022DEB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企业实践角度看，本文的研究结果能够帮助C公司解决当前扩张中的三个核心问题：一是提高选址决策的标准化程度，减少过度依赖个人经验导致的判断偏差；二是增强成本测算和项目预估能力，为投资决策、预算管理和风险控制提供依据；三是总结可复制的选址规律，提升企业跨城市布局和规模扩张的效率。</w:t>
      </w:r>
    </w:p>
    <w:p w14:paraId="7AD751D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从社会治理角度看，社区充电设施的科学布局有助于改善居民充电便利性，降低私拉乱接带来的安全风险，提升社区公共服务水平。因此，本文研究也具有一定的公共价值。</w:t>
      </w:r>
    </w:p>
    <w:p w14:paraId="7E888E84">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1.3 国内外研究现状</w:t>
      </w:r>
    </w:p>
    <w:p w14:paraId="75D8B6FC">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1.3.1 充电设施选址研究现状</w:t>
      </w:r>
    </w:p>
    <w:p w14:paraId="1814E820">
      <w:pPr>
        <w:snapToGrid/>
        <w:spacing w:before="0" w:beforeAutospacing="0" w:after="0" w:afterAutospacing="0" w:line="360" w:lineRule="auto"/>
        <w:ind w:left="0" w:leftChars="0" w:right="0" w:rightChars="0" w:firstLine="480" w:firstLineChars="200"/>
        <w:jc w:val="both"/>
        <w:rPr>
          <w:rFonts w:ascii="Times New Roman" w:eastAsia="宋体"/>
          <w:sz w:val="24"/>
        </w:rPr>
      </w:pPr>
      <w:r>
        <w:t>国内充电设施选址研究已经从传统经验判断逐步发展为融合时空需求、用户行为、交通网络、配电网约束和低碳目标的综合优化。相关研究采用综述分析、Huff模型、多主体利益模型、V2G协同、动态需求、Voronoi图和智能算法等方法构建选址定容模型</w:t>
      </w:r>
      <w:r>
        <w:rPr>
          <w:vertAlign w:val="superscript"/>
        </w:rPr>
        <w:t>[1-12]</w:t>
      </w:r>
      <w:r>
        <w:t>。</w:t>
      </w:r>
    </w:p>
    <w:p w14:paraId="59195A6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研究对象看，现有成果以新能源汽车充电站为主，研究场景通常包括城市道路网、商业区、交通枢纽和区域级充电网络布局等。与之相比，电动自行车充电桩尤其是社区场景下的选址研究明显不足。社区场景具有高频分散、需求受居住结构影响显著、物业协调约束强、消防要求具体且刚性的特征，这使得汽车充电站的研究结论不能被直接照搬。</w:t>
      </w:r>
    </w:p>
    <w:p w14:paraId="4A9BFAD4">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1.3.2 成本建模研究现状</w:t>
      </w:r>
    </w:p>
    <w:p w14:paraId="117A1D2B">
      <w:pPr>
        <w:snapToGrid/>
        <w:spacing w:before="0" w:beforeAutospacing="0" w:after="0" w:afterAutospacing="0" w:line="360" w:lineRule="auto"/>
        <w:ind w:left="0" w:leftChars="0" w:right="0" w:rightChars="0" w:firstLine="480" w:firstLineChars="200"/>
        <w:jc w:val="both"/>
        <w:rPr>
          <w:rFonts w:ascii="Times New Roman" w:eastAsia="宋体"/>
          <w:sz w:val="24"/>
        </w:rPr>
      </w:pPr>
      <w:r>
        <w:t>在评价与运营方法方面，研究者将排队时间、充电成本、有效容量、GPS轨迹、安全风险、有序充放电、需求响应、多源数据和不确定性等纳入充电设施决策过程，为选址评价、容量配置和分阶段建设提供了方法支持</w:t>
      </w:r>
      <w:r>
        <w:rPr>
          <w:vertAlign w:val="superscript"/>
        </w:rPr>
        <w:t>[13-20]</w:t>
      </w:r>
      <w:r>
        <w:t>。</w:t>
      </w:r>
    </w:p>
    <w:p w14:paraId="274044B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但是，针对社区电动自行车充电设施的成本分析仍较为薄弱。现有研究普遍存在两个缺口：一是缺乏将选址因素与成本差异联系起来的系统分析；二是对不同城市、不同社区类型之间成本可比性的研究较少。对企业而言，这正是实际决策最为关注的问题。</w:t>
      </w:r>
    </w:p>
    <w:p w14:paraId="20774CC3">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1.3.3 多城市比较研究现状</w:t>
      </w:r>
    </w:p>
    <w:p w14:paraId="267EC08C">
      <w:pPr>
        <w:snapToGrid/>
        <w:spacing w:before="0" w:beforeAutospacing="0" w:after="0" w:afterAutospacing="0" w:line="360" w:lineRule="auto"/>
        <w:ind w:left="0" w:leftChars="0" w:right="0" w:rightChars="0" w:firstLine="480" w:firstLineChars="200"/>
        <w:jc w:val="both"/>
        <w:rPr>
          <w:rFonts w:ascii="Times New Roman" w:eastAsia="宋体"/>
          <w:sz w:val="24"/>
        </w:rPr>
      </w:pPr>
      <w:r>
        <w:t>国外研究同样关注用户与投资者博弈、GIS多准则决策、配电网影响、交通电网协同、建设运营成本、动态需求和不确定条件下的多目标优化，为构建综合选址评价框架提供了补充依据</w:t>
      </w:r>
      <w:r>
        <w:rPr>
          <w:vertAlign w:val="superscript"/>
        </w:rPr>
        <w:t>[21-30]</w:t>
      </w:r>
      <w:r>
        <w:t>。</w:t>
      </w:r>
    </w:p>
    <w:p w14:paraId="5EE016F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对于C公司这类处于扩张阶段的运营企业而言，真正需要解决的是“如何将已有城市的成功经验转化为新城市的可复制标准”，这不仅需要经验总结，更需要以数据和模型为支撑的量化分析。</w:t>
      </w:r>
    </w:p>
    <w:p w14:paraId="6CC74FF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1.3.4 研究评述</w:t>
      </w:r>
    </w:p>
    <w:p w14:paraId="605562FD">
      <w:pPr>
        <w:snapToGrid/>
        <w:spacing w:before="0" w:beforeAutospacing="0" w:after="0" w:afterAutospacing="0" w:line="360" w:lineRule="auto"/>
        <w:ind w:left="0" w:leftChars="0" w:right="0" w:rightChars="0" w:firstLine="480" w:firstLineChars="200"/>
        <w:jc w:val="both"/>
        <w:rPr>
          <w:rFonts w:ascii="Times New Roman" w:eastAsia="宋体"/>
          <w:sz w:val="24"/>
        </w:rPr>
      </w:pPr>
      <w:r>
        <w:t>总体来看，现有研究为本文提供了较好的理论和方法基础，但仍存在以下不足：第一，针对社区电动自行车充电桩场景的研究深度不够；第二，选址影响因素、成本结构和企业扩张决策三者尚未形成统一分析框架；第三，社区物业协同、安全风险和场地改造条件尚未被充分纳入现有充电设施规划模型</w:t>
      </w:r>
      <w:r>
        <w:rPr>
          <w:vertAlign w:val="superscript"/>
        </w:rPr>
        <w:t>[1-30]</w:t>
      </w:r>
      <w:r>
        <w:t>。</w:t>
      </w:r>
    </w:p>
    <w:p w14:paraId="129ACAE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因此，本文将以C公司为案例，围绕社区场景、企业运营和多城市扩张三个关键词展开研究，力求使研究更加贴近企业真实决策问题。</w:t>
      </w:r>
    </w:p>
    <w:p w14:paraId="2684CA93">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1.4 研究内容、方法与技术路线</w:t>
      </w:r>
    </w:p>
    <w:p w14:paraId="7584E3BC">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1.4.1 研究内容</w:t>
      </w:r>
    </w:p>
    <w:p w14:paraId="0AD03C5B">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本文主要围绕以下四个方面开展研究：</w:t>
      </w:r>
    </w:p>
    <w:p w14:paraId="24FC26C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第一，分析行业背景与研究问题，明确社区电动自行车充电桩选址研究的现实意义。</w:t>
      </w:r>
    </w:p>
    <w:p w14:paraId="4284858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第二，基于相关理论和文献，对社区充电设施选址、成本分析与布局优化问题进行系统梳理。</w:t>
      </w:r>
    </w:p>
    <w:p w14:paraId="611B97B2">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第三，结合C公司南京、深圳、徐州三地运营实践，分析企业现有站点布局、选址流程、主要问题以及成本结构。</w:t>
      </w:r>
    </w:p>
    <w:p w14:paraId="10B317D9">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第四，构建选址影响因素体系和综合评价模型，为后续站点优选、成本控制和扩张复制提供方法基础。</w:t>
      </w:r>
    </w:p>
    <w:p w14:paraId="13BFAB84">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1.4.2 研究方法</w:t>
      </w:r>
    </w:p>
    <w:p w14:paraId="33B848B2">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本文主要采用以下研究方法：</w:t>
      </w:r>
    </w:p>
    <w:p w14:paraId="175FC8D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（1）文献研究法。通过梳理国内外相关研究成果，明确现有研究进展与不足，为本文构建理论基础和研究框架。</w:t>
      </w:r>
    </w:p>
    <w:p w14:paraId="34D4EE9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（2）案例分析法。以C公司为案例对象，结合企业在南京、深圳、徐州三地的真实运营数据和管理实践，开展针对性分析。</w:t>
      </w:r>
    </w:p>
    <w:p w14:paraId="4D21AE7C">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（3）数据分析法。对站点分布、利用率、安装成本、维护成本和用户反馈等数据进行整理与比较分析，识别主要影响因素。</w:t>
      </w:r>
    </w:p>
    <w:p w14:paraId="2C09E782">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（4）多准则决策方法。采用AHP法和熵权法进行组合赋权，后续结合TOPSIS法构建综合选址评价模型。</w:t>
      </w:r>
    </w:p>
    <w:p w14:paraId="2A3BA51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1.4.3 技术路线</w:t>
      </w:r>
    </w:p>
    <w:p w14:paraId="70D8C1F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的技术路线可概括为：提出问题，梳理理论与文献；分析企业运营现状，识别管理痛点；构建选址影响因素体系并进行权重测算；对成本结构和差异成因进行分析；在此基础上建立综合评价模型，并为后续实证验证与策略优化提供基础。</w:t>
      </w:r>
    </w:p>
    <w:p w14:paraId="09675BDF">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1.5 研究创新点</w:t>
      </w:r>
    </w:p>
    <w:p w14:paraId="57A383C9">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结合当前研究进展与C公司实际需求，本文的创新点主要体现在以下三个方面：</w:t>
      </w:r>
    </w:p>
    <w:p w14:paraId="3D30188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第一，研究对象聚焦于社区电动自行车充电桩这一细分场景，与以往新能源汽车充电站研究形成区分，更贴近基层社区和企业运营实际。</w:t>
      </w:r>
    </w:p>
    <w:p w14:paraId="43B6E5E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第二，将选址影响因素、安装成本、维护成本和企业扩张复制问题纳入同一研究框架，突出“选址因素—成本结构—综合决策”的逻辑链条。</w:t>
      </w:r>
    </w:p>
    <w:p w14:paraId="2E8842D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第三，以企业真实运营数据为基础，尝试构建兼具可操作性和可推广性的评价模型，为企业跨城市扩张提供更具实务价值的管理工具。</w:t>
      </w:r>
    </w:p>
    <w:p w14:paraId="592B5854">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1.6 本章小结</w:t>
      </w:r>
    </w:p>
    <w:p w14:paraId="5803E36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章围绕研究背景、研究意义、国内外研究现状、研究内容与方法等方面展开论述，明确了本文的研究问题与基本思路。可以看出，社区电动自行车充电桩选址问题兼具公共治理属性和企业经营属性，既关系到居民充电安全与便利，也关系到企业成本控制和扩张效率。现有研究虽已形成一定基础，但仍难以直接解释C公司在社区场景下的实际管理问题。后续章节将在理论与案例结合的基础上，对企业运营现状、选址因素和成本结构展开进一步分析。</w:t>
      </w:r>
    </w:p>
    <w:p w14:paraId="0C6AABCB">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第2章 理论基础与文献综述</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上一章明确了C公司社区电动自行车充电桩选址研究的现实背景、研究问题与整体思路。为了为后续企业运营现状分析和选址评价模型构建提供理论依据，本章将界定研究涉及的核心概念，梳理公共设施选址、消费者行为、成本收益与可持续发展等相关理论，并在系统评述国内外研究成果的基础上提炼本文的研究启示。</w:t>
      </w:r>
    </w:p>
    <w:p w14:paraId="10CEB750">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2.1 核心概念界定</w:t>
      </w:r>
    </w:p>
    <w:p w14:paraId="4B7EAB4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2.1.1 电动自行车充电桩</w:t>
      </w:r>
    </w:p>
    <w:p w14:paraId="0D69239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文所称电动自行车充电桩，主要指设置于居民社区、公共停车区域或其他高频使用场景中，面向电动自行车提供集中、安全、规范充电服务的基础设施。其形式包括集中式充电柜、简易充电端口和具备远程管理能力的智能充电设备。与汽车充电站相比，电动自行车充电桩在功率、单次收益、场地要求和运营频次方面具有明显差异。</w:t>
      </w:r>
    </w:p>
    <w:p w14:paraId="2FC77B8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2.1.2 选址评价</w:t>
      </w:r>
    </w:p>
    <w:p w14:paraId="610DF63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选址评价是指在多个备选位置中，围绕需求、成本、约束、安全、收益等因素建立评价指标体系，并运用定性与定量相结合的方法，对备选站点进行综合判断和排序的过程。对社区电动自行车充电桩而言，选址评价不仅是地理位置选择，更是对用户需求、物业协作、电力接入、消防条件和投资回报的综合平衡。</w:t>
      </w:r>
    </w:p>
    <w:p w14:paraId="4EF7713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2.1.3 成本结构</w:t>
      </w:r>
    </w:p>
    <w:p w14:paraId="65457E1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成本结构是指项目在建设、运营和维护过程中各类成本构成及其比例关系。本文将C公司项目成本划分为安装成本和维护成本两大部分，并进一步拆解为设备采购、土建布线、电力接入、物业协调、故障维修、损耗件更换、巡检维护等具体子项，以分析不同城市和不同社区项目之间的差异来源。</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在明确电动自行车充电桩、选址评价与成本结构等核心概念后，以下进一步梳理解释选址决策及其经济、社会影响的相关理论，为指标识别和模型构建提供分析依据。</w:t>
      </w:r>
    </w:p>
    <w:p w14:paraId="3DD526E4">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2.2 相关理论基础</w:t>
      </w:r>
    </w:p>
    <w:p w14:paraId="7FE8D2C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2.2.1 公共设施选址理论</w:t>
      </w:r>
    </w:p>
    <w:p w14:paraId="72C910B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公共设施选址理论是研究如何在空间范围内合理布设资源，以实现服务效率、覆盖公平和成本最优的理论基础。该理论强调设施选址应综合考虑需求分布、服务半径、建设成本、可达性与外部约束等因素。对于社区电动自行车充电设施而言，其服务对象具有明显的居民集聚特征，因此公共设施选址理论能够为站点布局的空间合理性提供解释框架。</w:t>
      </w:r>
    </w:p>
    <w:p w14:paraId="1A07212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2.2.2 消费者行为理论</w:t>
      </w:r>
    </w:p>
    <w:p w14:paraId="3511031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消费者行为理论强调用户的购买与使用决策会受到便利性、价格感知、习惯、风险认知和替代选择等因素影响。社区居民是否愿意使用集中充电设施，不仅取决于设施是否存在，更取决于位置是否方便、等待成本是否可接受、价格是否合理以及使用体验是否稳定。引入消费者行为理论，有助于解释为什么同样数量的设备在不同社区会出现利用率差异。</w:t>
      </w:r>
    </w:p>
    <w:p w14:paraId="0F89D9A4">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2.2.3 成本收益理论</w:t>
      </w:r>
    </w:p>
    <w:p w14:paraId="7278135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成本收益理论强调在资源配置和投资决策中，需要对投入与产出进行系统比较。对C公司而言，选址方案的优劣不应只看建成与否，还应综合考虑安装成本、维护支出、利用率、收入水平和投资回收周期。将成本收益理论引入研究，有助于建立兼顾经济性与可行性的评价框架。</w:t>
      </w:r>
    </w:p>
    <w:p w14:paraId="150AF19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2.2.4 可持续发展理论</w:t>
      </w:r>
    </w:p>
    <w:p w14:paraId="77E12E6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社区电动自行车充电设施的建设不仅具有企业盈利属性，还具有公共安全治理、绿色低碳出行保障和社区服务改善等社会功能。可持续发展理论强调经济、社会和环境效益的统一，能够为本文从更广阔视角理解充电设施布局问题提供支持。</w:t>
      </w:r>
    </w:p>
    <w:p w14:paraId="01079857">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2.3 国内外研究综述</w:t>
      </w:r>
    </w:p>
    <w:p w14:paraId="7BC2628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2.3.1 选址影响因素研究</w:t>
      </w:r>
    </w:p>
    <w:p w14:paraId="4C40BD42">
      <w:pPr>
        <w:snapToGrid/>
        <w:spacing w:before="0" w:beforeAutospacing="0" w:after="0" w:afterAutospacing="0" w:line="360" w:lineRule="auto"/>
        <w:ind w:left="0" w:leftChars="0" w:right="0" w:rightChars="0" w:firstLine="480" w:firstLineChars="200"/>
        <w:jc w:val="both"/>
        <w:rPr>
          <w:rFonts w:ascii="Times New Roman" w:eastAsia="宋体"/>
          <w:sz w:val="24"/>
        </w:rPr>
      </w:pPr>
      <w:r>
        <w:t>相关研究普遍认为，需求强度、服务半径、交通便利性、用户选择行为、建设成本、配电网约束和低碳目标是影响充电设施选址的重要变量</w:t>
      </w:r>
      <w:r>
        <w:rPr>
          <w:vertAlign w:val="superscript"/>
        </w:rPr>
        <w:t>[1-15]</w:t>
      </w:r>
      <w:r>
        <w:t>。在社区场景中，物业配合程度、消防安全、居民结构和场地改造难度等因素的重要性进一步上升。这说明社区电动自行车充电桩选址具有更强的场景依赖性，必须建立符合具体业务特征的指标体系。</w:t>
      </w:r>
    </w:p>
    <w:p w14:paraId="45949E7B">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2.3.2 选址模型与方法研究</w:t>
      </w:r>
    </w:p>
    <w:p w14:paraId="7173F384">
      <w:pPr>
        <w:snapToGrid/>
        <w:spacing w:before="0" w:beforeAutospacing="0" w:after="0" w:afterAutospacing="0" w:line="360" w:lineRule="auto"/>
        <w:ind w:left="0" w:leftChars="0" w:right="0" w:rightChars="0" w:firstLine="480" w:firstLineChars="200"/>
        <w:jc w:val="both"/>
        <w:rPr>
          <w:rFonts w:ascii="Times New Roman" w:eastAsia="宋体"/>
          <w:sz w:val="24"/>
        </w:rPr>
      </w:pPr>
      <w:r>
        <w:t>在模型方法上，层次分析法适用于处理专家判断和指标层级结构，客观赋权及综合评价方法可用于反映指标差异并完成方案排序。相关研究还引入模糊评价、粒子群算法、需求响应、多源数据、博弈模型、GIS、多目标优化和需求预测等方法，以增强模型对复杂问题的处理能力[16-30]。</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基于上述方法的适用特点，本文选择AHP法、熵权法和TOPSIS法进行组合评价。该组合方法操作性较强、计算逻辑清晰，较适合C公司现阶段的选址决策需求。</w:t>
      </w:r>
    </w:p>
    <w:p w14:paraId="3A23505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2.3.3 运营与布局研究</w:t>
      </w:r>
    </w:p>
    <w:p w14:paraId="74D78FD3">
      <w:pPr>
        <w:snapToGrid/>
        <w:spacing w:before="0" w:beforeAutospacing="0" w:after="0" w:afterAutospacing="0" w:line="360" w:lineRule="auto"/>
        <w:ind w:left="0" w:leftChars="0" w:right="0" w:rightChars="0" w:firstLine="480" w:firstLineChars="200"/>
        <w:jc w:val="both"/>
        <w:rPr>
          <w:rFonts w:ascii="Times New Roman" w:eastAsia="宋体"/>
          <w:sz w:val="24"/>
        </w:rPr>
      </w:pPr>
      <w:r>
        <w:t>关于充电设施运营与布局的研究，一方面关注成本、交通流、服务覆盖和设施利用效率，另一方面关注安全风险、需求响应和分阶段建设。已有研究表明，布局优化不仅能改善用户服务水平，还会影响设备使用效率、运行安全和后续维护强度</w:t>
      </w:r>
      <w:r>
        <w:rPr>
          <w:vertAlign w:val="superscript"/>
        </w:rPr>
        <w:t>[1-30]</w:t>
      </w:r>
      <w:r>
        <w:t>。但现有结论多数来源于汽车充电站或城市公共充电网络，对于社区电动自行车微观运营场景的适配性仍有限。</w:t>
      </w:r>
    </w:p>
    <w:p w14:paraId="2C1E7FE2">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2.4 文献述评与研究启示</w:t>
      </w:r>
    </w:p>
    <w:p w14:paraId="75EB4763">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通过文献梳理可以发现，现有研究为本文提供了三个重要启示：第一，选址问题必须构建多维指标体系，不能仅从单一成本或需求视角判断；第二，成本因素与收益因素应同步纳入评价模型，才能更符合企业决策逻辑；第三，案例研究尤其是企业真实数据研究，对于提升模型实用性和落地性具有重要价值。</w:t>
      </w:r>
    </w:p>
    <w:p w14:paraId="0EFC517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同时，文献研究也提示本文在后续实证阶段应关注两个问题：一是避免照搬宏观场景研究结论，应强化社区属性和物业协同因素；二是对跨城市差异的解释不仅要有经验判断，也要有数据支撑。</w:t>
      </w:r>
    </w:p>
    <w:p w14:paraId="2120E725">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2.5 本章小结</w:t>
      </w:r>
    </w:p>
    <w:p w14:paraId="05ECFE1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章对本文涉及的核心概念进行了界定，并从公共设施选址理论、消费者行为理论、成本收益理论和可持续发展理论四个方面构建理论基础。通过文献综述可以看出，社区电动自行车充电桩选址问题兼具空间布局和企业经营双重属性，现有研究在方法上具备借鉴价值，但在社区细分场景、成本结构和跨城市扩张问题上仍存在不足。这为后续从C公司真实案例出发开展研究奠定了基础。</w:t>
      </w:r>
    </w:p>
    <w:p w14:paraId="2B55FB62">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第3章 C公司充电桩运营现状分析</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在完成核心概念界定和相关理论梳理后，有必要进一步将理论认识落实到C公司的实际运营场景中。因此，本章将从公司业务概况、站点运营现状、现有选址策略与操作流程入手，识别C公司在选址、成本管理和跨城市扩张方面存在的主要问题及其成因，为后续影响因素识别和成本结构分析提供现实依据。</w:t>
      </w:r>
    </w:p>
    <w:p w14:paraId="6F1D4997">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3.1 C公司概况</w:t>
      </w:r>
    </w:p>
    <w:p w14:paraId="27D5ED6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3.1.1 公司业务发展概况</w:t>
      </w:r>
    </w:p>
    <w:p w14:paraId="2BF0EF1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C公司是一家以社区电动自行车充电设施投资、建设和运营为主营业务的企业。公司业务重点围绕社区便民服务和安全充电场景展开，主要通过与物业、社区管理方和场地提供方合作，在居民聚集区域布局集中充电设施。随着市场需求扩大和政策支持力度增强，公司逐步推进跨城市扩张，在南京、深圳、徐州等地形成了阶段性的项目布局。</w:t>
      </w:r>
    </w:p>
    <w:p w14:paraId="2450E08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3.1.2 公司充电桩业务特点</w:t>
      </w:r>
    </w:p>
    <w:p w14:paraId="133AB65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与大型公共充电设施企业相比，C公司的业务更强调社区渗透和项目精细化运营，其站点通常分布在老旧小区、新建商品房小区以及复合型居住社区。由于社区结构、物业管理水平和居民使用习惯差异较大，站点间运营表现并不完全一致。这决定了公司必须同时具备前端开发能力、项目落地能力和后续运维能力。</w:t>
      </w:r>
    </w:p>
    <w:p w14:paraId="113FDBED">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3.2 C公司充电桩运营现状</w:t>
      </w:r>
    </w:p>
    <w:p w14:paraId="3AC81A5A">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3.2.1 站点分布与场景特征</w:t>
      </w:r>
    </w:p>
    <w:p w14:paraId="21FF1BF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根据公司现有业务布局，南京、深圳、徐州三地已经形成一定规模的社区站点网络。三地项目所处城市层级、社区类型和物业环境差异明显。南京项目总体较为均衡，既有成熟社区也有新建社区；深圳项目处于人口密度高、人工成本高、物业要求高的环境中；徐州项目则更多分布于成本相对较低、社区协作较为稳定的区域。</w:t>
      </w:r>
    </w:p>
    <w:p w14:paraId="6534811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项目场景看，C公司当前服务对象主要为居住型社区用户，使用行为呈现出“高频、短时、刚需”的特征。居民对站点位置、充电便利性和安全性的敏感度较高，而对服务半径、设备故障率和费用水平的容忍度较低。这决定了站点布局必须更加贴近用户生活路径。</w:t>
      </w:r>
    </w:p>
    <w:p w14:paraId="670456CB">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3.2.2 运营数据与用户反馈特征</w:t>
      </w:r>
    </w:p>
    <w:p w14:paraId="4CE2C8D3">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阶段性运营情况看，三地站点的使用效率存在明显差异。部分站点在高峰时段出现排队使用现象，而部分站点则存在设备闲置。用户活跃度与社区人口密度、电动自行车保有量、上下班出行规律以及物业宣传配合程度关系密切。</w:t>
      </w:r>
    </w:p>
    <w:p w14:paraId="3B5819C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用户反馈角度看，居民普遍关注以下几个方面：一是站点是否足够近，是否需要绕行；二是充电设备是否稳定，是否存在故障或支付不便；三是充电区域是否安全、整洁，是否影响日常通行。这说明用户对充电设施的评价并不仅仅基于是否“有设备”，还包含服务体验和社区环境感知。</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上述运营现状反映了不同城市和社区站点在使用效率与用户体验方面的差异。为进一步解释这些差异的形成原因，以下从C公司现有选址依据、操作流程及其局限性展开分析。</w:t>
      </w:r>
    </w:p>
    <w:p w14:paraId="15F5ED8C">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3.3 C公司现有选址策略与流程</w:t>
      </w:r>
    </w:p>
    <w:p w14:paraId="486FC1C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3.3.1 当前选址依据</w:t>
      </w:r>
    </w:p>
    <w:p w14:paraId="339E7B0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C公司当前项目开发阶段主要依赖业务人员进行前期踏勘和经验判断。常见判断依据包括社区规模、居民车辆数量、物业态度、可施工空间、电力接入可行性以及周边竞争设施情况。这些因素基本覆盖了选址决策的核心维度，但在具体项目中缺乏统一评价标准，不同人员对同一指标的理解和权重认知可能存在差异。</w:t>
      </w:r>
    </w:p>
    <w:p w14:paraId="698D6B1D">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3.3.2 当前操作流程</w:t>
      </w:r>
    </w:p>
    <w:p w14:paraId="23CDE60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现有流程看，C公司的项目开发通常包括需求发现、现场勘查、物业沟通、施工条件确认、内部评估、设备安装和后续运营几个阶段。其中，前期勘查和内部评估环节对最终项目成败影响最为明显。一旦在选址阶段低估了场地限制、消防问题或物业协调难度，后续安装推进和运维稳定性就可能受到较大影响。</w:t>
      </w:r>
    </w:p>
    <w:p w14:paraId="1548A915">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3.3.3 现有流程的局限性</w:t>
      </w:r>
    </w:p>
    <w:p w14:paraId="0CF8D2B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尽管现有流程具备一定实操经验基础，但仍存在三个明显局限。第一，评价口径不统一，导致不同城市、不同团队之间难以横向比较项目优劣；第二，缺乏数据沉淀与结构化复盘，使得历史项目经验难以转化为标准规则；第三，成本与收益因素未形成联动分析，容易出现“需求好但落地难”或“能建成但回报弱”的情况。</w:t>
      </w:r>
    </w:p>
    <w:p w14:paraId="46538828">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3.4 C公司运营中存在的问题与原因</w:t>
      </w:r>
    </w:p>
    <w:p w14:paraId="342D02CF">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3.4.1 选址方面存在的问题</w:t>
      </w:r>
    </w:p>
    <w:p w14:paraId="095B4FC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一是过度依赖经验。经验判断在项目早期具有一定效率优势，但当企业进入多城市扩张阶段时，单纯依靠经验容易导致判断标准不稳定，成功经验难以复制。</w:t>
      </w:r>
    </w:p>
    <w:p w14:paraId="23B4170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二是核心因素识别不充分。在部分项目中，对电力接入条件、物业协同程度和后续维护便利性的重视程度不足，导致项目在建成后出现成本超预期或运维困难。</w:t>
      </w:r>
    </w:p>
    <w:p w14:paraId="29442C7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三是项目优选能力不足。面对多个备选社区，缺乏统一的指标体系和评分模型，不利于做出更优资源配置。</w:t>
      </w:r>
    </w:p>
    <w:p w14:paraId="586AB3C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3.4.2 成本管理方面存在的问题</w:t>
      </w:r>
    </w:p>
    <w:p w14:paraId="1CE215FB">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在安装成本管理方面，不同城市项目的成本差异明显，且部分成本项在前期测算中难以准确预估，尤其是电力改造、市政施工和物业协调相关成本。因此，公司难以在项目启动前形成可靠的投资预算。</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在维护成本管理方面，现有维护数据的记录粒度不够细，使企业对后续成本结构和变化规律的把握仍不充分，难以支撑精细化预算控制。</w:t>
      </w:r>
    </w:p>
    <w:p w14:paraId="6BE55CFB">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3.4.3 扩张复制方面存在的问题</w:t>
      </w:r>
    </w:p>
    <w:p w14:paraId="083A762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企业在一个城市取得成功，并不意味着能够在另一城市直接复制。城市人口结构、人工成本水平、政策环境、物业管理模式和居民使用习惯的差异，使得扩张面临较强的不确定性。若缺乏标准化方法，企业不仅扩张效率会下降，还可能因项目质量不稳定带来管理风险。</w:t>
      </w:r>
    </w:p>
    <w:p w14:paraId="5C73BE40">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3.4.4 问题成因分析</w:t>
      </w:r>
    </w:p>
    <w:p w14:paraId="6404886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内部看，问题主要源于公司尚未建立系统化的选址评价和项目复盘机制，经验虽然丰富，但未形成可复用的知识体系。从外部看，不同城市和不同社区场景差异明显，政策、物业、用户行为和基础设施条件的变化，使得项目开发天然具有复杂性。因此，必须通过模型化和结构化方法提升决策质量。</w:t>
      </w:r>
    </w:p>
    <w:p w14:paraId="3D0407B8">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3.5 本章小结</w:t>
      </w:r>
    </w:p>
    <w:p w14:paraId="73101DC7">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章从企业角度系统分析了C公司的业务概况、现有运营状况、选址流程及主要问题。研究表明，C公司已具备一定社区充电业务基础，但在选址标准化、成本预测和扩张复制能力方面仍存在明显短板。企业现有痛点既来源于内部管理工具不足，也受到外部环境复杂性的影响。基于这些现实问题，后续章节将进一步识别影响选址成效的关键因素，并对成本结构进行深入分析。</w:t>
      </w:r>
    </w:p>
    <w:p w14:paraId="1817E8CB">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第4章 选址影响因素与成本结构分析</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上一章的案例分析表明，C公司现有选址决策面临标准不统一、成本预测不足和扩张经验难以复制等问题。针对这些问题，本章将进一步识别影响社区充电桩选址成效的关键因素，分析各因素的相对重要性，并结合南京、深圳和徐州三地项目数据研究安装成本、维护成本及其差异成因，从而揭示选址条件影响成本与收益的具体机制。</w:t>
      </w:r>
    </w:p>
    <w:p w14:paraId="3A1CA735">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4.1 选址影响因素识别</w:t>
      </w:r>
    </w:p>
    <w:p w14:paraId="2700883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4.1.1 需求侧因素</w:t>
      </w:r>
    </w:p>
    <w:p w14:paraId="6BE807C0">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需求侧因素是影响社区电动自行车充电桩选址成效的直接基础。对于社区场景而言，电动自行车保有量、用户充电频率、日常出行规律和高峰时段分布共同决定了站点潜在需求规模。若目标区域电动自行车保有量高、居民夜间集中充电需求明显，则站点更有可能形成较高利用率。</w:t>
      </w:r>
    </w:p>
    <w:p w14:paraId="701D1E7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同时，社区人口密度和居住结构也会影响需求强度。例如，通勤型居民较多的社区，其充电需求往往呈现明显的晚间高峰；而老龄化程度较高或流动性较弱的社区，需求释放节奏可能相对平缓。因此，需求侧因素不仅决定“有没有人用”，也影响“何时使用”和“使用多频繁”。</w:t>
      </w:r>
    </w:p>
    <w:p w14:paraId="40B9A1D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4.1.2 供给侧因素</w:t>
      </w:r>
    </w:p>
    <w:p w14:paraId="3E3BEC9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供给侧因素主要包括场地可获得性、租金或场地使用成本、电力接入条件和周边竞争充电设施情况。对于C公司而言，可施工空间是否具备、场地位置是否合理、电源接入是否便捷，往往直接决定项目能否顺利落地。</w:t>
      </w:r>
    </w:p>
    <w:p w14:paraId="2D907D5D">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其中，电力接入条件是供给侧因素中的核心约束。若社区既有配电条件不足，或需要进行复杂电力改造，则安装成本和施工周期都会显著增加。</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除电力接入条件外，场地租金与物业收费政策会影响项目的长期收益水平。同时，周边同类充电设施的数量决定了市场竞争强度；若现有设施较多，新增项目的边际收益可能下降。</w:t>
      </w:r>
    </w:p>
    <w:p w14:paraId="00454E2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4.1.3 环境与政策因素</w:t>
      </w:r>
    </w:p>
    <w:p w14:paraId="38CAFA43">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环境与政策因素包括消防安全条件、区域规划要求、交通便利性以及地方支持政策等。社区充电设施具有明显的安全敏感属性，因此选址必须满足消防通道、设备间距、停放秩序等要求。对于部分老旧小区而言，场地虽然需求高，但若消防改造难度过大，也可能不具备项目可行性。</w:t>
      </w:r>
    </w:p>
    <w:p w14:paraId="7FD7AD6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政策环境则会影响项目推进效率和合规成本。若地方政府鼓励社区集中充电设施建设，且物业和街道层面支持力度较高，则企业更容易开展项目合作。相反，若审批和协调流程复杂，项目实施成本就会提高。</w:t>
      </w:r>
    </w:p>
    <w:p w14:paraId="6A09E206">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4.1.4 技术与运营因素</w:t>
      </w:r>
    </w:p>
    <w:p w14:paraId="5D121E52">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技术与运营因素主要包括设备安装便利性、后续维护便利性、网络信号覆盖以及物业协同程度。社区站点不同于一次性施工项目，其后续运营和维护是持续发生的。因此，一个“能建成”的位置并不一定是“值得长期运营”的位置。若设备维护不便、弱电环境差、物业配合差，则故障处理效率和用户满意度都可能下降。</w:t>
      </w:r>
    </w:p>
    <w:p w14:paraId="28469E0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物业协同程度在社区场景中尤为关键。物业不仅决定项目能否进入社区，也会影响场地使用管理、设备日常秩序维护和居民接受程度。因此，物业关系并非外部附加条件，而是选址评价中的重要变量。</w:t>
      </w:r>
    </w:p>
    <w:p w14:paraId="709571E5">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4.2 关键因素筛选与权重分析</w:t>
      </w:r>
    </w:p>
    <w:p w14:paraId="13BF221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4.2.1 因素筛选逻辑</w:t>
      </w:r>
    </w:p>
    <w:p w14:paraId="33BAD1A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在广泛识别因素的基础上，本文结合文献研究、企业调研和项目经验，对选址因素进行筛选。筛选原则主要包括：一是与社区电动自行车充电桩场景具有直接相关性；二是能够在项目开发阶段被识别和判断；三是对成本、利用率和后续运营结果具有显著影响；四是具备一定可量化性，便于后续模型构建。</w:t>
      </w:r>
    </w:p>
    <w:p w14:paraId="71338B2B">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经筛选后，本文将选址影响因素归纳为需求侧因素、供给侧因素、环境与政策因素、技术与运营因素四个一级维度，并进一步形成若干二级指标。</w:t>
      </w:r>
    </w:p>
    <w:p w14:paraId="673644A9">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4.2.2 组合赋权方法</w:t>
      </w:r>
    </w:p>
    <w:p w14:paraId="356EFBA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为了避免单纯依赖主观判断或客观数据造成偏差，本文采用AHP法与熵权法相结合的方式开展组合赋权。AHP法主要用于反映管理人员和行业专家对指标相对重要性的判断，熵权法则利用实际运营数据识别指标差异性，从而增强权重结果的客观性。最后，通过线性加权方式融合主客观权重，形成综合权重矩阵。</w:t>
      </w:r>
    </w:p>
    <w:p w14:paraId="7FB27AF0">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4.2.3 阶段性权重结果</w:t>
      </w:r>
    </w:p>
    <w:p w14:paraId="1F292B0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根据目前阶段性测算结果，一级指标权重及关键二级指标情况如表4-1所示。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105D6253">
        <w:trPr>
          <w:jc w:val="center"/>
        </w:trPr>
        <w:tc>
          <w:tcPr>
            <w:tcW w:w="2256" w:type="dxa"/>
            <w:shd w:val="clear" w:color="auto" w:fill="D9EAF7"/>
            <w:vAlign w:val="center"/>
          </w:tcPr>
          <w:p w14:paraId="6AF8BB25">
            <w:pPr>
              <w:jc w:val="center"/>
            </w:pPr>
            <w:r>
              <w:rPr>
                <w:rFonts w:ascii="Times New Roman" w:hAnsi="Times New Roman" w:eastAsia="宋体"/>
                <w:b/>
                <w:sz w:val="20"/>
              </w:rPr>
              <w:t>一级指标</w:t>
            </w:r>
          </w:p>
        </w:tc>
        <w:tc>
          <w:tcPr>
            <w:tcW w:w="2256" w:type="dxa"/>
            <w:shd w:val="clear" w:color="auto" w:fill="D9EAF7"/>
            <w:vAlign w:val="center"/>
          </w:tcPr>
          <w:p w14:paraId="46B2F5E8">
            <w:pPr>
              <w:jc w:val="center"/>
            </w:pPr>
            <w:r>
              <w:rPr>
                <w:rFonts w:ascii="Times New Roman" w:hAnsi="Times New Roman" w:eastAsia="宋体"/>
                <w:b/>
                <w:sz w:val="20"/>
              </w:rPr>
              <w:t>权重</w:t>
            </w:r>
          </w:p>
        </w:tc>
        <w:tc>
          <w:tcPr>
            <w:tcW w:w="2256" w:type="dxa"/>
            <w:shd w:val="clear" w:color="auto" w:fill="D9EAF7"/>
            <w:vAlign w:val="center"/>
          </w:tcPr>
          <w:p w14:paraId="17606878">
            <w:pPr>
              <w:jc w:val="center"/>
            </w:pPr>
            <w:r>
              <w:rPr>
                <w:rFonts w:ascii="Times New Roman" w:hAnsi="Times New Roman" w:eastAsia="宋体"/>
                <w:b/>
                <w:sz w:val="20"/>
              </w:rPr>
              <w:t>关键二级指标</w:t>
            </w:r>
          </w:p>
        </w:tc>
        <w:tc>
          <w:tcPr>
            <w:tcW w:w="2256" w:type="dxa"/>
            <w:shd w:val="clear" w:color="auto" w:fill="D9EAF7"/>
            <w:vAlign w:val="center"/>
          </w:tcPr>
          <w:p w14:paraId="0B8E2EF1">
            <w:pPr>
              <w:jc w:val="center"/>
            </w:pPr>
            <w:r>
              <w:rPr>
                <w:rFonts w:ascii="Times New Roman" w:hAnsi="Times New Roman" w:eastAsia="宋体"/>
                <w:b/>
                <w:sz w:val="20"/>
              </w:rPr>
              <w:t>权重</w:t>
            </w:r>
          </w:p>
        </w:tc>
      </w:tr>
      <w:tr w14:paraId="1F05D94C">
        <w:trPr>
          <w:jc w:val="center"/>
        </w:trPr>
        <w:tc>
          <w:tcPr>
            <w:tcW w:w="2256" w:type="dxa"/>
            <w:vAlign w:val="center"/>
          </w:tcPr>
          <w:p w14:paraId="16300B7E">
            <w:pPr>
              <w:jc w:val="center"/>
            </w:pPr>
            <w:r>
              <w:rPr>
                <w:rFonts w:ascii="Times New Roman" w:hAnsi="Times New Roman" w:eastAsia="宋体"/>
                <w:b w:val="0"/>
                <w:sz w:val="20"/>
              </w:rPr>
              <w:t>需求侧因素</w:t>
            </w:r>
          </w:p>
        </w:tc>
        <w:tc>
          <w:tcPr>
            <w:tcW w:w="2256" w:type="dxa"/>
            <w:vAlign w:val="center"/>
          </w:tcPr>
          <w:p w14:paraId="033B160E">
            <w:pPr>
              <w:jc w:val="center"/>
            </w:pPr>
            <w:r>
              <w:rPr>
                <w:rFonts w:ascii="Times New Roman" w:hAnsi="Times New Roman" w:eastAsia="宋体"/>
                <w:b w:val="0"/>
                <w:sz w:val="20"/>
              </w:rPr>
              <w:t>0.35</w:t>
            </w:r>
          </w:p>
        </w:tc>
        <w:tc>
          <w:tcPr>
            <w:tcW w:w="2256" w:type="dxa"/>
            <w:vAlign w:val="center"/>
          </w:tcPr>
          <w:p w14:paraId="682EE3F9">
            <w:pPr>
              <w:jc w:val="center"/>
            </w:pPr>
            <w:r>
              <w:rPr>
                <w:rFonts w:ascii="Times New Roman" w:hAnsi="Times New Roman" w:eastAsia="宋体"/>
                <w:b w:val="0"/>
                <w:sz w:val="20"/>
              </w:rPr>
              <w:t>电动自行车保有量与密度</w:t>
            </w:r>
          </w:p>
        </w:tc>
        <w:tc>
          <w:tcPr>
            <w:tcW w:w="2256" w:type="dxa"/>
            <w:vAlign w:val="center"/>
          </w:tcPr>
          <w:p w14:paraId="74D8698D">
            <w:pPr>
              <w:jc w:val="center"/>
            </w:pPr>
            <w:r>
              <w:rPr>
                <w:rFonts w:ascii="Times New Roman" w:hAnsi="Times New Roman" w:eastAsia="宋体"/>
                <w:b w:val="0"/>
                <w:sz w:val="20"/>
              </w:rPr>
              <w:t>0.15</w:t>
            </w:r>
          </w:p>
        </w:tc>
      </w:tr>
      <w:tr w14:paraId="0D4AA7C3">
        <w:trPr>
          <w:jc w:val="center"/>
        </w:trPr>
        <w:tc>
          <w:tcPr>
            <w:tcW w:w="2256" w:type="dxa"/>
            <w:vAlign w:val="center"/>
          </w:tcPr>
          <w:p w14:paraId="680A24AC">
            <w:pPr>
              <w:jc w:val="center"/>
            </w:pPr>
            <w:r>
              <w:rPr>
                <w:rFonts w:ascii="Times New Roman" w:hAnsi="Times New Roman" w:eastAsia="宋体"/>
                <w:b w:val="0"/>
                <w:sz w:val="20"/>
              </w:rPr>
              <w:t>需求侧因素</w:t>
            </w:r>
          </w:p>
        </w:tc>
        <w:tc>
          <w:tcPr>
            <w:tcW w:w="2256" w:type="dxa"/>
            <w:vAlign w:val="center"/>
          </w:tcPr>
          <w:p w14:paraId="70413C15">
            <w:pPr>
              <w:jc w:val="center"/>
            </w:pPr>
            <w:r>
              <w:rPr>
                <w:rFonts w:ascii="Times New Roman" w:hAnsi="Times New Roman" w:eastAsia="宋体"/>
                <w:b w:val="0"/>
                <w:sz w:val="20"/>
              </w:rPr>
              <w:t>0.35</w:t>
            </w:r>
          </w:p>
        </w:tc>
        <w:tc>
          <w:tcPr>
            <w:tcW w:w="2256" w:type="dxa"/>
            <w:vAlign w:val="center"/>
          </w:tcPr>
          <w:p w14:paraId="01E35129">
            <w:pPr>
              <w:jc w:val="center"/>
            </w:pPr>
            <w:r>
              <w:rPr>
                <w:rFonts w:ascii="Times New Roman" w:hAnsi="Times New Roman" w:eastAsia="宋体"/>
                <w:b w:val="0"/>
                <w:sz w:val="20"/>
              </w:rPr>
              <w:t>用户充电高峰时段匹配度</w:t>
            </w:r>
          </w:p>
        </w:tc>
        <w:tc>
          <w:tcPr>
            <w:tcW w:w="2256" w:type="dxa"/>
            <w:vAlign w:val="center"/>
          </w:tcPr>
          <w:p w14:paraId="692B8F81">
            <w:pPr>
              <w:jc w:val="center"/>
            </w:pPr>
            <w:r>
              <w:rPr>
                <w:rFonts w:ascii="Times New Roman" w:hAnsi="Times New Roman" w:eastAsia="宋体"/>
                <w:b w:val="0"/>
                <w:sz w:val="20"/>
              </w:rPr>
              <w:t>0.11</w:t>
            </w:r>
          </w:p>
        </w:tc>
      </w:tr>
      <w:tr w14:paraId="1B302DD8">
        <w:trPr>
          <w:jc w:val="center"/>
        </w:trPr>
        <w:tc>
          <w:tcPr>
            <w:tcW w:w="2256" w:type="dxa"/>
            <w:vAlign w:val="center"/>
          </w:tcPr>
          <w:p w14:paraId="1A04C2E8">
            <w:pPr>
              <w:jc w:val="center"/>
            </w:pPr>
            <w:r>
              <w:rPr>
                <w:rFonts w:ascii="Times New Roman" w:hAnsi="Times New Roman" w:eastAsia="宋体"/>
                <w:b w:val="0"/>
                <w:sz w:val="20"/>
              </w:rPr>
              <w:t>供给侧因素</w:t>
            </w:r>
          </w:p>
        </w:tc>
        <w:tc>
          <w:tcPr>
            <w:tcW w:w="2256" w:type="dxa"/>
            <w:vAlign w:val="center"/>
          </w:tcPr>
          <w:p w14:paraId="004E09FF">
            <w:pPr>
              <w:jc w:val="center"/>
            </w:pPr>
            <w:r>
              <w:rPr>
                <w:rFonts w:ascii="Times New Roman" w:hAnsi="Times New Roman" w:eastAsia="宋体"/>
                <w:b w:val="0"/>
                <w:sz w:val="20"/>
              </w:rPr>
              <w:t>0.28</w:t>
            </w:r>
          </w:p>
        </w:tc>
        <w:tc>
          <w:tcPr>
            <w:tcW w:w="2256" w:type="dxa"/>
            <w:vAlign w:val="center"/>
          </w:tcPr>
          <w:p w14:paraId="630F5F00">
            <w:pPr>
              <w:jc w:val="center"/>
            </w:pPr>
            <w:r>
              <w:rPr>
                <w:rFonts w:ascii="Times New Roman" w:hAnsi="Times New Roman" w:eastAsia="宋体"/>
                <w:b w:val="0"/>
                <w:sz w:val="20"/>
              </w:rPr>
              <w:t>电力接入条件与成本</w:t>
            </w:r>
          </w:p>
        </w:tc>
        <w:tc>
          <w:tcPr>
            <w:tcW w:w="2256" w:type="dxa"/>
            <w:vAlign w:val="center"/>
          </w:tcPr>
          <w:p w14:paraId="10F54423">
            <w:pPr>
              <w:jc w:val="center"/>
            </w:pPr>
            <w:r>
              <w:rPr>
                <w:rFonts w:ascii="Times New Roman" w:hAnsi="Times New Roman" w:eastAsia="宋体"/>
                <w:b w:val="0"/>
                <w:sz w:val="20"/>
              </w:rPr>
              <w:t>0.13</w:t>
            </w:r>
          </w:p>
        </w:tc>
      </w:tr>
      <w:tr w14:paraId="05BE209D">
        <w:trPr>
          <w:jc w:val="center"/>
        </w:trPr>
        <w:tc>
          <w:tcPr>
            <w:tcW w:w="2256" w:type="dxa"/>
            <w:vAlign w:val="center"/>
          </w:tcPr>
          <w:p w14:paraId="20CDF764">
            <w:pPr>
              <w:jc w:val="center"/>
            </w:pPr>
            <w:r>
              <w:rPr>
                <w:rFonts w:ascii="Times New Roman" w:hAnsi="Times New Roman" w:eastAsia="宋体"/>
                <w:b w:val="0"/>
                <w:sz w:val="20"/>
              </w:rPr>
              <w:t>供给侧因素</w:t>
            </w:r>
          </w:p>
        </w:tc>
        <w:tc>
          <w:tcPr>
            <w:tcW w:w="2256" w:type="dxa"/>
            <w:vAlign w:val="center"/>
          </w:tcPr>
          <w:p w14:paraId="52BB734A">
            <w:pPr>
              <w:jc w:val="center"/>
            </w:pPr>
            <w:r>
              <w:rPr>
                <w:rFonts w:ascii="Times New Roman" w:hAnsi="Times New Roman" w:eastAsia="宋体"/>
                <w:b w:val="0"/>
                <w:sz w:val="20"/>
              </w:rPr>
              <w:t>0.28</w:t>
            </w:r>
          </w:p>
        </w:tc>
        <w:tc>
          <w:tcPr>
            <w:tcW w:w="2256" w:type="dxa"/>
            <w:vAlign w:val="center"/>
          </w:tcPr>
          <w:p w14:paraId="3A31C691">
            <w:pPr>
              <w:jc w:val="center"/>
            </w:pPr>
            <w:r>
              <w:rPr>
                <w:rFonts w:ascii="Times New Roman" w:hAnsi="Times New Roman" w:eastAsia="宋体"/>
                <w:b w:val="0"/>
                <w:sz w:val="20"/>
              </w:rPr>
              <w:t>场地可获得性与租金</w:t>
            </w:r>
          </w:p>
        </w:tc>
        <w:tc>
          <w:tcPr>
            <w:tcW w:w="2256" w:type="dxa"/>
            <w:vAlign w:val="center"/>
          </w:tcPr>
          <w:p w14:paraId="6B1447C3">
            <w:pPr>
              <w:jc w:val="center"/>
            </w:pPr>
            <w:r>
              <w:rPr>
                <w:rFonts w:ascii="Times New Roman" w:hAnsi="Times New Roman" w:eastAsia="宋体"/>
                <w:b w:val="0"/>
                <w:sz w:val="20"/>
              </w:rPr>
              <w:t>0.09</w:t>
            </w:r>
          </w:p>
        </w:tc>
      </w:tr>
      <w:tr w14:paraId="247DED77">
        <w:trPr>
          <w:jc w:val="center"/>
        </w:trPr>
        <w:tc>
          <w:tcPr>
            <w:tcW w:w="2256" w:type="dxa"/>
            <w:vAlign w:val="center"/>
          </w:tcPr>
          <w:p w14:paraId="1054B2E0">
            <w:pPr>
              <w:jc w:val="center"/>
            </w:pPr>
            <w:r>
              <w:rPr>
                <w:rFonts w:ascii="Times New Roman" w:hAnsi="Times New Roman" w:eastAsia="宋体"/>
                <w:b w:val="0"/>
                <w:sz w:val="20"/>
              </w:rPr>
              <w:t>环境与政策因素</w:t>
            </w:r>
          </w:p>
        </w:tc>
        <w:tc>
          <w:tcPr>
            <w:tcW w:w="2256" w:type="dxa"/>
            <w:vAlign w:val="center"/>
          </w:tcPr>
          <w:p w14:paraId="659667C2">
            <w:pPr>
              <w:jc w:val="center"/>
            </w:pPr>
            <w:r>
              <w:rPr>
                <w:rFonts w:ascii="Times New Roman" w:hAnsi="Times New Roman" w:eastAsia="宋体"/>
                <w:b w:val="0"/>
                <w:sz w:val="20"/>
              </w:rPr>
              <w:t>0.20</w:t>
            </w:r>
          </w:p>
        </w:tc>
        <w:tc>
          <w:tcPr>
            <w:tcW w:w="2256" w:type="dxa"/>
            <w:vAlign w:val="center"/>
          </w:tcPr>
          <w:p w14:paraId="27FF5813">
            <w:pPr>
              <w:jc w:val="center"/>
            </w:pPr>
            <w:r>
              <w:rPr>
                <w:rFonts w:ascii="Times New Roman" w:hAnsi="Times New Roman" w:eastAsia="宋体"/>
                <w:b w:val="0"/>
                <w:sz w:val="20"/>
              </w:rPr>
              <w:t>消防安全条件</w:t>
            </w:r>
          </w:p>
        </w:tc>
        <w:tc>
          <w:tcPr>
            <w:tcW w:w="2256" w:type="dxa"/>
            <w:vAlign w:val="center"/>
          </w:tcPr>
          <w:p w14:paraId="42F16413">
            <w:pPr>
              <w:jc w:val="center"/>
            </w:pPr>
            <w:r>
              <w:rPr>
                <w:rFonts w:ascii="Times New Roman" w:hAnsi="Times New Roman" w:eastAsia="宋体"/>
                <w:b w:val="0"/>
                <w:sz w:val="20"/>
              </w:rPr>
              <w:t>0.09</w:t>
            </w:r>
          </w:p>
        </w:tc>
      </w:tr>
      <w:tr w14:paraId="69B2E640">
        <w:trPr>
          <w:jc w:val="center"/>
        </w:trPr>
        <w:tc>
          <w:tcPr>
            <w:tcW w:w="2256" w:type="dxa"/>
            <w:vAlign w:val="center"/>
          </w:tcPr>
          <w:p w14:paraId="376360F3">
            <w:pPr>
              <w:jc w:val="center"/>
            </w:pPr>
            <w:r>
              <w:rPr>
                <w:rFonts w:ascii="Times New Roman" w:hAnsi="Times New Roman" w:eastAsia="宋体"/>
                <w:b w:val="0"/>
                <w:sz w:val="20"/>
              </w:rPr>
              <w:t>环境与政策因素</w:t>
            </w:r>
          </w:p>
        </w:tc>
        <w:tc>
          <w:tcPr>
            <w:tcW w:w="2256" w:type="dxa"/>
            <w:vAlign w:val="center"/>
          </w:tcPr>
          <w:p w14:paraId="3371F080">
            <w:pPr>
              <w:jc w:val="center"/>
            </w:pPr>
            <w:r>
              <w:rPr>
                <w:rFonts w:ascii="Times New Roman" w:hAnsi="Times New Roman" w:eastAsia="宋体"/>
                <w:b w:val="0"/>
                <w:sz w:val="20"/>
              </w:rPr>
              <w:t>0.20</w:t>
            </w:r>
          </w:p>
        </w:tc>
        <w:tc>
          <w:tcPr>
            <w:tcW w:w="2256" w:type="dxa"/>
            <w:vAlign w:val="center"/>
          </w:tcPr>
          <w:p w14:paraId="0F8B88A3">
            <w:pPr>
              <w:jc w:val="center"/>
            </w:pPr>
            <w:r>
              <w:rPr>
                <w:rFonts w:ascii="Times New Roman" w:hAnsi="Times New Roman" w:eastAsia="宋体"/>
                <w:b w:val="0"/>
                <w:sz w:val="20"/>
              </w:rPr>
              <w:t>区域政策支持力度</w:t>
            </w:r>
          </w:p>
        </w:tc>
        <w:tc>
          <w:tcPr>
            <w:tcW w:w="2256" w:type="dxa"/>
            <w:vAlign w:val="center"/>
          </w:tcPr>
          <w:p w14:paraId="2F4BC45E">
            <w:pPr>
              <w:jc w:val="center"/>
            </w:pPr>
            <w:r>
              <w:rPr>
                <w:rFonts w:ascii="Times New Roman" w:hAnsi="Times New Roman" w:eastAsia="宋体"/>
                <w:b w:val="0"/>
                <w:sz w:val="20"/>
              </w:rPr>
              <w:t>0.06</w:t>
            </w:r>
          </w:p>
        </w:tc>
      </w:tr>
      <w:tr w14:paraId="062D791C">
        <w:trPr>
          <w:jc w:val="center"/>
        </w:trPr>
        <w:tc>
          <w:tcPr>
            <w:tcW w:w="2256" w:type="dxa"/>
            <w:vAlign w:val="center"/>
          </w:tcPr>
          <w:p w14:paraId="148446E1">
            <w:pPr>
              <w:jc w:val="center"/>
            </w:pPr>
            <w:r>
              <w:rPr>
                <w:rFonts w:ascii="Times New Roman" w:hAnsi="Times New Roman" w:eastAsia="宋体"/>
                <w:b w:val="0"/>
                <w:sz w:val="20"/>
              </w:rPr>
              <w:t>技术与运营因素</w:t>
            </w:r>
          </w:p>
        </w:tc>
        <w:tc>
          <w:tcPr>
            <w:tcW w:w="2256" w:type="dxa"/>
            <w:vAlign w:val="center"/>
          </w:tcPr>
          <w:p w14:paraId="7BFDB107">
            <w:pPr>
              <w:jc w:val="center"/>
            </w:pPr>
            <w:r>
              <w:rPr>
                <w:rFonts w:ascii="Times New Roman" w:hAnsi="Times New Roman" w:eastAsia="宋体"/>
                <w:b w:val="0"/>
                <w:sz w:val="20"/>
              </w:rPr>
              <w:t>0.17</w:t>
            </w:r>
          </w:p>
        </w:tc>
        <w:tc>
          <w:tcPr>
            <w:tcW w:w="2256" w:type="dxa"/>
            <w:vAlign w:val="center"/>
          </w:tcPr>
          <w:p w14:paraId="635774BE">
            <w:pPr>
              <w:jc w:val="center"/>
            </w:pPr>
            <w:r>
              <w:rPr>
                <w:rFonts w:ascii="Times New Roman" w:hAnsi="Times New Roman" w:eastAsia="宋体"/>
                <w:b w:val="0"/>
                <w:sz w:val="20"/>
              </w:rPr>
              <w:t>物业协同程度</w:t>
            </w:r>
          </w:p>
        </w:tc>
        <w:tc>
          <w:tcPr>
            <w:tcW w:w="2256" w:type="dxa"/>
            <w:vAlign w:val="center"/>
          </w:tcPr>
          <w:p w14:paraId="45B6FA57">
            <w:pPr>
              <w:jc w:val="center"/>
            </w:pPr>
            <w:r>
              <w:rPr>
                <w:rFonts w:ascii="Times New Roman" w:hAnsi="Times New Roman" w:eastAsia="宋体"/>
                <w:b w:val="0"/>
                <w:sz w:val="20"/>
              </w:rPr>
              <w:t>0.08</w:t>
            </w:r>
          </w:p>
        </w:tc>
      </w:tr>
      <w:tr w14:paraId="63CAF7E8">
        <w:trPr>
          <w:jc w:val="center"/>
        </w:trPr>
        <w:tc>
          <w:tcPr>
            <w:tcW w:w="2256" w:type="dxa"/>
            <w:vAlign w:val="center"/>
          </w:tcPr>
          <w:p w14:paraId="42C26509">
            <w:pPr>
              <w:jc w:val="center"/>
            </w:pPr>
            <w:r>
              <w:rPr>
                <w:rFonts w:ascii="Times New Roman" w:hAnsi="Times New Roman" w:eastAsia="宋体"/>
                <w:b w:val="0"/>
                <w:sz w:val="20"/>
              </w:rPr>
              <w:t>技术与运营因素</w:t>
            </w:r>
          </w:p>
        </w:tc>
        <w:tc>
          <w:tcPr>
            <w:tcW w:w="2256" w:type="dxa"/>
            <w:vAlign w:val="center"/>
          </w:tcPr>
          <w:p w14:paraId="39FD6606">
            <w:pPr>
              <w:jc w:val="center"/>
            </w:pPr>
            <w:r>
              <w:rPr>
                <w:rFonts w:ascii="Times New Roman" w:hAnsi="Times New Roman" w:eastAsia="宋体"/>
                <w:b w:val="0"/>
                <w:sz w:val="20"/>
              </w:rPr>
              <w:t>0.17</w:t>
            </w:r>
          </w:p>
        </w:tc>
        <w:tc>
          <w:tcPr>
            <w:tcW w:w="2256" w:type="dxa"/>
            <w:vAlign w:val="center"/>
          </w:tcPr>
          <w:p w14:paraId="16144787">
            <w:pPr>
              <w:jc w:val="center"/>
            </w:pPr>
            <w:r>
              <w:rPr>
                <w:rFonts w:ascii="Times New Roman" w:hAnsi="Times New Roman" w:eastAsia="宋体"/>
                <w:b w:val="0"/>
                <w:sz w:val="20"/>
              </w:rPr>
              <w:t>设备安装便利性</w:t>
            </w:r>
          </w:p>
        </w:tc>
        <w:tc>
          <w:tcPr>
            <w:tcW w:w="2256" w:type="dxa"/>
            <w:vAlign w:val="center"/>
          </w:tcPr>
          <w:p w14:paraId="3FC31F13">
            <w:pPr>
              <w:jc w:val="center"/>
            </w:pPr>
            <w:r>
              <w:rPr>
                <w:rFonts w:ascii="Times New Roman" w:hAnsi="Times New Roman" w:eastAsia="宋体"/>
                <w:b w:val="0"/>
                <w:sz w:val="20"/>
              </w:rPr>
              <w:t>0.05</w:t>
            </w:r>
          </w:p>
        </w:tc>
      </w:tr>
    </w:tbl>
    <w:p w14:paraId="463F4E20">
      <w:pPr>
        <w:snapToGrid/>
        <w:spacing w:before="0" w:beforeAutospacing="0" w:after="0" w:afterAutospacing="0" w:line="360" w:lineRule="auto"/>
        <w:ind w:left="0" w:leftChars="0" w:right="0" w:rightChars="0" w:firstLine="480" w:firstLineChars="200"/>
        <w:jc w:val="both"/>
        <w:rPr>
          <w:rFonts w:ascii="Times New Roman" w:eastAsia="宋体"/>
          <w:sz w:val="24"/>
        </w:rPr>
      </w:pPr>
    </w:p>
    <w:p w14:paraId="60A76C8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阶段性结果看，用户需求密度、电力接入条件和物业协同程度是影响选址效果的关键因素。这一结果与企业实践观察基本一致，也说明社区充电桩选址不仅要看需求，还要看项目是否“建得起、管得住、用得稳”。</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关键因素筛选与权重分析明确了不同选址条件的重要程度。在此基础上，以下结合三地项目数据进一步分析安装成本与维护成本的构成，以判断关键选址因素如何转化为实际成本差异。</w:t>
      </w:r>
    </w:p>
    <w:p w14:paraId="5D0F4462">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4.3 C公司成本结构分析</w:t>
      </w:r>
    </w:p>
    <w:p w14:paraId="444F6FBD">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4.3.1 安装成本结构分析</w:t>
      </w:r>
    </w:p>
    <w:p w14:paraId="1363CC3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结合C公司南京、深圳、徐州三地项目数据，本文将安装成本划分为硬件设备采购、基础施工（土建与布线）、电力接入改造、通信模块安装、验收与手续费用、物业协调费用六类。总体来看，硬件设备采购在三地均占较高比例，是基础性成本项；基础施工和电力接入则受城市环境和社区改造条件影响较大，是形成成本差异的核心来源。</w:t>
      </w:r>
    </w:p>
    <w:p w14:paraId="1D5F4BEC">
      <w:pPr>
        <w:ind w:left="0" w:leftChars="0" w:right="0" w:rightChars="0" w:firstLine="0" w:firstLineChars="0"/>
        <w:jc w:val="center"/>
        <w:rPr>
          <w:rFonts w:ascii="Times New Roman" w:eastAsia="宋体"/>
          <w:b w:val="0"/>
          <w:sz w:val="21"/>
        </w:rPr>
      </w:pPr>
      <w:r>
        <w:rPr>
          <w:rFonts w:ascii="Times New Roman" w:eastAsia="宋体"/>
          <w:b w:val="0"/>
          <w:sz w:val="21"/>
        </w:rPr>
        <w:t>表4-2展示了三地安装成本结构的阶段性比较结果。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5582BE6B">
        <w:trPr>
          <w:jc w:val="center"/>
        </w:trPr>
        <w:tc>
          <w:tcPr>
            <w:tcW w:w="2256" w:type="dxa"/>
            <w:shd w:val="clear" w:color="auto" w:fill="D9EAF7"/>
            <w:vAlign w:val="center"/>
          </w:tcPr>
          <w:p w14:paraId="76FACEF7">
            <w:pPr>
              <w:jc w:val="center"/>
            </w:pPr>
            <w:r>
              <w:rPr>
                <w:rFonts w:ascii="Times New Roman" w:hAnsi="Times New Roman" w:eastAsia="宋体"/>
                <w:b/>
                <w:sz w:val="20"/>
              </w:rPr>
              <w:t>成本子项</w:t>
            </w:r>
          </w:p>
        </w:tc>
        <w:tc>
          <w:tcPr>
            <w:tcW w:w="2256" w:type="dxa"/>
            <w:shd w:val="clear" w:color="auto" w:fill="D9EAF7"/>
            <w:vAlign w:val="center"/>
          </w:tcPr>
          <w:p w14:paraId="4A721D4C">
            <w:pPr>
              <w:jc w:val="center"/>
            </w:pPr>
            <w:r>
              <w:rPr>
                <w:rFonts w:ascii="Times New Roman" w:hAnsi="Times New Roman" w:eastAsia="宋体"/>
                <w:b/>
                <w:sz w:val="20"/>
              </w:rPr>
              <w:t>南京占比</w:t>
            </w:r>
          </w:p>
        </w:tc>
        <w:tc>
          <w:tcPr>
            <w:tcW w:w="2256" w:type="dxa"/>
            <w:shd w:val="clear" w:color="auto" w:fill="D9EAF7"/>
            <w:vAlign w:val="center"/>
          </w:tcPr>
          <w:p w14:paraId="03C3A4DC">
            <w:pPr>
              <w:jc w:val="center"/>
            </w:pPr>
            <w:r>
              <w:rPr>
                <w:rFonts w:ascii="Times New Roman" w:hAnsi="Times New Roman" w:eastAsia="宋体"/>
                <w:b/>
                <w:sz w:val="20"/>
              </w:rPr>
              <w:t>深圳占比</w:t>
            </w:r>
          </w:p>
        </w:tc>
        <w:tc>
          <w:tcPr>
            <w:tcW w:w="2256" w:type="dxa"/>
            <w:shd w:val="clear" w:color="auto" w:fill="D9EAF7"/>
            <w:vAlign w:val="center"/>
          </w:tcPr>
          <w:p w14:paraId="03C6BFF2">
            <w:pPr>
              <w:jc w:val="center"/>
            </w:pPr>
            <w:r>
              <w:rPr>
                <w:rFonts w:ascii="Times New Roman" w:hAnsi="Times New Roman" w:eastAsia="宋体"/>
                <w:b/>
                <w:sz w:val="20"/>
              </w:rPr>
              <w:t>徐州占比</w:t>
            </w:r>
          </w:p>
        </w:tc>
      </w:tr>
      <w:tr w14:paraId="29A02C6B">
        <w:trPr>
          <w:jc w:val="center"/>
        </w:trPr>
        <w:tc>
          <w:tcPr>
            <w:tcW w:w="2256" w:type="dxa"/>
            <w:vAlign w:val="center"/>
          </w:tcPr>
          <w:p w14:paraId="742F9505">
            <w:pPr>
              <w:jc w:val="center"/>
            </w:pPr>
            <w:r>
              <w:rPr>
                <w:rFonts w:ascii="Times New Roman" w:hAnsi="Times New Roman" w:eastAsia="宋体"/>
                <w:b w:val="0"/>
                <w:sz w:val="20"/>
              </w:rPr>
              <w:t>硬件设备采购</w:t>
            </w:r>
          </w:p>
        </w:tc>
        <w:tc>
          <w:tcPr>
            <w:tcW w:w="2256" w:type="dxa"/>
            <w:vAlign w:val="center"/>
          </w:tcPr>
          <w:p w14:paraId="76A89B47">
            <w:pPr>
              <w:jc w:val="center"/>
            </w:pPr>
            <w:r>
              <w:rPr>
                <w:rFonts w:ascii="Times New Roman" w:hAnsi="Times New Roman" w:eastAsia="宋体"/>
                <w:b w:val="0"/>
                <w:sz w:val="20"/>
              </w:rPr>
              <w:t>约40%</w:t>
            </w:r>
          </w:p>
        </w:tc>
        <w:tc>
          <w:tcPr>
            <w:tcW w:w="2256" w:type="dxa"/>
            <w:vAlign w:val="center"/>
          </w:tcPr>
          <w:p w14:paraId="3B074CE7">
            <w:pPr>
              <w:jc w:val="center"/>
            </w:pPr>
            <w:r>
              <w:rPr>
                <w:rFonts w:ascii="Times New Roman" w:hAnsi="Times New Roman" w:eastAsia="宋体"/>
                <w:b w:val="0"/>
                <w:sz w:val="20"/>
              </w:rPr>
              <w:t>约35%</w:t>
            </w:r>
          </w:p>
        </w:tc>
        <w:tc>
          <w:tcPr>
            <w:tcW w:w="2256" w:type="dxa"/>
            <w:vAlign w:val="center"/>
          </w:tcPr>
          <w:p w14:paraId="486CBCAA">
            <w:pPr>
              <w:jc w:val="center"/>
            </w:pPr>
            <w:r>
              <w:rPr>
                <w:rFonts w:ascii="Times New Roman" w:hAnsi="Times New Roman" w:eastAsia="宋体"/>
                <w:b w:val="0"/>
                <w:sz w:val="20"/>
              </w:rPr>
              <w:t>约45%</w:t>
            </w:r>
          </w:p>
        </w:tc>
      </w:tr>
      <w:tr w14:paraId="6421406F">
        <w:trPr>
          <w:jc w:val="center"/>
        </w:trPr>
        <w:tc>
          <w:tcPr>
            <w:tcW w:w="2256" w:type="dxa"/>
            <w:vAlign w:val="center"/>
          </w:tcPr>
          <w:p w14:paraId="7D9117CB">
            <w:pPr>
              <w:jc w:val="center"/>
            </w:pPr>
            <w:r>
              <w:rPr>
                <w:rFonts w:ascii="Times New Roman" w:hAnsi="Times New Roman" w:eastAsia="宋体"/>
                <w:b w:val="0"/>
                <w:sz w:val="20"/>
              </w:rPr>
              <w:t>基础施工（土建与布线）</w:t>
            </w:r>
          </w:p>
        </w:tc>
        <w:tc>
          <w:tcPr>
            <w:tcW w:w="2256" w:type="dxa"/>
            <w:vAlign w:val="center"/>
          </w:tcPr>
          <w:p w14:paraId="23783EB4">
            <w:pPr>
              <w:jc w:val="center"/>
            </w:pPr>
            <w:r>
              <w:rPr>
                <w:rFonts w:ascii="Times New Roman" w:hAnsi="Times New Roman" w:eastAsia="宋体"/>
                <w:b w:val="0"/>
                <w:sz w:val="20"/>
              </w:rPr>
              <w:t>约20%</w:t>
            </w:r>
          </w:p>
        </w:tc>
        <w:tc>
          <w:tcPr>
            <w:tcW w:w="2256" w:type="dxa"/>
            <w:vAlign w:val="center"/>
          </w:tcPr>
          <w:p w14:paraId="05DA1407">
            <w:pPr>
              <w:jc w:val="center"/>
            </w:pPr>
            <w:r>
              <w:rPr>
                <w:rFonts w:ascii="Times New Roman" w:hAnsi="Times New Roman" w:eastAsia="宋体"/>
                <w:b w:val="0"/>
                <w:sz w:val="20"/>
              </w:rPr>
              <w:t>约25%</w:t>
            </w:r>
          </w:p>
        </w:tc>
        <w:tc>
          <w:tcPr>
            <w:tcW w:w="2256" w:type="dxa"/>
            <w:vAlign w:val="center"/>
          </w:tcPr>
          <w:p w14:paraId="0DCD6D1C">
            <w:pPr>
              <w:jc w:val="center"/>
            </w:pPr>
            <w:r>
              <w:rPr>
                <w:rFonts w:ascii="Times New Roman" w:hAnsi="Times New Roman" w:eastAsia="宋体"/>
                <w:b w:val="0"/>
                <w:sz w:val="20"/>
              </w:rPr>
              <w:t>约18%</w:t>
            </w:r>
          </w:p>
        </w:tc>
      </w:tr>
      <w:tr w14:paraId="189F4C89">
        <w:trPr>
          <w:jc w:val="center"/>
        </w:trPr>
        <w:tc>
          <w:tcPr>
            <w:tcW w:w="2256" w:type="dxa"/>
            <w:vAlign w:val="center"/>
          </w:tcPr>
          <w:p w14:paraId="50488469">
            <w:pPr>
              <w:jc w:val="center"/>
            </w:pPr>
            <w:r>
              <w:rPr>
                <w:rFonts w:ascii="Times New Roman" w:hAnsi="Times New Roman" w:eastAsia="宋体"/>
                <w:b w:val="0"/>
                <w:sz w:val="20"/>
              </w:rPr>
              <w:t>电力接入改造</w:t>
            </w:r>
          </w:p>
        </w:tc>
        <w:tc>
          <w:tcPr>
            <w:tcW w:w="2256" w:type="dxa"/>
            <w:vAlign w:val="center"/>
          </w:tcPr>
          <w:p w14:paraId="163B89F5">
            <w:pPr>
              <w:jc w:val="center"/>
            </w:pPr>
            <w:r>
              <w:rPr>
                <w:rFonts w:ascii="Times New Roman" w:hAnsi="Times New Roman" w:eastAsia="宋体"/>
                <w:b w:val="0"/>
                <w:sz w:val="20"/>
              </w:rPr>
              <w:t>约18%</w:t>
            </w:r>
          </w:p>
        </w:tc>
        <w:tc>
          <w:tcPr>
            <w:tcW w:w="2256" w:type="dxa"/>
            <w:vAlign w:val="center"/>
          </w:tcPr>
          <w:p w14:paraId="5CDCB59F">
            <w:pPr>
              <w:jc w:val="center"/>
            </w:pPr>
            <w:r>
              <w:rPr>
                <w:rFonts w:ascii="Times New Roman" w:hAnsi="Times New Roman" w:eastAsia="宋体"/>
                <w:b w:val="0"/>
                <w:sz w:val="20"/>
              </w:rPr>
              <w:t>约20%</w:t>
            </w:r>
          </w:p>
        </w:tc>
        <w:tc>
          <w:tcPr>
            <w:tcW w:w="2256" w:type="dxa"/>
            <w:vAlign w:val="center"/>
          </w:tcPr>
          <w:p w14:paraId="03F93A88">
            <w:pPr>
              <w:jc w:val="center"/>
            </w:pPr>
            <w:r>
              <w:rPr>
                <w:rFonts w:ascii="Times New Roman" w:hAnsi="Times New Roman" w:eastAsia="宋体"/>
                <w:b w:val="0"/>
                <w:sz w:val="20"/>
              </w:rPr>
              <w:t>约15%</w:t>
            </w:r>
          </w:p>
        </w:tc>
      </w:tr>
      <w:tr w14:paraId="6CEC2F24">
        <w:trPr>
          <w:jc w:val="center"/>
        </w:trPr>
        <w:tc>
          <w:tcPr>
            <w:tcW w:w="2256" w:type="dxa"/>
            <w:vAlign w:val="center"/>
          </w:tcPr>
          <w:p w14:paraId="041854FB">
            <w:pPr>
              <w:jc w:val="center"/>
            </w:pPr>
            <w:r>
              <w:rPr>
                <w:rFonts w:ascii="Times New Roman" w:hAnsi="Times New Roman" w:eastAsia="宋体"/>
                <w:b w:val="0"/>
                <w:sz w:val="20"/>
              </w:rPr>
              <w:t>通信模块安装</w:t>
            </w:r>
          </w:p>
        </w:tc>
        <w:tc>
          <w:tcPr>
            <w:tcW w:w="2256" w:type="dxa"/>
            <w:vAlign w:val="center"/>
          </w:tcPr>
          <w:p w14:paraId="55CD461C">
            <w:pPr>
              <w:jc w:val="center"/>
            </w:pPr>
            <w:r>
              <w:rPr>
                <w:rFonts w:ascii="Times New Roman" w:hAnsi="Times New Roman" w:eastAsia="宋体"/>
                <w:b w:val="0"/>
                <w:sz w:val="20"/>
              </w:rPr>
              <w:t>约8%</w:t>
            </w:r>
          </w:p>
        </w:tc>
        <w:tc>
          <w:tcPr>
            <w:tcW w:w="2256" w:type="dxa"/>
            <w:vAlign w:val="center"/>
          </w:tcPr>
          <w:p w14:paraId="4BC45B46">
            <w:pPr>
              <w:jc w:val="center"/>
            </w:pPr>
            <w:r>
              <w:rPr>
                <w:rFonts w:ascii="Times New Roman" w:hAnsi="Times New Roman" w:eastAsia="宋体"/>
                <w:b w:val="0"/>
                <w:sz w:val="20"/>
              </w:rPr>
              <w:t>约7%</w:t>
            </w:r>
          </w:p>
        </w:tc>
        <w:tc>
          <w:tcPr>
            <w:tcW w:w="2256" w:type="dxa"/>
            <w:vAlign w:val="center"/>
          </w:tcPr>
          <w:p w14:paraId="569ADAA9">
            <w:pPr>
              <w:jc w:val="center"/>
            </w:pPr>
            <w:r>
              <w:rPr>
                <w:rFonts w:ascii="Times New Roman" w:hAnsi="Times New Roman" w:eastAsia="宋体"/>
                <w:b w:val="0"/>
                <w:sz w:val="20"/>
              </w:rPr>
              <w:t>约9%</w:t>
            </w:r>
          </w:p>
        </w:tc>
      </w:tr>
      <w:tr w14:paraId="4B77556F">
        <w:trPr>
          <w:jc w:val="center"/>
        </w:trPr>
        <w:tc>
          <w:tcPr>
            <w:tcW w:w="2256" w:type="dxa"/>
            <w:vAlign w:val="center"/>
          </w:tcPr>
          <w:p w14:paraId="79E542F4">
            <w:pPr>
              <w:jc w:val="center"/>
            </w:pPr>
            <w:r>
              <w:rPr>
                <w:rFonts w:ascii="Times New Roman" w:hAnsi="Times New Roman" w:eastAsia="宋体"/>
                <w:b w:val="0"/>
                <w:sz w:val="20"/>
              </w:rPr>
              <w:t>验收与手续费用</w:t>
            </w:r>
          </w:p>
        </w:tc>
        <w:tc>
          <w:tcPr>
            <w:tcW w:w="2256" w:type="dxa"/>
            <w:vAlign w:val="center"/>
          </w:tcPr>
          <w:p w14:paraId="40A64725">
            <w:pPr>
              <w:jc w:val="center"/>
            </w:pPr>
            <w:r>
              <w:rPr>
                <w:rFonts w:ascii="Times New Roman" w:hAnsi="Times New Roman" w:eastAsia="宋体"/>
                <w:b w:val="0"/>
                <w:sz w:val="20"/>
              </w:rPr>
              <w:t>约5%</w:t>
            </w:r>
          </w:p>
        </w:tc>
        <w:tc>
          <w:tcPr>
            <w:tcW w:w="2256" w:type="dxa"/>
            <w:vAlign w:val="center"/>
          </w:tcPr>
          <w:p w14:paraId="3D5740B1">
            <w:pPr>
              <w:jc w:val="center"/>
            </w:pPr>
            <w:r>
              <w:rPr>
                <w:rFonts w:ascii="Times New Roman" w:hAnsi="Times New Roman" w:eastAsia="宋体"/>
                <w:b w:val="0"/>
                <w:sz w:val="20"/>
              </w:rPr>
              <w:t>约5%</w:t>
            </w:r>
          </w:p>
        </w:tc>
        <w:tc>
          <w:tcPr>
            <w:tcW w:w="2256" w:type="dxa"/>
            <w:vAlign w:val="center"/>
          </w:tcPr>
          <w:p w14:paraId="02E6ED4E">
            <w:pPr>
              <w:jc w:val="center"/>
            </w:pPr>
            <w:r>
              <w:rPr>
                <w:rFonts w:ascii="Times New Roman" w:hAnsi="Times New Roman" w:eastAsia="宋体"/>
                <w:b w:val="0"/>
                <w:sz w:val="20"/>
              </w:rPr>
              <w:t>约5%</w:t>
            </w:r>
          </w:p>
        </w:tc>
      </w:tr>
      <w:tr w14:paraId="33DEB0D4">
        <w:trPr>
          <w:jc w:val="center"/>
        </w:trPr>
        <w:tc>
          <w:tcPr>
            <w:tcW w:w="2256" w:type="dxa"/>
            <w:vAlign w:val="center"/>
          </w:tcPr>
          <w:p w14:paraId="24EBF370">
            <w:pPr>
              <w:jc w:val="center"/>
            </w:pPr>
            <w:r>
              <w:rPr>
                <w:rFonts w:ascii="Times New Roman" w:hAnsi="Times New Roman" w:eastAsia="宋体"/>
                <w:b w:val="0"/>
                <w:sz w:val="20"/>
              </w:rPr>
              <w:t>物业协调费用</w:t>
            </w:r>
          </w:p>
        </w:tc>
        <w:tc>
          <w:tcPr>
            <w:tcW w:w="2256" w:type="dxa"/>
            <w:vAlign w:val="center"/>
          </w:tcPr>
          <w:p w14:paraId="50E79F36">
            <w:pPr>
              <w:jc w:val="center"/>
            </w:pPr>
            <w:r>
              <w:rPr>
                <w:rFonts w:ascii="Times New Roman" w:hAnsi="Times New Roman" w:eastAsia="宋体"/>
                <w:b w:val="0"/>
                <w:sz w:val="20"/>
              </w:rPr>
              <w:t>约9%</w:t>
            </w:r>
          </w:p>
        </w:tc>
        <w:tc>
          <w:tcPr>
            <w:tcW w:w="2256" w:type="dxa"/>
            <w:vAlign w:val="center"/>
          </w:tcPr>
          <w:p w14:paraId="313E9869">
            <w:pPr>
              <w:jc w:val="center"/>
            </w:pPr>
            <w:r>
              <w:rPr>
                <w:rFonts w:ascii="Times New Roman" w:hAnsi="Times New Roman" w:eastAsia="宋体"/>
                <w:b w:val="0"/>
                <w:sz w:val="20"/>
              </w:rPr>
              <w:t>约8%</w:t>
            </w:r>
          </w:p>
        </w:tc>
        <w:tc>
          <w:tcPr>
            <w:tcW w:w="2256" w:type="dxa"/>
            <w:vAlign w:val="center"/>
          </w:tcPr>
          <w:p w14:paraId="7053B68C">
            <w:pPr>
              <w:jc w:val="center"/>
            </w:pPr>
            <w:r>
              <w:rPr>
                <w:rFonts w:ascii="Times New Roman" w:hAnsi="Times New Roman" w:eastAsia="宋体"/>
                <w:b w:val="0"/>
                <w:sz w:val="20"/>
              </w:rPr>
              <w:t>约8%</w:t>
            </w:r>
          </w:p>
        </w:tc>
      </w:tr>
    </w:tbl>
    <w:p w14:paraId="7C923222">
      <w:pPr>
        <w:snapToGrid/>
        <w:spacing w:before="0" w:beforeAutospacing="0" w:after="0" w:afterAutospacing="0" w:line="360" w:lineRule="auto"/>
        <w:ind w:left="0" w:leftChars="0" w:right="0" w:rightChars="0" w:firstLine="480" w:firstLineChars="200"/>
        <w:jc w:val="both"/>
        <w:rPr>
          <w:rFonts w:ascii="Times New Roman" w:eastAsia="宋体"/>
          <w:sz w:val="24"/>
        </w:rPr>
      </w:pPr>
    </w:p>
    <w:p w14:paraId="7BC34CD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比较结果看，深圳项目的基础施工和电力接入成本明显高于南京和徐州，这与人工费用较高、施工条件复杂和社区改造要求更严格有关；徐州项目的设备采购占比较高，但总体施工和改造压力相对较小，因此综合成本水平相对可控；南京则处于中间状态，成本结构较为均衡。</w:t>
      </w:r>
    </w:p>
    <w:p w14:paraId="43B61E3D">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4.3.2 维护成本结构分析</w:t>
      </w:r>
    </w:p>
    <w:p w14:paraId="45DF9C8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维护成本方面，本文根据现有维保记录，将成本划分为设备故障维修、损耗件更换、通信模块维护、定期巡检和物业协调费用五类。初步统计显示，设备故障维修在总维护成本中占比最高，约为35%至45%，其次为损耗件更换和定期巡检费用。</w:t>
      </w:r>
    </w:p>
    <w:p w14:paraId="0DEEABAB">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维护规律看，设备使用强度越高、环境越复杂、物业协作越弱的社区，其维护投入通常越大。此外，安装时间超过一定周期后，设备故障率会出现明显上升趋势，维护成本也逐步由“稳定运转阶段”向“老化上升阶段”转变。</w:t>
      </w:r>
    </w:p>
    <w:p w14:paraId="70BFC0A4">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4.3.3 跨城市成本差异成因</w:t>
      </w:r>
    </w:p>
    <w:p w14:paraId="30E329E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造成三地成本差异的原因主要包括三个方面。首先，不同城市的人工成本存在差异，其中深圳的人工和施工组织成本明显高于南京和徐州。其次，电力接入与市政施工条件不同；部分社区因原有配电能力不足，需要额外开展电力改造和施工协调，从而显著提高项目前期投入。最后，不同城市的物业管理模式和社区场地改造难度存在差异，进而影响项目推进效率并产生不同程度的隐性成本。</w:t>
      </w:r>
    </w:p>
    <w:p w14:paraId="41F6C0E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因此，成本差异并不只是简单的价格差，而是选址条件、城市属性和项目落地复杂度共同作用的结果。</w:t>
      </w:r>
    </w:p>
    <w:p w14:paraId="58B0E2FD">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4.4 选址对成本与收益的影响机制</w:t>
      </w:r>
    </w:p>
    <w:p w14:paraId="084F5568">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4.4.1 选址对安装成本的影响</w:t>
      </w:r>
    </w:p>
    <w:p w14:paraId="3A4FA83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选址方案决定了项目的施工条件和资源接入难度。若站点位于电源近、场地平整、施工便利、物业支持度高的区域，则安装成本通常较低；反之，若需要较长距离布线、电改复杂或场地改造受限，则前期投入将明显上升。</w:t>
      </w:r>
    </w:p>
    <w:p w14:paraId="4A44471A">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4.4.2 选址对维护成本的影响</w:t>
      </w:r>
    </w:p>
    <w:p w14:paraId="420E13E8">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选址还会影响后续维护成本。设备若布设在管理混乱、暴露性高、信号不稳定或居民干扰较多的区域，故障率和维护频次通常更高。同时，物业配合程度不足也会增加巡检和故障处理的沟通成本。</w:t>
      </w:r>
    </w:p>
    <w:p w14:paraId="0B9CED8E">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4.4.3 选址对收益水平的影响</w:t>
      </w:r>
    </w:p>
    <w:p w14:paraId="2830D3A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从收益角度看，需求密度高、用户出行规律清晰、使用便利的社区更容易形成稳定订单量，提高设备利用率并缩短投资回收周期。若站点虽然建设条件好，但远离真实需求点位，最终也可能出现收益不足的情况。因此，成本最小不等于方案最优，收益最大也不等于风险最低，企业需要在需求、成本和长期运营效率之间实现平衡。</w:t>
      </w:r>
    </w:p>
    <w:p w14:paraId="7C980D9F">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4.5 本章小结</w:t>
      </w:r>
    </w:p>
    <w:p w14:paraId="2ABC770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章从需求侧、供给侧、环境与政策、技术与运营四个维度系统识别了影响社区电动自行车充电桩选址的关键因素，并通过AHP法与熵权法的组合赋权形成阶段性权重结果。研究发现，用户需求密度、电力接入条件和物业协同程度是影响站点选址效果的核心因素。与此同时，本文结合C公司三地项目数据，对安装成本和维护成本进行了结构化分析，揭示了跨城市成本差异与选址条件之间的内在联系。这些研究结果为后续构建综合选址评价模型提供了直接依据。</w:t>
      </w:r>
    </w:p>
    <w:p w14:paraId="499D5F66">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第5章 综合选址评价模型构建（阶段性完成内容）</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前文已完成C公司运营问题识别、选址影响因素筛选以及成本结构分析，为形成标准化、量化的选址决策工具提供了基础。在此基础上，本章将明确综合评价指标体系的构建原则与具体结构，说明组合赋权和TOPSIS评价模型的计算思路，并介绍模型的阶段性应用与后续验证方案。</w:t>
      </w:r>
    </w:p>
    <w:p w14:paraId="337D3602">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5.1 指标体系构建原则</w:t>
      </w:r>
    </w:p>
    <w:p w14:paraId="4CE3F7A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为保证评价模型既具有理论合理性，又能够服务于企业实际决策，本文在构建综合选址评价指标体系时遵循以下原则：</w:t>
      </w:r>
    </w:p>
    <w:p w14:paraId="00C77B9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第一，系统性原则。指标体系应覆盖需求、成本、约束、运营和政策等关键维度，能够较完整反映社区充电桩项目的选址条件。</w:t>
      </w:r>
    </w:p>
    <w:p w14:paraId="793F6FF9">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第二，可操作性原则。指标应便于在项目开发阶段获取和判断，避免过度依赖难以测量的数据。</w:t>
      </w:r>
    </w:p>
    <w:p w14:paraId="63EC6ED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第三，差异性原则。指标应能够反映不同候选社区之间的实际差异，为排序提供有效信息。</w:t>
      </w:r>
    </w:p>
    <w:p w14:paraId="51EA2FD1">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第四，动态适配原则。指标体系应保留后续扩展空间，以便在企业数据积累后不断优化。</w:t>
      </w:r>
    </w:p>
    <w:p w14:paraId="72DB6D3E">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5.2 综合评价指标体系设计</w:t>
      </w:r>
    </w:p>
    <w:p w14:paraId="06D32A6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结合前文因素识别与权重分析结果，本文初步建立了由4个一级指标、若干二级指标构成的综合评价体系。</w:t>
      </w:r>
    </w:p>
    <w:p w14:paraId="3DCF45B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5.2.1 需求侧指标</w:t>
      </w:r>
    </w:p>
    <w:p w14:paraId="677A517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需求侧指标主要包括电动自行车保有量与密度、用户充电高峰时段匹配度、社区人口密度等。该类指标主要用于衡量潜在用户规模和稳定使用基础。</w:t>
      </w:r>
    </w:p>
    <w:p w14:paraId="316A0F37">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5.2.2 供给侧指标</w:t>
      </w:r>
    </w:p>
    <w:p w14:paraId="021C497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供给侧指标主要包括场地可获得性与租金、电力接入条件与成本、周边竞争设施情况等。该类指标用于判断项目建设的现实可行性和前期成本压力。</w:t>
      </w:r>
    </w:p>
    <w:p w14:paraId="63AD99D3">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5.2.3 环境与政策指标</w:t>
      </w:r>
    </w:p>
    <w:p w14:paraId="7C6C953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环境与政策指标包括消防安全条件、区域政策支持力度、交通便利性等，用于反映项目的合规性、推广条件和长期稳定性。</w:t>
      </w:r>
    </w:p>
    <w:p w14:paraId="00721605">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5.2.4 技术与运营指标</w:t>
      </w:r>
    </w:p>
    <w:p w14:paraId="420F4D5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技术与运营指标包括物业协同程度、设备安装便利性、网络信号覆盖等，用于衡量项目后续运维效率和服务稳定性。</w:t>
      </w:r>
    </w:p>
    <w:p>
      <w:pPr>
        <w:snapToGrid/>
        <w:spacing w:before="0" w:beforeAutospacing="0" w:after="0" w:afterAutospacing="0" w:line="360" w:lineRule="auto"/>
        <w:ind w:left="0" w:leftChars="0" w:right="0" w:rightChars="0" w:firstLine="480" w:firstLineChars="200"/>
        <w:jc w:val="both"/>
        <w:rPr>
          <w:rFonts w:ascii="Times New Roman" w:eastAsia="宋体"/>
          <w:sz w:val="24"/>
        </w:rPr>
      </w:pPr>
      <w:r>
        <w:t>在明确综合评价指标的层级结构与具体内容后，还需要确定各指标的重要程度并选择适当的综合评价方法。以下将说明权重确定路径、模型选择依据及具体计算步骤。</w:t>
      </w:r>
    </w:p>
    <w:p w14:paraId="536E2038">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5.3 权重确定与模型构建思路</w:t>
      </w:r>
    </w:p>
    <w:p w14:paraId="47DCA159">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5.3.1 权重确定路径</w:t>
      </w:r>
    </w:p>
    <w:p w14:paraId="2D9DB4A0">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研究继续采用AHP法与熵权法组合赋权。其中，AHP法负责反映管理人员和专家对指标重要性的认知，熵权法负责基于历史数据识别指标差异。通过将两类权重结果进行综合，可以在一定程度上平衡主观经验与客观事实。</w:t>
      </w:r>
    </w:p>
    <w:p w14:paraId="0EE74570">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5.3.2 评价模型选择</w:t>
      </w:r>
    </w:p>
    <w:p w14:paraId="11A7742C">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在备选评价方法中，TOPSIS法具有计算逻辑清晰、结果可解释性较强、便于处理多指标排序问题等优势，较适合企业在多个候选社区之间做优先级判断。因此，本文拟采用TOPSIS法作为综合评价模型的核心方法。</w:t>
      </w:r>
    </w:p>
    <w:p w14:paraId="20E085ED">
      <w:pPr>
        <w:pStyle w:val="5"/>
        <w:snapToGrid/>
        <w:spacing w:before="0" w:beforeAutospacing="0" w:after="0" w:afterAutospacing="0" w:line="360" w:lineRule="auto"/>
        <w:ind w:left="0" w:leftChars="0" w:right="0" w:rightChars="0" w:firstLine="0" w:firstLineChars="0"/>
        <w:jc w:val="left"/>
        <w:outlineLvl w:val="2"/>
        <w:rPr>
          <w:rFonts w:ascii="Times New Roman" w:eastAsia="楷体"/>
          <w:b w:val="0"/>
          <w:color w:val="auto"/>
          <w:sz w:val="24"/>
        </w:rPr>
      </w:pPr>
      <w:r>
        <w:rPr>
          <w:rFonts w:ascii="Times New Roman" w:eastAsia="楷体"/>
          <w:b w:val="0"/>
          <w:color w:val="auto"/>
          <w:sz w:val="24"/>
        </w:rPr>
        <w:t>5.3.3 模型计算步骤</w:t>
      </w:r>
    </w:p>
    <w:p w14:paraId="039446B5">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模型的基本步骤包括：一是构建候选社区原始指标矩阵；二是对正向指标和逆向指标进行标准化处理；三是结合综合权重形成加权标准化矩阵；四是确定正理想解和负理想解；五是计算各候选社区与理想解之间的距离；六是计算相对贴近度并据此完成排序。</w:t>
      </w:r>
    </w:p>
    <w:p w14:paraId="27ECE184">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5.4 阶段性应用方案</w:t>
      </w:r>
    </w:p>
    <w:p w14:paraId="05F4118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基于目前研究进展，本文已完成模型的评价框架设计和指标体系构建，正在以C公司三地站点中的典型社区样本作为候选对象，开展样本整理、数据代入和排序验证工作。验证内容主要包括：</w:t>
      </w:r>
    </w:p>
    <w:p w14:paraId="511D16E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第一，比较模型排序结果与企业现有经验判断是否一致。</w:t>
      </w:r>
    </w:p>
    <w:p w14:paraId="322128C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第二，比较模型优选结果与站点实际运营表现是否存在对应关系。</w:t>
      </w:r>
    </w:p>
    <w:p w14:paraId="337608C6">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第三，分析若干关键参数变化对排序结果的影响，并使用三地部分站点开展交叉验证，以检验模型的稳健性和跨城市适用性。</w:t>
      </w:r>
    </w:p>
    <w:p w14:paraId="54E4CD23">
      <w:pPr>
        <w:pStyle w:val="4"/>
        <w:snapToGrid/>
        <w:spacing w:before="0" w:beforeAutospacing="0" w:after="0" w:afterAutospacing="0" w:line="360" w:lineRule="auto"/>
        <w:ind w:left="0" w:leftChars="0" w:right="0" w:rightChars="0" w:firstLine="0" w:firstLineChars="0"/>
        <w:jc w:val="left"/>
        <w:outlineLvl w:val="1"/>
        <w:rPr>
          <w:rFonts w:ascii="Times New Roman" w:eastAsia="楷体"/>
          <w:b w:val="0"/>
          <w:color w:val="auto"/>
          <w:sz w:val="24"/>
        </w:rPr>
      </w:pPr>
      <w:r>
        <w:rPr>
          <w:rFonts w:ascii="Times New Roman" w:eastAsia="楷体"/>
          <w:b w:val="0"/>
          <w:color w:val="auto"/>
          <w:sz w:val="24"/>
        </w:rPr>
        <w:t>5.5 本章小结</w:t>
      </w:r>
    </w:p>
    <w:p w14:paraId="45F3EE0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本章在前文研究基础上，完成了综合选址评价模型的阶段性构建工作，明确了指标体系构建原则、评价指标结构、组合赋权路径以及TOPSIS模型的基本计算思路。当前模型已具备进入实证验证阶段的条件，但具体排序结果、模型有效性分析和策略提炼仍需在后续研究中进一步完成。</w:t>
      </w:r>
    </w:p>
    <w:p w14:paraId="1CDD5B4A">
      <w:pPr>
        <w:pStyle w:val="3"/>
        <w:snapToGrid/>
        <w:spacing w:before="0" w:beforeAutospacing="0" w:after="0" w:afterAutospacing="0" w:line="360" w:lineRule="auto"/>
        <w:ind w:left="0" w:leftChars="0" w:right="0" w:rightChars="0" w:firstLine="0" w:firstLineChars="0"/>
        <w:jc w:val="center"/>
        <w:outlineLvl w:val="0"/>
        <w:rPr>
          <w:rFonts w:ascii="Times New Roman" w:eastAsia="黑体"/>
          <w:b w:val="0"/>
          <w:color w:val="auto"/>
          <w:sz w:val="28"/>
        </w:rPr>
      </w:pPr>
      <w:r>
        <w:rPr>
          <w:rFonts w:ascii="Times New Roman" w:eastAsia="黑体"/>
          <w:b w:val="0"/>
          <w:color w:val="auto"/>
          <w:sz w:val="28"/>
        </w:rPr>
        <w:t>后续待完成内容说明</w:t>
      </w:r>
    </w:p>
    <w:p w14:paraId="7A4BC4C4">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结合当前中期研究进度，本文后续仍需重点完成以下工作：</w:t>
      </w:r>
    </w:p>
    <w:p w14:paraId="41A839BE">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第一，完成综合选址评价模型的实证应用与结果验证，包括候选社区样本选取、数据标准化处理、排序结果分析以及与实际运营情况对照。</w:t>
      </w:r>
    </w:p>
    <w:p w14:paraId="305C2DD7">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第二，按照中期报告确定的方法调整，采用多元回归和设备老化经验分析完善维护成本预测，对不同社区类型和不同使用周期下的维护成本规律进行更细致分析。</w:t>
      </w:r>
    </w:p>
    <w:p w14:paraId="2F3BF48F">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第三，基于模型结果和企业管理需求，提出具有可操作性的布局优化建议、成本控制建议和扩张复制建议。</w:t>
      </w:r>
    </w:p>
    <w:p w14:paraId="2E2A60EA">
      <w:pPr>
        <w:snapToGrid/>
        <w:spacing w:before="0" w:beforeAutospacing="0" w:after="0" w:afterAutospacing="0" w:line="360" w:lineRule="auto"/>
        <w:ind w:left="0" w:leftChars="0" w:right="0" w:rightChars="0" w:firstLine="480" w:firstLineChars="200"/>
        <w:jc w:val="both"/>
        <w:rPr>
          <w:rFonts w:ascii="Times New Roman" w:eastAsia="宋体"/>
          <w:sz w:val="24"/>
        </w:rPr>
      </w:pPr>
      <w:r>
        <w:rPr>
          <w:rFonts w:ascii="Times New Roman" w:eastAsia="宋体"/>
          <w:sz w:val="24"/>
        </w:rPr>
        <w:t>第四，完善正文引文标注、附图附表、摘要英文版及全文格式细化工作，并对参考文献进行最终核验，形成最终定稿。</w:t>
      </w:r>
    </w:p>
    <w:p w14:paraId="3C9A5DAF">
      <w:pPr>
        <w:pStyle w:val="3"/>
        <w:snapToGrid/>
        <w:spacing w:before="0" w:beforeAutospacing="0" w:after="0" w:afterAutospacing="0" w:line="360" w:lineRule="auto"/>
        <w:ind w:left="0" w:leftChars="0" w:right="0" w:rightChars="0" w:firstLine="0" w:firstLineChars="0"/>
        <w:jc w:val="center"/>
        <w:rPr>
          <w:rFonts w:ascii="Times New Roman" w:eastAsia="黑体"/>
          <w:b w:val="0"/>
          <w:color w:val="auto"/>
          <w:sz w:val="28"/>
        </w:rPr>
      </w:pPr>
      <w:r>
        <w:rPr>
          <w:rFonts w:ascii="Times New Roman" w:eastAsia="黑体"/>
          <w:b w:val="0"/>
          <w:color w:val="auto"/>
          <w:sz w:val="28"/>
        </w:rPr>
        <w:t>参考文献</w:t>
      </w:r>
    </w:p>
    <w:p w14:paraId="21722423">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 魏冠元，王冠群，阮观梅，等．电动汽车充电站选址智能决策与优化研究综述[J]．计算机工程与应用，2023，59(21)：52-65．</w:t>
      </w:r>
    </w:p>
    <w:p w14:paraId="5FCE36B6">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[2] 周筝，龙华，李帅，等．时空需求下的电动汽车充电设施选址优化模型[J]．计算机应用研究，2023，40(9)：2633-2638，2645．</w:t>
      </w:r>
    </w:p>
    <w:p w14:paraId="14897628">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[3] 刘东林，王育飞，张宇，等．基于Huff模型的电动汽车充电站选址定容方法[J]．电力自动化设备，2023，43(11)：103-110．</w:t>
      </w:r>
    </w:p>
    <w:p w14:paraId="7856A7C6">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[4] 潘含芝，于艾清，王育飞，等．均衡不同主体利益的电动汽车充电站选址定容[J]．现代电力，2023，40(6)：995-1004．</w:t>
      </w:r>
    </w:p>
    <w:p w14:paraId="376B0065">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[5] 孙雨乐，漆淘懿，赵宇明，等．路网耦合下计及电动汽车V2G潜力的充电站选址定容研究[J]．综合智慧能源，2024，46(1)：1-10．</w:t>
      </w:r>
    </w:p>
    <w:p w14:paraId="513E47ED">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[6] 王琼，邹晴，李乐，等．考虑用户动态充电需求的充电站选址定容优化[J]．浙江电力，2024，43(9)：10-18．</w:t>
      </w:r>
    </w:p>
    <w:p w14:paraId="7965EE34">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[7] 宣羿，樊立波，孙智卿，等．考虑低碳交通的电动汽车充电站优化配置方法[J]．浙江电力，2024，43(6)：69-79．</w:t>
      </w:r>
    </w:p>
    <w:p w14:paraId="12ABCB40">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[8] 肖白，高峰．含不同容量充电桩的电动汽车充电站选址定容优化方法[J]．电力自动化设备，2022，42(10)：157-166．</w:t>
      </w:r>
    </w:p>
    <w:p w14:paraId="73041D58">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[9] 胡晓伟，宋帅，邱振洋，等．寒区电动公交充电站选址及定容规划研究[J]．交通运输系统工程与信息，2024，24(2)：281-292．</w:t>
      </w:r>
    </w:p>
    <w:p w14:paraId="4F27A013">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[10] 卢慧，谢开贵，邵常政，等．考虑燃油车和电动汽车动态混合交通流的电动汽车充电站规划[J]．高电压技术，2023，49(3)：1150-1160．</w:t>
      </w:r>
    </w:p>
    <w:p w14:paraId="1A92259B">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[11] 赵炳耀，陈璟华，郭经韬，等．基于Voronoi图和改进引力搜索算法的电动汽车充电站选址定容[J]．广东工业大学学报，2021，38(3)：72-78．</w:t>
      </w:r>
    </w:p>
    <w:p w14:paraId="6B242BC2">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[12] 何晨可，朱继忠，刘云，等．计及碳减排的电动汽车充换储一体站与主动配电网协调规划[J]．电工技术学报，2022，37(1)：92-111．</w:t>
      </w:r>
    </w:p>
    <w:p w14:paraId="6B40346E">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[13] 梁璐，韩飞．考虑排队时间和充电成本的电动汽车充电站选址模型[J]．交通信息与安全，2023，41(4)：154-162．</w:t>
      </w:r>
    </w:p>
    <w:p w14:paraId="04C525BB">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[14] 蔡海青，代伟，赵静怡，等．基于多参数规划的电动汽车充电站有效容量评估方法[J]．中国电力，2022，55(11)：175-183．</w:t>
      </w:r>
    </w:p>
    <w:p w14:paraId="28A4FFE9">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[15] 李英量，白博旭，朱琦，等．基于电动汽车充电站的不平衡配电网自愈及优化运行[J]．电力建设，2024，45(6)：37-46．</w:t>
      </w:r>
    </w:p>
    <w:p w14:paraId="44F7B1D8">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[16] 王伟贤，孙舟，潘鸣宇，等．基于模糊层次分析法的电动汽车充电桩信息安全风险评估方法[J]．中国电力，2021，54(1)：96-103．</w:t>
      </w:r>
    </w:p>
    <w:p w14:paraId="4AF87075">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[17] 张良，孙成龙，蔡国伟，等．基于PSO算法的电动汽车有序充放电两阶段优化策略[J]．中国电机工程学报，2022，42(5)：1837-1852．</w:t>
      </w:r>
    </w:p>
    <w:p w14:paraId="11B13AA8">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[18] 林楷东，杨景旭，张勇军，等．双电源供电充电站的需求响应优化模型[J]．电力系统保护与控制，2022，50(17)：68-75．</w:t>
      </w:r>
    </w:p>
    <w:p w14:paraId="702FE3B0">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[19] 李永竞，裴文卉．基于多源数据的充电站三阶段选址优化决策[J]．控制工程，2023，30(9)：1648-1657．</w:t>
      </w:r>
    </w:p>
    <w:p w14:paraId="19136E83">
      <w:pPr>
        <w:snapToGrid w:val="0"/>
        <w:spacing w:before="0" w:beforeAutospacing="0" w:after="0" w:afterAutospacing="0" w:line="360" w:lineRule="auto"/>
        <w:ind w:left="360" w:leftChars="0" w:right="0" w:rightChars="0" w:hanging="360" w:hangingChars="150"/>
        <w:jc w:val="both"/>
        <w:rPr>
          <w:rFonts w:ascii="Times New Roman" w:eastAsia="宋体"/>
          <w:sz w:val="24"/>
        </w:rPr>
      </w:pPr>
      <w:r>
        <w:rPr>
          <w:rFonts w:ascii="Times New Roman" w:hAnsi="Times New Roman" w:eastAsia="宋体"/>
        </w:rPr>
        <w:t>[20] 赵峰，李建霞，高锋阳．考虑不确定性的高速公路光储充电站选址定容[J]．电力自动化设备，2021，41(8)：111．</w:t>
      </w:r>
    </w:p>
    <w:p w14:paraId="0AD30BC6">
      <w:pPr>
        <w:snapToGrid w:val="0"/>
        <w:spacing w:before="0" w:beforeAutospacing="0" w:after="0" w:afterAutospacing="0" w:line="360" w:lineRule="auto"/>
        <w:ind w:left="360" w:leftChars="0" w:right="0" w:rightChars="0" w:hanging="360" w:hangingChars="150"/>
        <w:jc w:val="both"/>
        <w:rPr>
          <w:rFonts w:ascii="Times New Roman" w:eastAsia="宋体"/>
          <w:sz w:val="24"/>
        </w:rPr>
      </w:pPr>
      <w:r>
        <w:t>[21] MA H, PEI W, ZHANG Q, et al. Location of electric vehicle charging stations based on game theory[J]. World Electric Vehicle Journal, 2023, 14(5): 128.</w:t>
      </w:r>
    </w:p>
    <w:p w14:paraId="38F6B7FF">
      <w:pPr>
        <w:snapToGrid w:val="0"/>
        <w:spacing w:before="0" w:beforeAutospacing="0" w:after="0" w:afterAutospacing="0" w:line="360" w:lineRule="auto"/>
        <w:ind w:left="360" w:leftChars="0" w:right="0" w:rightChars="0" w:hanging="360" w:hangingChars="150"/>
        <w:jc w:val="both"/>
        <w:rPr>
          <w:rFonts w:ascii="Times New Roman" w:eastAsia="宋体"/>
          <w:sz w:val="24"/>
        </w:rPr>
      </w:pPr>
      <w:r>
        <w:t>[22] ZHAO H, GAO J, CHENG X. Electric vehicle solar charging station siting study based on GIS and multi-criteria decision-making: A case study of China[J]. Sustainability, 2023, 15(14): 10967.</w:t>
      </w:r>
    </w:p>
    <w:p w14:paraId="1124DC31">
      <w:pPr>
        <w:snapToGrid w:val="0"/>
        <w:spacing w:before="0" w:beforeAutospacing="0" w:after="0" w:afterAutospacing="0" w:line="360" w:lineRule="auto"/>
        <w:ind w:left="360" w:leftChars="0" w:right="0" w:rightChars="0" w:hanging="360" w:hangingChars="150"/>
        <w:jc w:val="both"/>
        <w:rPr>
          <w:rFonts w:ascii="Times New Roman" w:eastAsia="宋体"/>
          <w:sz w:val="24"/>
        </w:rPr>
      </w:pPr>
      <w:r>
        <w:t>[23] AHMAD F, IQBAL A, ASHRAF I, et al. Optimal location of electric vehicle charging station and its impact on distribution network: A review[J]. Energy Reports, 2022, 8: 2314-2333.</w:t>
      </w:r>
    </w:p>
    <w:p w14:paraId="5AED3478">
      <w:pPr>
        <w:snapToGrid w:val="0"/>
        <w:spacing w:before="0" w:beforeAutospacing="0" w:after="0" w:afterAutospacing="0" w:line="360" w:lineRule="auto"/>
        <w:ind w:left="360" w:leftChars="0" w:right="0" w:rightChars="0" w:hanging="360" w:hangingChars="150"/>
        <w:jc w:val="both"/>
        <w:rPr>
          <w:rFonts w:ascii="Times New Roman" w:eastAsia="宋体"/>
          <w:sz w:val="24"/>
        </w:rPr>
      </w:pPr>
      <w:r>
        <w:t>[24] KCHAOU-BOUJELBEN M. Charging station location problem: A comprehensive review on models and solution approaches[J]. Transportation Research Part C: Emerging Technologies, 2021, 132: 103376.</w:t>
      </w:r>
    </w:p>
    <w:p w14:paraId="1A24D582">
      <w:pPr>
        <w:snapToGrid w:val="0"/>
        <w:spacing w:before="0" w:beforeAutospacing="0" w:after="0" w:afterAutospacing="0" w:line="360" w:lineRule="auto"/>
        <w:ind w:left="360" w:leftChars="0" w:right="0" w:rightChars="0" w:hanging="360" w:hangingChars="150"/>
        <w:jc w:val="both"/>
        <w:rPr>
          <w:rFonts w:ascii="Times New Roman" w:eastAsia="宋体"/>
          <w:sz w:val="24"/>
        </w:rPr>
      </w:pPr>
      <w:r>
        <w:t>[25] UNTERLUGGAUER T, RICH J, ANDERSEN P B, et al. Electric vehicle charging infrastructure planning for integrated transportation and power distribution networks: A review[J]. eTransportation, 2022, 12: 100163.</w:t>
      </w:r>
    </w:p>
    <w:p w14:paraId="79FB1A85">
      <w:pPr>
        <w:snapToGrid w:val="0"/>
        <w:spacing w:before="0" w:beforeAutospacing="0" w:after="0" w:afterAutospacing="0" w:line="360" w:lineRule="auto"/>
        <w:ind w:left="360" w:leftChars="0" w:right="0" w:rightChars="0" w:hanging="360" w:hangingChars="150"/>
        <w:jc w:val="both"/>
        <w:rPr>
          <w:rFonts w:ascii="Times New Roman" w:eastAsia="宋体"/>
          <w:sz w:val="24"/>
        </w:rPr>
      </w:pPr>
      <w:r>
        <w:t>[26] ZHOU G, ZHU Z, LUO S. Location optimization of electric vehicle charging stations: Based on cost model and genetic algorithm[J]. Energy, 2022, 247: 123437.</w:t>
      </w:r>
    </w:p>
    <w:p w14:paraId="4756395D">
      <w:pPr>
        <w:snapToGrid w:val="0"/>
        <w:spacing w:before="0" w:beforeAutospacing="0" w:after="0" w:afterAutospacing="0" w:line="360" w:lineRule="auto"/>
        <w:ind w:left="360" w:leftChars="0" w:right="0" w:rightChars="0" w:hanging="360" w:hangingChars="150"/>
        <w:jc w:val="both"/>
        <w:rPr>
          <w:rFonts w:ascii="Times New Roman" w:eastAsia="宋体"/>
          <w:sz w:val="24"/>
        </w:rPr>
      </w:pPr>
      <w:r>
        <w:t>[27] LI Y, PEI W, ZHANG Q, et al. Optimal layout of electric vehicle charging station locations considering dynamic charging demand[J]. Electronics, 2023, 12(8): 1818.</w:t>
      </w:r>
    </w:p>
    <w:p w14:paraId="62928083">
      <w:pPr>
        <w:snapToGrid w:val="0"/>
        <w:spacing w:before="0" w:beforeAutospacing="0" w:after="0" w:afterAutospacing="0" w:line="360" w:lineRule="auto"/>
        <w:ind w:left="360" w:leftChars="0" w:right="0" w:rightChars="0" w:hanging="360" w:hangingChars="150"/>
        <w:jc w:val="both"/>
        <w:rPr>
          <w:rFonts w:ascii="Times New Roman" w:eastAsia="宋体"/>
          <w:sz w:val="24"/>
        </w:rPr>
      </w:pPr>
      <w:r>
        <w:t>[28] HU D, CAI S, LIU Z W, et al. Electric vehicle charging infrastructure location optimization with mixed and forecasted charging requirements[J]. Complexity, 2023: 9567183.</w:t>
      </w:r>
    </w:p>
    <w:p w14:paraId="56EDD7FD">
      <w:pPr>
        <w:snapToGrid w:val="0"/>
        <w:spacing w:before="0" w:beforeAutospacing="0" w:after="0" w:afterAutospacing="0" w:line="360" w:lineRule="auto"/>
        <w:ind w:left="360" w:leftChars="0" w:right="0" w:rightChars="0" w:hanging="360" w:hangingChars="150"/>
        <w:jc w:val="both"/>
        <w:rPr>
          <w:rFonts w:ascii="Times New Roman" w:eastAsia="宋体"/>
          <w:sz w:val="24"/>
        </w:rPr>
      </w:pPr>
      <w:r>
        <w:t>[29] YU Z, WU Z, LI Q, et al. A map matching-based method for electric vehicle charging station placement at directional road segment level[J]. Sustainable Cities and Society, 2022, 84: 103987.</w:t>
      </w:r>
    </w:p>
    <w:p w14:paraId="618AE94A">
      <w:pPr>
        <w:snapToGrid w:val="0"/>
        <w:spacing w:before="0" w:beforeAutospacing="0" w:after="0" w:afterAutospacing="0" w:line="360" w:lineRule="auto"/>
        <w:ind w:left="360" w:leftChars="0" w:right="0" w:rightChars="0" w:hanging="360" w:hangingChars="150"/>
        <w:jc w:val="both"/>
        <w:rPr>
          <w:rFonts w:ascii="Times New Roman" w:eastAsia="宋体"/>
          <w:sz w:val="24"/>
        </w:rPr>
      </w:pPr>
      <w:r>
        <w:t>[30] MOHAMMED A, SAIF O, ABO-ADMA M A, et al. Multiobjective optimization for sizing and placing electric vehicle charging stations considering comprehensive uncertainties[J]. Energy Informatics, 2024, 7: 131.</w:t>
      </w:r>
    </w:p>
    <w:p w14:paraId="6E8CBC76">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1D7A6B05">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30970AC6">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09196E5B">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6F3C192C">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7C93BF40">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16590576">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0B6F12B5">
      <w:pPr>
        <w:snapToGrid w:val="0"/>
        <w:spacing w:before="0" w:beforeAutospacing="0" w:after="0" w:afterAutospacing="0" w:line="360" w:lineRule="auto"/>
        <w:ind w:left="360" w:leftChars="0" w:right="0" w:rightChars="0" w:hanging="360" w:hangingChars="150"/>
        <w:jc w:val="both"/>
        <w:rPr>
          <w:rFonts w:ascii="Times New Roman" w:eastAsia="宋体"/>
          <w:sz w:val="24"/>
        </w:rPr>
      </w:pPr>
    </w:p>
    <w:p w14:paraId="7567F6DE">
      <w:pPr>
        <w:pStyle w:val="3"/>
        <w:snapToGrid w:val="0"/>
        <w:spacing w:before="0" w:beforeAutospacing="0" w:after="0" w:afterAutospacing="0" w:line="360" w:lineRule="auto"/>
        <w:ind w:left="360" w:leftChars="0" w:right="0" w:rightChars="0" w:hanging="360" w:hangingChars="150"/>
        <w:jc w:val="both"/>
        <w:rPr>
          <w:rFonts w:ascii="Times New Roman" w:eastAsia="宋体"/>
          <w:color w:val="auto"/>
          <w:sz w:val="24"/>
        </w:rPr>
      </w:pPr>
      <w:r>
        <w:rPr>
          <w:rFonts w:ascii="Times New Roman" w:eastAsia="宋体"/>
          <w:color w:val="auto"/>
          <w:sz w:val="24"/>
        </w:rPr>
        <w:t>附注</w:t>
      </w:r>
    </w:p>
    <w:p w14:paraId="4239D9EB">
      <w:pPr>
        <w:snapToGrid w:val="0"/>
        <w:spacing w:before="0" w:beforeAutospacing="0" w:after="0" w:afterAutospacing="0" w:line="360" w:lineRule="auto"/>
        <w:ind w:right="0" w:rightChars="0"/>
        <w:jc w:val="both"/>
        <w:rPr>
          <w:rFonts w:ascii="Times New Roman" w:eastAsia="宋体"/>
          <w:sz w:val="24"/>
        </w:rPr>
      </w:pPr>
      <w:r>
        <w:rPr>
          <w:rFonts w:ascii="Times New Roman" w:eastAsia="宋体"/>
          <w:sz w:val="24"/>
        </w:rPr>
        <w:t>本文稿件为依据开题报告与中期检查报告整理形成的阶段性论文稿，完成度约为60%。目前已完成绪论、理论基础与文献综述、企业运营现状分析、选址影响因素与成本结构分析，以及综合评价模型的框架构建。涉及模型实证验证、布局优化建议、结论展望、正文引文标注和参考文献最终核验等内容，仍需在后续研究中继续完善。</w:t>
      </w:r>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华文中宋">
    <w:altName w:val="汉仪书宋二KW"/>
    <w:panose1 w:val="02010600040101010101"/>
    <w:charset w:val="86"/>
    <w:family w:val="auto"/>
    <w:pitch w:val="default"/>
    <w:sig w:usb0="00000000" w:usb1="00000000" w:usb2="00000010" w:usb3="00000000" w:csb0="0004009F"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BC6B5">
    <w:pPr>
      <w:pStyle w:val="24"/>
      <w:jc w:val="center"/>
    </w:pPr>
    <w:r>
      <w:rPr>
        <w:rFonts w:ascii="Times New Roman" w:hAnsi="Times New Roman" w:eastAsia="宋体"/>
        <w:b w:val="0"/>
        <w:sz w:val="18"/>
      </w:rPr>
      <w:t>C公司充电桩选址问题研究（阶段性论文稿）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BC2037"/>
    <w:rsid w:val="7CDD4ABF"/>
    <w:rsid w:val="AFFD7237"/>
    <w:rsid w:val="FDBF42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240" w:after="120" w:line="300" w:lineRule="auto"/>
      <w:ind w:firstLine="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40" w:after="120" w:line="300" w:lineRule="auto"/>
      <w:ind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1"/>
    <w:unhideWhenUsed/>
    <w:qFormat/>
    <w:uiPriority w:val="9"/>
    <w:pPr>
      <w:keepNext/>
      <w:keepLines/>
      <w:spacing w:before="240" w:after="120" w:line="300" w:lineRule="auto"/>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p1"/>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73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yl0473</cp:lastModifiedBy>
  <dcterms:modified xsi:type="dcterms:W3CDTF">2026-06-09T23:09:42Z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3DDB1E0782D9F4BE4B6B256A1C0B23A0_42</vt:lpwstr>
  </property>
</Properties>
</file>