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3"/>
        <w:tblW w:w="0" w:type="auto"/>
        <w:tblInd w:w="-359" w:type="dxa"/>
        <w:tblLayout w:type="fixed"/>
        <w:tblCellMar>
          <w:top w:w="0" w:type="dxa"/>
          <w:left w:w="108" w:type="dxa"/>
          <w:bottom w:w="0" w:type="dxa"/>
          <w:right w:w="108" w:type="dxa"/>
        </w:tblCellMar>
      </w:tblPr>
      <w:tblGrid>
        <w:gridCol w:w="1300"/>
        <w:gridCol w:w="1929"/>
      </w:tblGrid>
      <w:tr w14:paraId="55391FAD">
        <w:trPr>
          <w:trHeight w:val="277" w:hRule="atLeast"/>
        </w:trPr>
        <w:tc>
          <w:tcPr>
            <w:tcW w:w="1300" w:type="dxa"/>
            <w:shd w:val="clear" w:color="auto" w:fill="auto"/>
            <w:vAlign w:val="bottom"/>
          </w:tcPr>
          <w:p w14:paraId="66E0CA4F">
            <w:pPr>
              <w:widowControl w:val="0"/>
              <w:spacing w:before="0" w:after="0" w:line="240" w:lineRule="auto"/>
              <w:ind w:firstLine="0"/>
              <w:jc w:val="center"/>
              <w:rPr>
                <w:sz w:val="18"/>
                <w:szCs w:val="18"/>
                <w:u w:val="single"/>
              </w:rPr>
            </w:pPr>
            <w:r>
              <w:rPr>
                <w:rFonts w:hint="eastAsia" w:asciiTheme="minorEastAsia" w:hAnsiTheme="minorEastAsia" w:eastAsiaTheme="minorEastAsia" w:cstheme="minorEastAsia"/>
                <w:spacing w:val="50"/>
                <w:w w:val="58"/>
                <w:kern w:val="0"/>
                <w:sz w:val="18"/>
                <w:szCs w:val="18"/>
                <w:lang w:eastAsia="zh-CN"/>
              </w:rPr>
              <w:t>学校代码：</w:t>
            </w:r>
          </w:p>
        </w:tc>
        <w:tc>
          <w:tcPr>
            <w:tcW w:w="1929" w:type="dxa"/>
            <w:tcBorders>
              <w:bottom w:val="single" w:color="auto" w:sz="4" w:space="0"/>
            </w:tcBorders>
            <w:shd w:val="clear" w:color="auto" w:fill="auto"/>
            <w:vAlign w:val="bottom"/>
          </w:tcPr>
          <w:p w14:paraId="195D35DD">
            <w:pPr>
              <w:widowControl w:val="0"/>
              <w:spacing w:before="0" w:after="0" w:line="240" w:lineRule="auto"/>
              <w:ind w:firstLine="0"/>
              <w:jc w:val="center"/>
              <w:rPr>
                <w:sz w:val="18"/>
                <w:szCs w:val="18"/>
              </w:rPr>
            </w:pPr>
            <w:r>
              <w:rPr>
                <w:rFonts w:asciiTheme="minorHAnsi" w:hAnsiTheme="minorHAnsi" w:eastAsiaTheme="minorEastAsia"/>
                <w:kern w:val="2"/>
                <w:sz w:val="18"/>
                <w:szCs w:val="18"/>
                <w:lang w:eastAsia="zh-CN"/>
              </w:rPr>
              <w:t>10284</w:t>
            </w:r>
          </w:p>
        </w:tc>
      </w:tr>
      <w:tr w14:paraId="55A325C6">
        <w:trPr>
          <w:trHeight w:val="296" w:hRule="atLeast"/>
        </w:trPr>
        <w:tc>
          <w:tcPr>
            <w:tcW w:w="1300" w:type="dxa"/>
            <w:shd w:val="clear" w:color="auto" w:fill="auto"/>
            <w:vAlign w:val="bottom"/>
          </w:tcPr>
          <w:p w14:paraId="4439C7F1">
            <w:pPr>
              <w:widowControl w:val="0"/>
              <w:spacing w:before="0" w:after="0" w:line="240" w:lineRule="auto"/>
              <w:ind w:firstLine="0"/>
              <w:jc w:val="center"/>
              <w:rPr>
                <w:sz w:val="18"/>
                <w:szCs w:val="18"/>
                <w:u w:val="single"/>
              </w:rPr>
            </w:pPr>
            <w:r>
              <w:rPr>
                <w:rFonts w:hint="eastAsia" w:asciiTheme="minorHAnsi" w:hAnsiTheme="minorHAnsi" w:eastAsiaTheme="minorEastAsia"/>
                <w:spacing w:val="50"/>
                <w:w w:val="58"/>
                <w:kern w:val="0"/>
                <w:sz w:val="18"/>
                <w:szCs w:val="18"/>
                <w:lang w:eastAsia="zh-CN"/>
              </w:rPr>
              <w:t>分类号</w:t>
            </w:r>
            <w:r>
              <w:rPr>
                <w:rFonts w:asciiTheme="minorHAnsi" w:hAnsiTheme="minorHAnsi" w:eastAsiaTheme="minorEastAsia"/>
                <w:spacing w:val="50"/>
                <w:w w:val="58"/>
                <w:kern w:val="0"/>
                <w:sz w:val="18"/>
                <w:szCs w:val="18"/>
                <w:lang w:eastAsia="zh-CN"/>
              </w:rPr>
              <w:t>：</w:t>
            </w:r>
          </w:p>
        </w:tc>
        <w:tc>
          <w:tcPr>
            <w:tcW w:w="1929" w:type="dxa"/>
            <w:tcBorders>
              <w:top w:val="single" w:color="auto" w:sz="4" w:space="0"/>
              <w:bottom w:val="single" w:color="auto" w:sz="4" w:space="0"/>
            </w:tcBorders>
            <w:shd w:val="clear" w:color="auto" w:fill="auto"/>
            <w:vAlign w:val="bottom"/>
          </w:tcPr>
          <w:p w14:paraId="430A0AE5">
            <w:pPr>
              <w:jc w:val="center"/>
              <w:rPr>
                <w:spacing w:val="180"/>
                <w:kern w:val="0"/>
                <w:sz w:val="18"/>
                <w:szCs w:val="18"/>
              </w:rPr>
            </w:pPr>
          </w:p>
        </w:tc>
      </w:tr>
      <w:tr w14:paraId="10E5860A">
        <w:trPr>
          <w:trHeight w:val="277" w:hRule="atLeast"/>
        </w:trPr>
        <w:tc>
          <w:tcPr>
            <w:tcW w:w="1300" w:type="dxa"/>
            <w:shd w:val="clear" w:color="auto" w:fill="auto"/>
            <w:vAlign w:val="bottom"/>
          </w:tcPr>
          <w:p w14:paraId="06EFE38B">
            <w:pPr>
              <w:widowControl w:val="0"/>
              <w:spacing w:before="0" w:after="0" w:line="240" w:lineRule="auto"/>
              <w:ind w:firstLine="0"/>
              <w:jc w:val="center"/>
              <w:rPr>
                <w:sz w:val="18"/>
                <w:szCs w:val="18"/>
                <w:u w:val="single"/>
              </w:rPr>
            </w:pPr>
            <w:r>
              <w:rPr>
                <w:rFonts w:hint="eastAsia" w:asciiTheme="minorHAnsi" w:hAnsiTheme="minorHAnsi" w:eastAsiaTheme="minorEastAsia"/>
                <w:spacing w:val="50"/>
                <w:w w:val="58"/>
                <w:kern w:val="0"/>
                <w:sz w:val="18"/>
                <w:szCs w:val="18"/>
                <w:lang w:eastAsia="zh-CN"/>
              </w:rPr>
              <w:t>密级：</w:t>
            </w:r>
          </w:p>
        </w:tc>
        <w:tc>
          <w:tcPr>
            <w:tcW w:w="1929" w:type="dxa"/>
            <w:tcBorders>
              <w:top w:val="single" w:color="auto" w:sz="4" w:space="0"/>
              <w:bottom w:val="single" w:color="auto" w:sz="4" w:space="0"/>
            </w:tcBorders>
            <w:shd w:val="clear" w:color="auto" w:fill="auto"/>
            <w:vAlign w:val="bottom"/>
          </w:tcPr>
          <w:p w14:paraId="386841FA">
            <w:pPr>
              <w:jc w:val="center"/>
              <w:rPr>
                <w:sz w:val="18"/>
                <w:szCs w:val="18"/>
                <w:u w:val="single"/>
              </w:rPr>
            </w:pPr>
          </w:p>
        </w:tc>
      </w:tr>
      <w:tr w14:paraId="62105447">
        <w:trPr>
          <w:trHeight w:val="277" w:hRule="atLeast"/>
        </w:trPr>
        <w:tc>
          <w:tcPr>
            <w:tcW w:w="1300" w:type="dxa"/>
            <w:shd w:val="clear" w:color="auto" w:fill="auto"/>
            <w:vAlign w:val="bottom"/>
          </w:tcPr>
          <w:p w14:paraId="4F013FA0">
            <w:pPr>
              <w:widowControl w:val="0"/>
              <w:spacing w:before="0" w:after="0" w:line="240" w:lineRule="auto"/>
              <w:ind w:firstLine="0"/>
              <w:jc w:val="center"/>
              <w:rPr>
                <w:sz w:val="18"/>
                <w:szCs w:val="18"/>
                <w:u w:val="single"/>
              </w:rPr>
            </w:pPr>
            <w:r>
              <w:rPr>
                <w:rFonts w:hint="eastAsia" w:asciiTheme="minorHAnsi" w:hAnsiTheme="minorHAnsi" w:eastAsiaTheme="minorEastAsia"/>
                <w:spacing w:val="50"/>
                <w:w w:val="58"/>
                <w:kern w:val="0"/>
                <w:sz w:val="18"/>
                <w:szCs w:val="18"/>
                <w:lang w:eastAsia="zh-CN"/>
              </w:rPr>
              <w:t>UDC：</w:t>
            </w:r>
          </w:p>
        </w:tc>
        <w:tc>
          <w:tcPr>
            <w:tcW w:w="1929" w:type="dxa"/>
            <w:tcBorders>
              <w:top w:val="single" w:color="auto" w:sz="4" w:space="0"/>
              <w:bottom w:val="single" w:color="auto" w:sz="4" w:space="0"/>
            </w:tcBorders>
            <w:shd w:val="clear" w:color="auto" w:fill="auto"/>
            <w:vAlign w:val="bottom"/>
          </w:tcPr>
          <w:p w14:paraId="7440BBE2">
            <w:pPr>
              <w:jc w:val="center"/>
              <w:rPr>
                <w:sz w:val="18"/>
                <w:szCs w:val="18"/>
                <w:u w:val="single"/>
              </w:rPr>
            </w:pPr>
          </w:p>
        </w:tc>
      </w:tr>
      <w:tr w14:paraId="60290297">
        <w:trPr>
          <w:trHeight w:val="277" w:hRule="atLeast"/>
        </w:trPr>
        <w:tc>
          <w:tcPr>
            <w:tcW w:w="1300" w:type="dxa"/>
            <w:shd w:val="clear" w:color="auto" w:fill="auto"/>
            <w:vAlign w:val="bottom"/>
          </w:tcPr>
          <w:p w14:paraId="0AFCB7FC">
            <w:pPr>
              <w:widowControl w:val="0"/>
              <w:spacing w:before="0" w:after="0" w:line="240" w:lineRule="auto"/>
              <w:ind w:firstLine="0"/>
              <w:jc w:val="center"/>
              <w:rPr>
                <w:sz w:val="18"/>
                <w:szCs w:val="18"/>
                <w:u w:val="single"/>
              </w:rPr>
            </w:pPr>
            <w:r>
              <w:rPr>
                <w:rFonts w:hint="eastAsia" w:asciiTheme="minorHAnsi" w:hAnsiTheme="minorHAnsi" w:eastAsiaTheme="minorEastAsia"/>
                <w:spacing w:val="50"/>
                <w:w w:val="58"/>
                <w:kern w:val="0"/>
                <w:sz w:val="18"/>
                <w:szCs w:val="18"/>
                <w:lang w:eastAsia="zh-CN"/>
              </w:rPr>
              <w:t>学号：</w:t>
            </w:r>
          </w:p>
        </w:tc>
        <w:tc>
          <w:tcPr>
            <w:tcW w:w="1929" w:type="dxa"/>
            <w:tcBorders>
              <w:top w:val="single" w:color="auto" w:sz="4" w:space="0"/>
              <w:bottom w:val="single" w:color="auto" w:sz="4" w:space="0"/>
            </w:tcBorders>
            <w:shd w:val="clear" w:color="auto" w:fill="auto"/>
            <w:vAlign w:val="bottom"/>
          </w:tcPr>
          <w:p w14:paraId="469BD721">
            <w:pPr>
              <w:widowControl w:val="0"/>
              <w:spacing w:before="0" w:after="0" w:line="240" w:lineRule="auto"/>
              <w:ind w:firstLine="0"/>
              <w:jc w:val="center"/>
              <w:rPr>
                <w:rFonts w:hint="default" w:eastAsia="宋体"/>
                <w:sz w:val="18"/>
                <w:szCs w:val="18"/>
                <w:lang w:val="en-US" w:eastAsia="zh-CN"/>
              </w:rPr>
            </w:pPr>
            <w:r>
              <w:rPr>
                <w:rFonts w:asciiTheme="minorHAnsi" w:hAnsiTheme="minorHAnsi" w:eastAsiaTheme="minorEastAsia"/>
                <w:kern w:val="2"/>
                <w:sz w:val="18"/>
                <w:szCs w:val="18"/>
                <w:lang w:val="en-US" w:eastAsia="zh-CN"/>
              </w:rPr>
              <w:t>532024150155</w:t>
            </w:r>
          </w:p>
        </w:tc>
      </w:tr>
    </w:tbl>
    <w:p w14:paraId="6CCED3BA">
      <w:pPr>
        <w:spacing w:before="0" w:after="360"/>
        <w:jc w:val="center"/>
        <w:rPr>
          <w:b/>
          <w:spacing w:val="-20"/>
          <w:sz w:val="52"/>
        </w:rPr>
      </w:pPr>
      <w:r>
        <w:rPr>
          <w:b/>
          <w:spacing w:val="-20"/>
          <w:sz w:val="52"/>
        </w:rPr>
        <w:drawing>
          <wp:inline distT="0" distB="0" distL="114300" distR="114300">
            <wp:extent cx="1380490" cy="1243330"/>
            <wp:effectExtent l="0" t="0" r="16510" b="1270"/>
            <wp:docPr id="12" name="图片 1" descr="04校标，中文校名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04校标，中文校名组合"/>
                    <pic:cNvPicPr>
                      <a:picLocks noChangeAspect="1"/>
                    </pic:cNvPicPr>
                  </pic:nvPicPr>
                  <pic:blipFill>
                    <a:blip r:embed="rId7"/>
                    <a:stretch>
                      <a:fillRect/>
                    </a:stretch>
                  </pic:blipFill>
                  <pic:spPr>
                    <a:xfrm>
                      <a:off x="0" y="0"/>
                      <a:ext cx="1380490" cy="1243330"/>
                    </a:xfrm>
                    <a:prstGeom prst="rect">
                      <a:avLst/>
                    </a:prstGeom>
                    <a:noFill/>
                    <a:ln>
                      <a:noFill/>
                    </a:ln>
                  </pic:spPr>
                </pic:pic>
              </a:graphicData>
            </a:graphic>
          </wp:inline>
        </w:drawing>
      </w:r>
    </w:p>
    <w:p w14:paraId="78EE35E2">
      <w:pPr>
        <w:jc w:val="center"/>
        <w:rPr>
          <w:rFonts w:ascii="华文中宋" w:hAnsi="华文中宋" w:eastAsia="华文中宋"/>
          <w:b/>
          <w:sz w:val="56"/>
        </w:rPr>
      </w:pPr>
      <w:r>
        <w:rPr>
          <w:rFonts w:hint="eastAsia" w:ascii="华文中宋" w:hAnsi="华文中宋" w:eastAsia="华文中宋"/>
          <w:b/>
          <w:sz w:val="56"/>
        </w:rPr>
        <w:t>硕 士 学 位 论 文</w:t>
      </w:r>
    </w:p>
    <w:p w14:paraId="00BAED98">
      <w:pPr>
        <w:tabs>
          <w:tab w:val="left" w:pos="1320"/>
        </w:tabs>
        <w:spacing w:line="360" w:lineRule="auto"/>
        <w:ind w:left="0" w:leftChars="0" w:firstLine="0" w:firstLineChars="0"/>
        <w:rPr>
          <w:rFonts w:eastAsia="楷体_GB2312"/>
          <w:b/>
          <w:sz w:val="52"/>
        </w:rPr>
      </w:pPr>
    </w:p>
    <w:tbl>
      <w:tblPr>
        <w:tblStyle w:val="33"/>
        <w:tblW w:w="7534" w:type="dxa"/>
        <w:tblInd w:w="1077" w:type="dxa"/>
        <w:tblLayout w:type="autofit"/>
        <w:tblCellMar>
          <w:top w:w="0" w:type="dxa"/>
          <w:left w:w="108" w:type="dxa"/>
          <w:bottom w:w="0" w:type="dxa"/>
          <w:right w:w="108" w:type="dxa"/>
        </w:tblCellMar>
      </w:tblPr>
      <w:tblGrid>
        <w:gridCol w:w="2466"/>
        <w:gridCol w:w="5068"/>
      </w:tblGrid>
      <w:tr w14:paraId="6F37C62B">
        <w:trPr>
          <w:trHeight w:val="663" w:hRule="atLeast"/>
        </w:trPr>
        <w:tc>
          <w:tcPr>
            <w:tcW w:w="2466" w:type="dxa"/>
            <w:shd w:val="clear" w:color="auto" w:fill="auto"/>
            <w:vAlign w:val="bottom"/>
          </w:tcPr>
          <w:p w14:paraId="71636939">
            <w:pPr>
              <w:rPr>
                <w:rFonts w:ascii="楷体" w:hAnsi="楷体" w:eastAsia="楷体"/>
                <w:b/>
                <w:spacing w:val="66"/>
                <w:sz w:val="32"/>
              </w:rPr>
            </w:pPr>
            <w:r>
              <w:rPr>
                <w:rFonts w:hint="eastAsia" w:ascii="楷体" w:hAnsi="楷体" w:eastAsia="楷体"/>
                <w:b/>
                <w:spacing w:val="66"/>
                <w:sz w:val="32"/>
              </w:rPr>
              <w:t>论文题目</w:t>
            </w:r>
          </w:p>
        </w:tc>
        <w:tc>
          <w:tcPr>
            <w:tcW w:w="5068" w:type="dxa"/>
            <w:tcBorders>
              <w:bottom w:val="single" w:color="auto" w:sz="4" w:space="0"/>
            </w:tcBorders>
            <w:shd w:val="clear" w:color="auto" w:fill="auto"/>
            <w:vAlign w:val="bottom"/>
          </w:tcPr>
          <w:p w14:paraId="161AF72A">
            <w:pPr>
              <w:ind w:left="0" w:leftChars="0" w:firstLine="0" w:firstLineChars="0"/>
              <w:jc w:val="center"/>
              <w:rPr>
                <w:rFonts w:eastAsia="楷体_GB2312"/>
                <w:spacing w:val="66"/>
                <w:sz w:val="32"/>
                <w:u w:val="single"/>
              </w:rPr>
            </w:pPr>
            <w:r>
              <w:rPr>
                <w:rFonts w:ascii="楷体" w:hAnsi="楷体" w:eastAsia="楷体" w:cs="Times New Roman"/>
                <w:b/>
                <w:sz w:val="32"/>
              </w:rPr>
              <w:t>C公司充电桩选址问题研究</w:t>
            </w:r>
          </w:p>
        </w:tc>
      </w:tr>
      <w:tr w14:paraId="7746482A">
        <w:trPr>
          <w:trHeight w:val="639" w:hRule="atLeast"/>
        </w:trPr>
        <w:tc>
          <w:tcPr>
            <w:tcW w:w="2466" w:type="dxa"/>
            <w:shd w:val="clear" w:color="auto" w:fill="auto"/>
            <w:vAlign w:val="bottom"/>
          </w:tcPr>
          <w:p w14:paraId="081DCC41">
            <w:pPr>
              <w:rPr>
                <w:rFonts w:ascii="楷体" w:hAnsi="楷体" w:eastAsia="楷体"/>
                <w:b/>
                <w:spacing w:val="66"/>
                <w:sz w:val="32"/>
              </w:rPr>
            </w:pPr>
            <w:r>
              <w:rPr>
                <w:rFonts w:hint="eastAsia" w:ascii="楷体" w:hAnsi="楷体" w:eastAsia="楷体"/>
                <w:b/>
                <w:spacing w:val="66"/>
                <w:sz w:val="32"/>
              </w:rPr>
              <w:t>作者姓名</w:t>
            </w:r>
          </w:p>
        </w:tc>
        <w:tc>
          <w:tcPr>
            <w:tcW w:w="5068" w:type="dxa"/>
            <w:tcBorders>
              <w:top w:val="single" w:color="auto" w:sz="4" w:space="0"/>
              <w:bottom w:val="single" w:color="auto" w:sz="4" w:space="0"/>
            </w:tcBorders>
            <w:shd w:val="clear" w:color="auto" w:fill="auto"/>
            <w:vAlign w:val="bottom"/>
          </w:tcPr>
          <w:p w14:paraId="4CCA9E8F">
            <w:pPr>
              <w:tabs>
                <w:tab w:val="center" w:pos="2755"/>
                <w:tab w:val="left" w:pos="3840"/>
              </w:tabs>
              <w:ind w:left="0" w:leftChars="0" w:firstLine="0" w:firstLineChars="0"/>
              <w:jc w:val="center"/>
              <w:rPr>
                <w:rFonts w:hint="eastAsia" w:eastAsia="楷体_GB2312"/>
                <w:b/>
                <w:spacing w:val="66"/>
                <w:sz w:val="32"/>
                <w:lang w:val="en-US" w:eastAsia="zh-CN"/>
              </w:rPr>
            </w:pPr>
            <w:r>
              <w:rPr>
                <w:rFonts w:hint="eastAsia" w:ascii="楷体" w:hAnsi="楷体" w:eastAsia="楷体" w:cs="Times New Roman"/>
                <w:b/>
                <w:sz w:val="32"/>
                <w:lang w:val="en-US" w:eastAsia="zh-CN"/>
              </w:rPr>
              <w:t>于琮源</w:t>
            </w:r>
          </w:p>
        </w:tc>
      </w:tr>
      <w:tr w14:paraId="36EC3B49">
        <w:trPr>
          <w:trHeight w:val="663" w:hRule="atLeast"/>
        </w:trPr>
        <w:tc>
          <w:tcPr>
            <w:tcW w:w="2466" w:type="dxa"/>
            <w:shd w:val="clear" w:color="auto" w:fill="auto"/>
            <w:tcFitText/>
            <w:vAlign w:val="bottom"/>
          </w:tcPr>
          <w:p w14:paraId="2AA6058F">
            <w:pPr>
              <w:jc w:val="both"/>
              <w:rPr>
                <w:rFonts w:ascii="楷体" w:hAnsi="楷体" w:eastAsia="楷体"/>
                <w:b/>
                <w:spacing w:val="0"/>
                <w:kern w:val="0"/>
                <w:sz w:val="32"/>
              </w:rPr>
            </w:pPr>
            <w:r>
              <w:rPr>
                <w:rFonts w:hint="eastAsia" w:ascii="楷体" w:hAnsi="楷体" w:eastAsia="楷体"/>
                <w:b/>
                <w:spacing w:val="63"/>
                <w:w w:val="39"/>
                <w:kern w:val="0"/>
                <w:sz w:val="32"/>
                <w:szCs w:val="24"/>
                <w:lang w:eastAsia="zh-CN"/>
              </w:rPr>
              <w:t>专业学位类别（领域</w:t>
            </w:r>
            <w:r>
              <w:rPr>
                <w:rFonts w:hint="eastAsia" w:ascii="楷体" w:hAnsi="楷体" w:eastAsia="楷体"/>
                <w:b/>
                <w:spacing w:val="0"/>
                <w:w w:val="39"/>
                <w:kern w:val="0"/>
                <w:sz w:val="32"/>
              </w:rPr>
              <w:t>）</w:t>
            </w:r>
          </w:p>
        </w:tc>
        <w:tc>
          <w:tcPr>
            <w:tcW w:w="5068" w:type="dxa"/>
            <w:tcBorders>
              <w:top w:val="single" w:color="auto" w:sz="4" w:space="0"/>
              <w:bottom w:val="single" w:color="auto" w:sz="4" w:space="0"/>
            </w:tcBorders>
            <w:shd w:val="clear" w:color="auto" w:fill="auto"/>
            <w:vAlign w:val="bottom"/>
          </w:tcPr>
          <w:p w14:paraId="674ECCE9">
            <w:pPr>
              <w:ind w:left="0" w:leftChars="0" w:firstLine="0" w:firstLineChars="0"/>
              <w:jc w:val="center"/>
              <w:rPr>
                <w:rFonts w:eastAsia="楷体_GB2312"/>
                <w:b/>
                <w:spacing w:val="66"/>
                <w:sz w:val="32"/>
              </w:rPr>
            </w:pPr>
            <w:r>
              <w:rPr>
                <w:rFonts w:ascii="楷体" w:hAnsi="楷体" w:eastAsia="楷体" w:cs="Times New Roman"/>
                <w:b/>
                <w:sz w:val="32"/>
              </w:rPr>
              <w:t>工程管理</w:t>
            </w:r>
          </w:p>
        </w:tc>
      </w:tr>
      <w:tr w14:paraId="6A8A423F">
        <w:trPr>
          <w:trHeight w:val="663" w:hRule="atLeast"/>
        </w:trPr>
        <w:tc>
          <w:tcPr>
            <w:tcW w:w="2466" w:type="dxa"/>
            <w:shd w:val="clear" w:color="auto" w:fill="auto"/>
            <w:vAlign w:val="bottom"/>
          </w:tcPr>
          <w:p w14:paraId="1766B774">
            <w:pPr>
              <w:rPr>
                <w:rFonts w:ascii="楷体" w:hAnsi="楷体" w:eastAsia="楷体"/>
                <w:b/>
                <w:spacing w:val="66"/>
                <w:sz w:val="32"/>
              </w:rPr>
            </w:pPr>
            <w:r>
              <w:rPr>
                <w:rFonts w:hint="eastAsia" w:ascii="楷体" w:hAnsi="楷体" w:eastAsia="楷体"/>
                <w:b/>
                <w:spacing w:val="66"/>
                <w:sz w:val="32"/>
              </w:rPr>
              <w:t>研究方向</w:t>
            </w:r>
          </w:p>
        </w:tc>
        <w:tc>
          <w:tcPr>
            <w:tcW w:w="5068" w:type="dxa"/>
            <w:tcBorders>
              <w:top w:val="single" w:color="auto" w:sz="4" w:space="0"/>
              <w:bottom w:val="single" w:color="auto" w:sz="4" w:space="0"/>
            </w:tcBorders>
            <w:shd w:val="clear" w:color="auto" w:fill="auto"/>
            <w:vAlign w:val="bottom"/>
          </w:tcPr>
          <w:p w14:paraId="418DC615">
            <w:pPr>
              <w:ind w:left="0" w:leftChars="0" w:firstLine="0" w:firstLineChars="0"/>
              <w:jc w:val="center"/>
              <w:rPr>
                <w:rFonts w:hint="default" w:eastAsia="楷体_GB2312"/>
                <w:b/>
                <w:spacing w:val="66"/>
                <w:sz w:val="32"/>
                <w:lang w:val="en-US" w:eastAsia="zh-CN"/>
              </w:rPr>
            </w:pPr>
            <w:r>
              <w:rPr>
                <w:rFonts w:hint="eastAsia" w:ascii="楷体" w:hAnsi="楷体" w:eastAsia="楷体" w:cs="Times New Roman"/>
                <w:b/>
                <w:sz w:val="32"/>
                <w:lang w:val="en-US" w:eastAsia="zh-CN"/>
              </w:rPr>
              <w:t>项目管理</w:t>
            </w:r>
          </w:p>
        </w:tc>
      </w:tr>
      <w:tr w14:paraId="384D45FF">
        <w:trPr>
          <w:trHeight w:val="663" w:hRule="atLeast"/>
        </w:trPr>
        <w:tc>
          <w:tcPr>
            <w:tcW w:w="2466" w:type="dxa"/>
            <w:shd w:val="clear" w:color="auto" w:fill="auto"/>
            <w:vAlign w:val="bottom"/>
          </w:tcPr>
          <w:p w14:paraId="7957578D">
            <w:pPr>
              <w:rPr>
                <w:rFonts w:ascii="楷体" w:hAnsi="楷体" w:eastAsia="楷体"/>
                <w:b/>
                <w:spacing w:val="66"/>
                <w:sz w:val="32"/>
              </w:rPr>
            </w:pPr>
            <w:r>
              <w:rPr>
                <w:rFonts w:hint="eastAsia" w:ascii="楷体" w:hAnsi="楷体" w:eastAsia="楷体"/>
                <w:b/>
                <w:spacing w:val="66"/>
                <w:sz w:val="32"/>
              </w:rPr>
              <w:t>导师姓名</w:t>
            </w:r>
          </w:p>
        </w:tc>
        <w:tc>
          <w:tcPr>
            <w:tcW w:w="5068" w:type="dxa"/>
            <w:tcBorders>
              <w:top w:val="single" w:color="auto" w:sz="4" w:space="0"/>
              <w:bottom w:val="single" w:color="auto" w:sz="4" w:space="0"/>
            </w:tcBorders>
            <w:shd w:val="clear" w:color="auto" w:fill="auto"/>
            <w:vAlign w:val="bottom"/>
          </w:tcPr>
          <w:p w14:paraId="45EC9CEF">
            <w:pPr>
              <w:ind w:left="0" w:leftChars="0" w:firstLine="0" w:firstLineChars="0"/>
              <w:jc w:val="center"/>
              <w:rPr>
                <w:rFonts w:hint="eastAsia" w:eastAsia="楷体_GB2312"/>
                <w:b/>
                <w:spacing w:val="66"/>
                <w:sz w:val="32"/>
                <w:lang w:val="en-US" w:eastAsia="zh-CN"/>
              </w:rPr>
            </w:pPr>
            <w:r>
              <w:rPr>
                <w:rFonts w:hint="eastAsia" w:ascii="楷体" w:hAnsi="楷体" w:eastAsia="楷体" w:cs="Times New Roman"/>
                <w:b/>
                <w:sz w:val="32"/>
                <w:lang w:val="en-US" w:eastAsia="zh-CN"/>
              </w:rPr>
              <w:t>赵佳宝</w:t>
            </w:r>
          </w:p>
        </w:tc>
      </w:tr>
    </w:tbl>
    <w:p w14:paraId="364AEACE">
      <w:pPr>
        <w:spacing w:before="0" w:after="360"/>
        <w:ind w:left="0" w:leftChars="0" w:firstLine="0" w:firstLineChars="0"/>
        <w:jc w:val="both"/>
        <w:rPr>
          <w:b/>
          <w:spacing w:val="-20"/>
          <w:sz w:val="52"/>
        </w:rPr>
      </w:pPr>
    </w:p>
    <w:p w14:paraId="0BD31E0D">
      <w:pPr>
        <w:spacing w:before="0" w:after="360"/>
        <w:ind w:left="0" w:leftChars="0" w:firstLine="0" w:firstLineChars="0"/>
        <w:jc w:val="both"/>
        <w:rPr>
          <w:b/>
          <w:spacing w:val="-20"/>
          <w:sz w:val="52"/>
        </w:rPr>
      </w:pPr>
    </w:p>
    <w:p w14:paraId="2F8E8FF7">
      <w:pPr>
        <w:jc w:val="center"/>
        <w:rPr>
          <w:rFonts w:ascii="楷体" w:hAnsi="楷体" w:eastAsia="楷体"/>
          <w:b/>
          <w:sz w:val="28"/>
        </w:rPr>
      </w:pPr>
      <w:r>
        <w:rPr>
          <w:rFonts w:hint="eastAsia" w:ascii="楷体" w:hAnsi="楷体" w:eastAsia="楷体"/>
          <w:b/>
          <w:bCs/>
          <w:sz w:val="28"/>
          <w:szCs w:val="28"/>
          <w:lang w:val="en-US" w:eastAsia="zh-CN"/>
        </w:rPr>
        <w:t>2026</w:t>
      </w:r>
      <w:r>
        <w:rPr>
          <w:rFonts w:hint="eastAsia" w:ascii="楷体" w:hAnsi="楷体" w:eastAsia="楷体"/>
          <w:b/>
          <w:sz w:val="28"/>
        </w:rPr>
        <w:t>年</w:t>
      </w:r>
      <w:r>
        <w:rPr>
          <w:rFonts w:hint="eastAsia" w:ascii="楷体" w:hAnsi="楷体" w:eastAsia="楷体"/>
          <w:b/>
          <w:sz w:val="28"/>
          <w:lang w:val="en-US" w:eastAsia="zh-CN"/>
        </w:rPr>
        <w:t>06</w:t>
      </w:r>
      <w:r>
        <w:rPr>
          <w:rFonts w:hint="eastAsia" w:ascii="楷体" w:hAnsi="楷体" w:eastAsia="楷体"/>
          <w:b/>
          <w:sz w:val="28"/>
        </w:rPr>
        <w:t xml:space="preserve"> 月</w:t>
      </w:r>
      <w:r>
        <w:rPr>
          <w:rFonts w:hint="eastAsia" w:ascii="楷体" w:hAnsi="楷体" w:eastAsia="楷体"/>
          <w:b/>
          <w:sz w:val="28"/>
          <w:lang w:val="en-US" w:eastAsia="zh-CN"/>
        </w:rPr>
        <w:t>15</w:t>
      </w:r>
      <w:r>
        <w:rPr>
          <w:rFonts w:hint="eastAsia" w:ascii="楷体" w:hAnsi="楷体" w:eastAsia="楷体"/>
          <w:b/>
          <w:sz w:val="28"/>
        </w:rPr>
        <w:t>日</w:t>
      </w:r>
    </w:p>
    <w:p w14:paraId="11A3FE0E">
      <w:pPr>
        <w:spacing w:before="0" w:after="360"/>
        <w:ind w:left="1440" w:leftChars="0" w:firstLine="720" w:firstLineChars="0"/>
        <w:jc w:val="both"/>
        <w:rPr>
          <w:b/>
          <w:spacing w:val="-20"/>
          <w:sz w:val="52"/>
        </w:rPr>
      </w:pPr>
    </w:p>
    <w:p w14:paraId="5CAAB16D">
      <w:pPr>
        <w:snapToGrid/>
        <w:spacing w:before="0" w:beforeAutospacing="0" w:after="0" w:afterAutospacing="0" w:line="360" w:lineRule="auto"/>
        <w:ind w:left="0" w:leftChars="0" w:right="0" w:rightChars="0" w:firstLine="0" w:firstLineChars="0"/>
        <w:jc w:val="center"/>
        <w:rPr>
          <w:rFonts w:ascii="Times New Roman" w:eastAsia="楷体_GB2312"/>
          <w:b/>
          <w:sz w:val="36"/>
        </w:rPr>
      </w:pPr>
      <w:r>
        <w:rPr>
          <w:rFonts w:ascii="Times New Roman" w:hAnsi="Times New Roman" w:eastAsia="楷体_GB2312"/>
          <w:b/>
          <w:sz w:val="36"/>
        </w:rPr>
        <w:t>C公司充电桩选址问题研究</w:t>
      </w:r>
    </w:p>
    <w:p w14:paraId="35F895B0">
      <w:pPr>
        <w:pStyle w:val="3"/>
        <w:snapToGrid/>
        <w:spacing w:before="0" w:beforeAutospacing="0" w:after="0" w:afterAutospacing="0" w:line="360" w:lineRule="auto"/>
        <w:ind w:left="0" w:leftChars="0" w:right="0" w:rightChars="0" w:firstLine="0" w:firstLineChars="0"/>
        <w:jc w:val="center"/>
        <w:rPr>
          <w:rFonts w:ascii="Times New Roman" w:eastAsia="黑体"/>
          <w:b w:val="0"/>
          <w:color w:val="auto"/>
          <w:sz w:val="28"/>
        </w:rPr>
      </w:pPr>
      <w:r>
        <w:rPr>
          <w:rFonts w:ascii="Times New Roman" w:eastAsia="黑体"/>
          <w:b w:val="0"/>
          <w:color w:val="auto"/>
          <w:sz w:val="28"/>
        </w:rPr>
        <w:t>摘要</w:t>
      </w:r>
    </w:p>
    <w:p w14:paraId="27FD4BF9">
      <w:pPr>
        <w:snapToGrid/>
        <w:spacing w:before="0" w:beforeAutospacing="0" w:after="0" w:afterAutospacing="0" w:line="360" w:lineRule="auto"/>
        <w:ind w:left="0" w:leftChars="0" w:right="0" w:rightChars="0" w:firstLine="480" w:firstLineChars="200"/>
        <w:jc w:val="both"/>
        <w:rPr>
          <w:rFonts w:ascii="楷体" w:eastAsia="楷体"/>
          <w:sz w:val="28"/>
        </w:rPr>
      </w:pPr>
      <w:r>
        <w:rPr>
          <w:rFonts w:ascii="楷体" w:eastAsia="楷体"/>
          <w:b w:val="0"/>
          <w:i w:val="0"/>
          <w:sz w:val="24"/>
        </w:rPr>
        <w:t>随着城市短途出行需求的持续增长，电动自行车已成为居民日常通勤的重要工具。与之相伴的是社区充电需求快速上升，但现有社区充电基础设施在布局合理性、建设成本控制和运营效率提升等方面仍存在明显不足。C公司作为社区电动自行车充电桩运营企业，已在南京、深圳、徐州等地开展业务布局。在实际扩张过程中，公司选址工作较多依赖经验判断，缺乏统一的评价模型和标准化的决策流程，导致不同城市和不同社区项目在安装成本、利用率、维护投入和投资回收周期等方面差异显著。基于此，本文以C公司为研究对象，围绕社区电动自行车充电桩选址问题，系统研究选址影响因素识别、成本结构分析以及综合评价模型构建问题。</w:t>
      </w:r>
    </w:p>
    <w:p w14:paraId="33535DE7">
      <w:pPr>
        <w:snapToGrid/>
        <w:spacing w:before="0" w:beforeAutospacing="0" w:after="0" w:afterAutospacing="0" w:line="360" w:lineRule="auto"/>
        <w:ind w:left="0" w:leftChars="0" w:right="0" w:rightChars="0" w:firstLine="480" w:firstLineChars="200"/>
        <w:jc w:val="both"/>
        <w:rPr>
          <w:rFonts w:ascii="楷体" w:eastAsia="楷体"/>
          <w:sz w:val="28"/>
        </w:rPr>
      </w:pPr>
      <w:r>
        <w:rPr>
          <w:rFonts w:ascii="楷体" w:eastAsia="楷体"/>
          <w:b w:val="0"/>
          <w:i w:val="0"/>
          <w:sz w:val="24"/>
        </w:rPr>
        <w:t>本文首先结合行业发展背景与企业实际需求，梳理社区电动自行车充电设施布局的研究意义与现实价值。其次，以公共设施选址理论、消费者行为理论、成本收益理论和可持续发展理论为基础，对相关文献进行系统综述。随后，基于C公司南京、深圳、徐州三地的运营数据和管理实践，分析企业现有充电桩运营状况、选址流程及主要问题。在此基础上，本文从需求侧、供给侧、环境与政策、技术与运营四个维度构建选址影响因素体系，并采用AHP法与熵权法进行组合赋权，形成综合权重矩阵。进一步地，本文对C公司三地项目的安装成本、维护成本及其差异成因进行结构化分析，初步揭示选址方案影响成本与收益的作用机制。</w:t>
      </w:r>
    </w:p>
    <w:p w14:paraId="08A1DDCF">
      <w:pPr>
        <w:snapToGrid/>
        <w:spacing w:before="0" w:beforeAutospacing="0" w:after="0" w:afterAutospacing="0" w:line="360" w:lineRule="auto"/>
        <w:ind w:left="0" w:leftChars="0" w:right="0" w:rightChars="0" w:firstLine="480" w:firstLineChars="200"/>
        <w:jc w:val="both"/>
        <w:rPr>
          <w:rFonts w:ascii="楷体" w:eastAsia="楷体"/>
          <w:sz w:val="28"/>
        </w:rPr>
      </w:pPr>
      <w:r>
        <w:rPr>
          <w:rFonts w:ascii="楷体" w:eastAsia="楷体"/>
          <w:b w:val="0"/>
          <w:i w:val="0"/>
          <w:sz w:val="24"/>
        </w:rPr>
        <w:t>阶段性研究结果表明，用户需求密度、电力接入条件和物业协同程度是影响社区充电桩选址效果的关键因素。在跨城市扩张过程中，C公司站点的安装成本受人工费用、电力改造难度和市政施工条件影响显著；维护成本则因设备使用强度和社区类型不同而呈现差异化特征。由此可见，基于选址影响因素和成本变量构建综合评价模型具有较强可行性，能够为企业后续项目布局提供量化支持。当前，本文已完成绪论、理论基础与文献综述、企业运营现状分析、选址影响因素与成本结构分析，以及综合选址评价模型的指标体系与方法框架构建。后续将继续开展模型实证验证、布局优化策略提炼和全文修改完善工作。</w:t>
      </w:r>
    </w:p>
    <w:p w14:paraId="16D6B70C">
      <w:pPr>
        <w:snapToGrid/>
        <w:spacing w:before="0" w:beforeAutospacing="0" w:after="0" w:afterAutospacing="0" w:line="360" w:lineRule="auto"/>
        <w:ind w:left="0" w:leftChars="0" w:right="0" w:rightChars="0" w:firstLine="480" w:firstLineChars="200"/>
        <w:jc w:val="both"/>
        <w:rPr>
          <w:rFonts w:ascii="楷体" w:eastAsia="楷体"/>
          <w:sz w:val="28"/>
        </w:rPr>
      </w:pPr>
      <w:r>
        <w:t>关键词：电动自行车充电桩；选址评价；成本结构；AHP；熵权法；TOPSIS；社区基础设施</w:t>
      </w:r>
    </w:p>
    <w:p w14:paraId="0D98EE30"/>
    <w:p w14:paraId="4BCF38D6">
      <w:pPr>
        <w:pStyle w:val="3"/>
      </w:pPr>
      <w:r>
        <w:rPr>
          <w:b w:val="0"/>
        </w:rPr>
        <w:t>Abstract</w:t>
      </w:r>
    </w:p>
    <w:p w14:paraId="74D4E9D2">
      <w:pPr>
        <w:jc w:val="center"/>
      </w:pPr>
      <w:r>
        <w:rPr>
          <w:b/>
        </w:rPr>
        <w:t>Research on Site Selection of Charging Piles for Company C</w:t>
      </w:r>
    </w:p>
    <w:p w14:paraId="054B4F40">
      <w:r>
        <w:rPr>
          <w:b w:val="0"/>
        </w:rPr>
        <w:t>With the continuous growth of short-distance urban travel demand, electric bicycles have become an important tool for daily commuting. Meanwhile, community charging demand is rising rapidly, yet existing community charging facilities still face obvious deficiencies in layout rationality, cost control and operational efficiency. Taking Company C as the research object, this study focuses on the identification of site-selection factors, the analysis of cost structure, and the construction of a comprehensive evaluation model for community charging piles.</w:t>
      </w:r>
    </w:p>
    <w:p w14:paraId="1EAF137C">
      <w:r>
        <w:rPr>
          <w:b w:val="0"/>
        </w:rPr>
        <w:t>Based on industry background, relevant theories and the operating practices of Company C in Nanjing, Shenzhen and Xuzhou, the study analyzes current operating conditions, site-selection procedures and major problems. It then builds a factor system from four dimensions, namely demand-side factors, supply-side factors, environmental and policy factors, and technical as well as operational factors, and adopts the AHP-entropy weighting method to obtain combined weights. On this basis, the paper further examines installation costs, maintenance costs and their cross-city differences, and provides methodological support for the subsequent empirical verification of the TOPSIS-based evaluation model.</w:t>
      </w:r>
    </w:p>
    <w:p w14:paraId="3580034E">
      <w:r>
        <w:rPr>
          <w:b w:val="0"/>
        </w:rPr>
        <w:t>Key words: electric bicycle charging piles; site selection evaluation; cost structure; AHP; entropy weight method; TOPSIS; community infrastructure</w:t>
      </w:r>
    </w:p>
    <w:p w14:paraId="700946C3"/>
    <w:p w14:paraId="005CB078">
      <w:pPr>
        <w:pStyle w:val="3"/>
        <w:snapToGrid/>
        <w:spacing w:before="0" w:beforeAutospacing="0" w:after="0" w:afterAutospacing="0" w:line="360" w:lineRule="auto"/>
        <w:ind w:left="0" w:leftChars="0" w:right="0" w:rightChars="0" w:firstLine="0" w:firstLineChars="0"/>
        <w:jc w:val="center"/>
        <w:outlineLvl w:val="0"/>
        <w:rPr>
          <w:rFonts w:ascii="Times New Roman" w:eastAsia="黑体"/>
          <w:b w:val="0"/>
          <w:color w:val="auto"/>
          <w:sz w:val="28"/>
        </w:rPr>
      </w:pPr>
      <w:r>
        <w:rPr>
          <w:rFonts w:ascii="Times New Roman" w:eastAsia="黑体"/>
          <w:b w:val="0"/>
          <w:color w:val="auto"/>
          <w:sz w:val="28"/>
        </w:rPr>
        <w:t>第1章 绪论</w:t>
      </w:r>
    </w:p>
    <w:p w14:paraId="5365CDEF">
      <w:pPr>
        <w:snapToGrid/>
        <w:spacing w:before="0" w:beforeAutospacing="0" w:after="0" w:afterAutospacing="0" w:line="360" w:lineRule="auto"/>
        <w:ind w:left="0" w:leftChars="0" w:right="0" w:rightChars="0" w:firstLine="480" w:firstLineChars="200"/>
        <w:jc w:val="both"/>
        <w:rPr>
          <w:rFonts w:ascii="Times New Roman" w:eastAsia="宋体"/>
          <w:sz w:val="24"/>
        </w:rPr>
      </w:pPr>
      <w:r>
        <w:t>社区电动自行车充电设施的快速发展，使站点布局由单纯的设备建设问题逐步转变为兼顾公共安全、用户需求与企业经营效率的综合决策问题。基于这一现实背景，本章首先说明研究问题的提出过程，进而梳理研究目的、研究意义与国内外研究现状，并介绍本文的研究内容、研究方法、技术路线及创新点，为后续理论分析和企业案例研究奠定基础。</w:t>
      </w:r>
    </w:p>
    <w:p w14:paraId="2BB33D56">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1.1 研究背景</w:t>
      </w:r>
    </w:p>
    <w:p w14:paraId="52326214">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1.1.1 行业发展背景</w:t>
      </w:r>
    </w:p>
    <w:p w14:paraId="6CBD1AB1">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近年来，随着我国城市化进程持续推进以及居民绿色出行意识不断增强，电动自行车因其购置成本低、通行灵活、停放便捷等优势，已成为城市短距离出行的重要交通工具。在大量居民日常通勤、生活购物和接驳地铁公交等场景中，电动自行车的使用频率不断提升，其保有量和使用强度也保持增长态势。与车辆保有量增长相对应的是社区充电需求的迅速扩大，尤其是在高密度居住社区、老旧小区以及外来人口聚集区域，充电设施供需矛盾日益突出。</w:t>
      </w:r>
    </w:p>
    <w:p w14:paraId="5FE4F824">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与汽车充电设施相比，社区电动自行车充电设施具有使用频次高、单次充电金额低、分布场景分散、物业协调要求强等特点。其站点选址不仅关系到用户充电便利性和设备利用率，还与消防安全、场地改造难度、物业协同水平以及后续维护成本密切相关。因此，社区电动自行车充电设施并不是简单意义上的设备铺设问题，而是一个同时涉及公共安全、社区治理、居民服务和企业投资回报的综合管理问题。</w:t>
      </w:r>
    </w:p>
    <w:p w14:paraId="221AE7A0">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1.1.2 政策与安全背景</w:t>
      </w:r>
    </w:p>
    <w:p w14:paraId="13AAF53B">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近年来，多地因“飞线充电”“入户充电”等问题引发火灾事故，社区电动自行车充电安全问题受到社会高度关注。国家及地方政府不断强化对电动自行车停放和充电行为的规范管理，推动社区集中充电设施建设，将其纳入基层治理、消防整治和便民服务体系。政策导向为充电桩企业带来了较大的市场空间，但同时也提高了项目合规性、建设标准和运营管理的要求。</w:t>
      </w:r>
    </w:p>
    <w:p w14:paraId="420D6828">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在这一背景下，企业若仅依靠传统经验进行站点布局，很容易出现“建得出、用不好、收不回”的问题。一方面，若选址偏离真实需求区域，设备利用率不足，会直接影响项目收益；另一方面，若前期忽视电力接入、消防条件、物业态度和社区结构差异，则可能造成安装成本失控、后期维护压力加大甚至项目推进受阻。因此，如何构建适用于社区场景的科学选址方法，已经成为电动自行车充电运营企业提升扩张质量的关键。</w:t>
      </w:r>
    </w:p>
    <w:p w14:paraId="1FA15AA7">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1.1.3 企业实践背景</w:t>
      </w:r>
    </w:p>
    <w:p w14:paraId="4CF5DDCE">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C公司目前已在南京、深圳、徐州等城市开展社区电动自行车充电桩业务。作为一家处于扩张阶段的运营企业，C公司在前期项目开发中积累了一定实践经验，也暴露出明显问题：一是不同城市、不同社区站点的安装成本差异较大，成本管控难度高；二是站点利用率和收益水平波动明显，部分项目未能实现预期回报；三是现有选址决策较多依赖业务人员经验判断，缺乏统一的指标体系和量化评价工具，导致成功经验难以复制，扩张效率受到限制。</w:t>
      </w:r>
    </w:p>
    <w:p w14:paraId="074C3E58">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因此，以C公司为样本研究社区电动自行车充电桩选址问题，不仅具有较强的实践针对性，也有助于从企业管理视角补充现有研究中关于社区细分场景、成本约束和多城市扩张问题的不足。</w:t>
      </w:r>
    </w:p>
    <w:p w14:paraId="151692A5">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1.2 研究目的与意义</w:t>
      </w:r>
    </w:p>
    <w:p w14:paraId="5695C27E">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1.2.1 研究目的</w:t>
      </w:r>
    </w:p>
    <w:p w14:paraId="25EC1DFC">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本文的总体目标是围绕C公司社区电动自行车充电桩业务，构建一套兼顾需求特征、建设约束与成本收益平衡的选址分析框架。具体而言，本文拟实现以下几个方面的研究目的：</w:t>
      </w:r>
    </w:p>
    <w:p w14:paraId="73C560B0">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第一，系统识别影响社区电动自行车充电桩选址效果的关键因素，构建结构化的选址影响因素体系。</w:t>
      </w:r>
    </w:p>
    <w:p w14:paraId="1B37F983">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第二，结合C公司三地运营数据，对安装成本与维护成本进行拆解，形成可比较、可迁移的成本结构分析框架。</w:t>
      </w:r>
    </w:p>
    <w:p w14:paraId="4653A25A">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第三，基于选址因素和成本变量，搭建综合评价模型，为后续站点优选和扩张决策提供方法基础。</w:t>
      </w:r>
    </w:p>
    <w:p w14:paraId="517F2534">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第四，总结C公司既有站点布局经验，为企业后续在新城市和新社区中开展标准化复制提供参考依据。</w:t>
      </w:r>
    </w:p>
    <w:p w14:paraId="454E0F77">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1.2.2 理论意义</w:t>
      </w:r>
    </w:p>
    <w:p w14:paraId="08D0664D">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现有充电设施选址研究主要聚焦于新能源汽车充电站、城市级网络布局或一般公共设施优化模型，对于社区电动自行车充电桩这一细分场景的研究相对不足。尤其在选址因素识别、运维成本分析以及社区治理因素嵌入等方面，尚未形成成熟统一的研究框架。本文以C公司为案例，从社区运营场景出发，将需求、成本、物业协同和政策环境等因素纳入同一分析框架，有助于丰富社区微观场景下公共设施选址研究的内容。</w:t>
      </w:r>
    </w:p>
    <w:p w14:paraId="7A0B9C81">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此外，本文尝试将AHP法、熵权法与综合评价方法结合，用于社区电动自行车充电桩选址分析，这对于拓展多准则决策方法在该领域中的应用也具有一定参考价值。</w:t>
      </w:r>
    </w:p>
    <w:p w14:paraId="5C3C1CAC">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1.2.3 实践意义</w:t>
      </w:r>
    </w:p>
    <w:p w14:paraId="1022DEB4">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从企业实践角度看，本文的研究结果能够帮助C公司解决当前扩张中的三个核心问题：一是提高选址决策的标准化程度，减少过度依赖个人经验导致的判断偏差；二是增强成本测算和项目预估能力，为投资决策、预算管理和风险控制提供依据；三是总结可复制的选址规律，提升企业跨城市布局和规模扩张的效率。</w:t>
      </w:r>
    </w:p>
    <w:p w14:paraId="7AD751D6">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从社会治理角度看，社区充电设施的科学布局有助于改善居民充电便利性，降低私拉乱接带来的安全风险，提升社区公共服务水平。因此，本文研究也具有一定的公共价值。</w:t>
      </w:r>
    </w:p>
    <w:p w14:paraId="7E888E84">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t>1.3 国内外研究现状与问题提出</w:t>
      </w:r>
    </w:p>
    <w:p w14:paraId="75D8B6FC">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1.3.1 充电设施选址研究现状</w:t>
      </w:r>
    </w:p>
    <w:p w14:paraId="1814E820">
      <w:pPr>
        <w:snapToGrid/>
        <w:spacing w:before="0" w:beforeAutospacing="0" w:after="0" w:afterAutospacing="0" w:line="360" w:lineRule="auto"/>
        <w:ind w:left="0" w:leftChars="0" w:right="0" w:rightChars="0" w:firstLine="480" w:firstLineChars="200"/>
        <w:jc w:val="both"/>
        <w:rPr>
          <w:rFonts w:ascii="Times New Roman" w:eastAsia="宋体"/>
          <w:sz w:val="24"/>
        </w:rPr>
      </w:pPr>
      <w:r>
        <w:t>国内充电设施选址研究已经从传统经验判断逐步发展为融合时空需求、用户行为、交通网络、配电网约束和低碳目标的综合优化。相关研究采用综述分析、Huff模型、多主体利益模型、V2G协同、动态需求、Voronoi图和智能算法等方法构建选址定容模型</w:t>
      </w:r>
      <w:r>
        <w:rPr>
          <w:vertAlign w:val="superscript"/>
        </w:rPr>
        <w:t>[1-12]</w:t>
      </w:r>
      <w:r>
        <w:t>。</w:t>
      </w:r>
    </w:p>
    <w:p w14:paraId="59195A68">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从研究对象看，现有成果以新能源汽车充电站为主，研究场景通常包括城市道路网、商业区、交通枢纽和区域级充电网络布局等。与之相比，电动自行车充电桩尤其是社区场景下的选址研究明显不足。社区场景具有高频分散、需求受居住结构影响显著、物业协调约束强、消防要求具体且刚性的特征，这使得汽车充电站的研究结论不能被直接照搬。</w:t>
      </w:r>
    </w:p>
    <w:p w14:paraId="4A9BFAD4">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1.3.2 成本建模研究现状</w:t>
      </w:r>
    </w:p>
    <w:p w14:paraId="117A1D2B">
      <w:pPr>
        <w:snapToGrid/>
        <w:spacing w:before="0" w:beforeAutospacing="0" w:after="0" w:afterAutospacing="0" w:line="360" w:lineRule="auto"/>
        <w:ind w:left="0" w:leftChars="0" w:right="0" w:rightChars="0" w:firstLine="480" w:firstLineChars="200"/>
        <w:jc w:val="both"/>
        <w:rPr>
          <w:rFonts w:ascii="Times New Roman" w:eastAsia="宋体"/>
          <w:sz w:val="24"/>
        </w:rPr>
      </w:pPr>
      <w:r>
        <w:t>在评价与运营方法方面，研究者将排队时间、充电成本、有效容量、GPS轨迹、安全风险、有序充放电、需求响应、多源数据和不确定性等纳入充电设施决策过程，为选址评价、容量配置和分阶段建设提供了方法支持</w:t>
      </w:r>
      <w:r>
        <w:rPr>
          <w:vertAlign w:val="superscript"/>
        </w:rPr>
        <w:t>[13-20]</w:t>
      </w:r>
      <w:r>
        <w:t>。</w:t>
      </w:r>
    </w:p>
    <w:p w14:paraId="274044BE">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但是，针对社区电动自行车充电设施的成本分析仍较为薄弱。现有研究普遍存在两个缺口：一是缺乏将选址因素与成本差异联系起来的系统分析；二是对不同城市、不同社区类型之间成本可比性的研究较少。对企业而言，这正是实际决策最为关注的问题。</w:t>
      </w:r>
    </w:p>
    <w:p w14:paraId="20774CC3">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1.3.3 多城市比较研究现状</w:t>
      </w:r>
    </w:p>
    <w:p w14:paraId="267EC08C">
      <w:pPr>
        <w:snapToGrid/>
        <w:spacing w:before="0" w:beforeAutospacing="0" w:after="0" w:afterAutospacing="0" w:line="360" w:lineRule="auto"/>
        <w:ind w:left="0" w:leftChars="0" w:right="0" w:rightChars="0" w:firstLine="480" w:firstLineChars="200"/>
        <w:jc w:val="both"/>
        <w:rPr>
          <w:rFonts w:ascii="Times New Roman" w:eastAsia="宋体"/>
          <w:sz w:val="24"/>
        </w:rPr>
      </w:pPr>
      <w:r>
        <w:t>国外研究同样关注用户与投资者博弈、GIS多准则决策、配电网影响、交通电网协同、建设运营成本、动态需求和不确定条件下的多目标优化，为构建综合选址评价框架提供了补充依据</w:t>
      </w:r>
      <w:r>
        <w:rPr>
          <w:vertAlign w:val="superscript"/>
        </w:rPr>
        <w:t>[21-30]</w:t>
      </w:r>
      <w:r>
        <w:t>。</w:t>
      </w:r>
    </w:p>
    <w:p w14:paraId="5EE016F8">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对于C公司这类处于扩张阶段的运营企业而言，真正需要解决的是“如何将已有城市的成功经验转化为新城市的可复制标准”，这不仅需要经验总结，更需要以数据和模型为支撑的量化分析。</w:t>
      </w:r>
    </w:p>
    <w:p w14:paraId="6CC74FF7">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t>1.3.4 研究评述与问题提出</w:t>
      </w:r>
    </w:p>
    <w:p w14:paraId="605562FD">
      <w:pPr>
        <w:snapToGrid/>
        <w:spacing w:before="0" w:beforeAutospacing="0" w:after="0" w:afterAutospacing="0" w:line="360" w:lineRule="auto"/>
        <w:ind w:left="0" w:leftChars="0" w:right="0" w:rightChars="0" w:firstLine="480" w:firstLineChars="200"/>
        <w:jc w:val="both"/>
        <w:rPr>
          <w:rFonts w:ascii="Times New Roman" w:eastAsia="宋体"/>
          <w:sz w:val="24"/>
        </w:rPr>
      </w:pPr>
      <w:r>
        <w:t>总体来看，现有研究为本文提供了较好的理论和方法基础，但仍存在以下不足：第一，针对社区电动自行车充电桩场景的研究深度不够；第二，选址影响因素、成本结构和企业扩张决策三者尚未形成统一分析框架；第三，社区物业协同、安全风险和场地改造条件尚未被充分纳入现有充电设施规划模型。基于此，本文将研究重心进一步聚焦于社区场景下企业选址决策所面临的现实问题，并据此提出后续章节的分析路径。</w:t>
      </w:r>
    </w:p>
    <w:p w14:paraId="129ACAED">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因此，本文将以C公司为案例，围绕社区场景、企业运营和多城市扩张三个关键词展开研究，力求使研究更加贴近企业真实决策问题。</w:t>
      </w:r>
    </w:p>
    <w:p w14:paraId="2684CA93">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1.4 研究内容、方法与技术路线</w:t>
      </w:r>
    </w:p>
    <w:p w14:paraId="7584E3BC">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1.4.1 研究内容</w:t>
      </w:r>
    </w:p>
    <w:p w14:paraId="0AD03C5B">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本文主要围绕以下四个方面开展研究：</w:t>
      </w:r>
    </w:p>
    <w:p w14:paraId="24FC26CD">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第一，分析行业背景与研究问题，明确社区电动自行车充电桩选址研究的现实意义。</w:t>
      </w:r>
    </w:p>
    <w:p w14:paraId="4284858E">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第二，基于相关理论和文献，对社区充电设施选址、成本分析与布局优化问题进行系统梳理。</w:t>
      </w:r>
    </w:p>
    <w:p w14:paraId="611B97B2">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第三，结合C公司南京、深圳、徐州三地运营实践，分析企业现有站点布局、选址流程、主要问题以及成本结构。</w:t>
      </w:r>
    </w:p>
    <w:p w14:paraId="10B317D9">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第四，构建选址影响因素体系和综合评价模型，为后续站点优选、成本控制和扩张复制提供方法基础。</w:t>
      </w:r>
    </w:p>
    <w:p w14:paraId="13BFAB84">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1.4.2 研究方法</w:t>
      </w:r>
    </w:p>
    <w:p w14:paraId="33B848B2">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本文主要采用以下研究方法：</w:t>
      </w:r>
    </w:p>
    <w:p w14:paraId="175FC8DF">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（1）文献研究法。通过梳理国内外相关研究成果，明确现有研究进展与不足，为本文构建理论基础和研究框架。</w:t>
      </w:r>
    </w:p>
    <w:p w14:paraId="34D4EE96">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（2）案例分析法。以C公司为案例对象，结合企业在南京、深圳、徐州三地的真实运营数据和管理实践，开展针对性分析。</w:t>
      </w:r>
    </w:p>
    <w:p w14:paraId="4D21AE7C">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（3）数据分析法。对站点分布、利用率、安装成本、维护成本和用户反馈等数据进行整理与比较分析，识别主要影响因素。</w:t>
      </w:r>
    </w:p>
    <w:p w14:paraId="2C09E782">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（4）多准则决策方法。采用AHP法和熵权法进行组合赋权，后续结合TOPSIS法构建综合选址评价模型。</w:t>
      </w:r>
    </w:p>
    <w:p w14:paraId="2A3BA517">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1.4.3 技术路线</w:t>
      </w:r>
    </w:p>
    <w:p w14:paraId="70D8C1F8">
      <w:pPr>
        <w:snapToGrid/>
        <w:spacing w:before="0" w:beforeAutospacing="0" w:after="0" w:afterAutospacing="0" w:line="360" w:lineRule="auto"/>
        <w:ind w:left="0" w:leftChars="0" w:right="0" w:rightChars="0" w:firstLine="480" w:firstLineChars="200"/>
        <w:jc w:val="both"/>
        <w:rPr>
          <w:rFonts w:ascii="Times New Roman" w:eastAsia="宋体"/>
          <w:sz w:val="24"/>
        </w:rPr>
      </w:pPr>
      <w:r>
        <w:t>本文的技术路线如图1-1所示，并依次围绕研究问题提出、理论梳理、企业现状分析、因素识别与赋权、成本结构分析、综合评价模型构建以及后续实证验证展开。</w:t>
      </w:r>
    </w:p>
    <w:p w14:paraId="27D6B9D0">
      <w:pPr>
        <w:jc w:val="center"/>
      </w:pPr>
      <w:r>
        <w:rPr>
          <w:b w:val="0"/>
        </w:rPr>
        <w:t>提出问题与明确研究目标</w:t>
      </w:r>
    </w:p>
    <w:p w14:paraId="6BC5C8D6">
      <w:pPr>
        <w:jc w:val="center"/>
      </w:pPr>
      <w:r>
        <w:rPr>
          <w:b w:val="0"/>
        </w:rPr>
        <w:t>↓</w:t>
      </w:r>
    </w:p>
    <w:p w14:paraId="1A91C742">
      <w:pPr>
        <w:jc w:val="center"/>
      </w:pPr>
      <w:r>
        <w:rPr>
          <w:b w:val="0"/>
        </w:rPr>
        <w:t>理论基础与文献梳理</w:t>
      </w:r>
    </w:p>
    <w:p w14:paraId="012C58BA">
      <w:pPr>
        <w:jc w:val="center"/>
      </w:pPr>
      <w:r>
        <w:rPr>
          <w:b w:val="0"/>
        </w:rPr>
        <w:t>↓</w:t>
      </w:r>
    </w:p>
    <w:p w14:paraId="12E6245B">
      <w:pPr>
        <w:jc w:val="center"/>
      </w:pPr>
      <w:r>
        <w:rPr>
          <w:b w:val="0"/>
        </w:rPr>
        <w:t>C公司运营现状分析与问题诊断</w:t>
      </w:r>
    </w:p>
    <w:p w14:paraId="54FE9547">
      <w:pPr>
        <w:jc w:val="center"/>
      </w:pPr>
      <w:r>
        <w:rPr>
          <w:b w:val="0"/>
        </w:rPr>
        <w:t>↓</w:t>
      </w:r>
    </w:p>
    <w:p w14:paraId="5772CDD3">
      <w:pPr>
        <w:jc w:val="center"/>
      </w:pPr>
      <w:r>
        <w:rPr>
          <w:b w:val="0"/>
        </w:rPr>
        <w:t>选址影响因素识别与指标体系构建</w:t>
      </w:r>
    </w:p>
    <w:p w14:paraId="63BFCF45">
      <w:pPr>
        <w:jc w:val="center"/>
      </w:pPr>
      <w:r>
        <w:rPr>
          <w:b w:val="0"/>
        </w:rPr>
        <w:t>↓</w:t>
      </w:r>
    </w:p>
    <w:p w14:paraId="3FA11AF1">
      <w:pPr>
        <w:jc w:val="center"/>
      </w:pPr>
      <w:r>
        <w:rPr>
          <w:b w:val="0"/>
        </w:rPr>
        <w:t>AHP-熵权组合赋权与成本结构分析</w:t>
      </w:r>
    </w:p>
    <w:p w14:paraId="5E09B563">
      <w:pPr>
        <w:jc w:val="center"/>
      </w:pPr>
      <w:r>
        <w:rPr>
          <w:b w:val="0"/>
        </w:rPr>
        <w:t>↓</w:t>
      </w:r>
    </w:p>
    <w:p w14:paraId="476EC688">
      <w:pPr>
        <w:jc w:val="center"/>
      </w:pPr>
      <w:r>
        <w:rPr>
          <w:b w:val="0"/>
        </w:rPr>
        <w:t>TOPSIS综合评价模型构建</w:t>
      </w:r>
    </w:p>
    <w:p w14:paraId="37F15A4F">
      <w:pPr>
        <w:jc w:val="center"/>
      </w:pPr>
      <w:r>
        <w:rPr>
          <w:b w:val="0"/>
        </w:rPr>
        <w:t>↓</w:t>
      </w:r>
    </w:p>
    <w:p w14:paraId="3AB3DD69">
      <w:pPr>
        <w:jc w:val="center"/>
      </w:pPr>
      <w:r>
        <w:rPr>
          <w:b w:val="0"/>
        </w:rPr>
        <w:t>实证验证、结论提炼与管理建议</w:t>
      </w:r>
    </w:p>
    <w:p w14:paraId="261452C9">
      <w:pPr>
        <w:jc w:val="center"/>
      </w:pPr>
      <w:r>
        <w:rPr>
          <w:b w:val="0"/>
        </w:rPr>
        <w:t>图1-1 技术路线图</w:t>
      </w:r>
    </w:p>
    <w:p w14:paraId="09675BDF">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t>1.5 研究特色</w:t>
      </w:r>
    </w:p>
    <w:p w14:paraId="57A383C9">
      <w:pPr>
        <w:snapToGrid/>
        <w:spacing w:before="0" w:beforeAutospacing="0" w:after="0" w:afterAutospacing="0" w:line="360" w:lineRule="auto"/>
        <w:ind w:left="0" w:leftChars="0" w:right="0" w:rightChars="0" w:firstLine="480" w:firstLineChars="200"/>
        <w:jc w:val="both"/>
        <w:rPr>
          <w:rFonts w:ascii="Times New Roman" w:eastAsia="宋体"/>
          <w:sz w:val="24"/>
        </w:rPr>
      </w:pPr>
      <w:r>
        <w:t>结合当前研究进展与C公司实际需求，本文的研究特色主要体现在以下三个方面：</w:t>
      </w:r>
    </w:p>
    <w:p w14:paraId="3D301886">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第一，研究对象聚焦于社区电动自行车充电桩这一细分场景，与以往新能源汽车充电站研究形成区分，更贴近基层社区和企业运营实际。</w:t>
      </w:r>
    </w:p>
    <w:p w14:paraId="43B6E5EA">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第二，将选址影响因素、安装成本、维护成本和企业扩张复制问题纳入同一研究框架，突出“选址因素—成本结构—综合决策”的逻辑链条。</w:t>
      </w:r>
    </w:p>
    <w:p w14:paraId="2E8842D1">
      <w:pPr>
        <w:snapToGrid/>
        <w:spacing w:before="0" w:beforeAutospacing="0" w:after="0" w:afterAutospacing="0" w:line="360" w:lineRule="auto"/>
        <w:ind w:left="0" w:leftChars="0" w:right="0" w:rightChars="0" w:firstLine="480" w:firstLineChars="200"/>
        <w:jc w:val="both"/>
        <w:rPr>
          <w:rFonts w:ascii="Times New Roman" w:eastAsia="宋体"/>
          <w:sz w:val="24"/>
        </w:rPr>
      </w:pPr>
      <w:r>
        <w:t>第三，基于企业真实运营数据，构建面向项目优选的阶段性评价框架，并为后续实证验证和模型迭代预留数据接口，从而增强研究的可操作性和管理应用价值。</w:t>
      </w:r>
    </w:p>
    <w:p w14:paraId="592B5854">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1.6 本章小结</w:t>
      </w:r>
    </w:p>
    <w:p w14:paraId="5803E364">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本章围绕研究背景、研究意义、国内外研究现状、研究内容与方法等方面展开论述，明确了本文的研究问题与基本思路。可以看出，社区电动自行车充电桩选址问题兼具公共治理属性和企业经营属性，既关系到居民充电安全与便利，也关系到企业成本控制和扩张效率。现有研究虽已形成一定基础，但仍难以直接解释C公司在社区场景下的实际管理问题。后续章节将在理论与案例结合的基础上，对企业运营现状、选址因素和成本结构展开进一步分析。</w:t>
      </w:r>
    </w:p>
    <w:p w14:paraId="0C6AABCB">
      <w:pPr>
        <w:pStyle w:val="3"/>
        <w:snapToGrid/>
        <w:spacing w:before="0" w:beforeAutospacing="0" w:after="0" w:afterAutospacing="0" w:line="360" w:lineRule="auto"/>
        <w:ind w:left="0" w:leftChars="0" w:right="0" w:rightChars="0" w:firstLine="0" w:firstLineChars="0"/>
        <w:jc w:val="center"/>
        <w:outlineLvl w:val="0"/>
        <w:rPr>
          <w:rFonts w:ascii="Times New Roman" w:eastAsia="黑体"/>
          <w:b w:val="0"/>
          <w:color w:val="auto"/>
          <w:sz w:val="28"/>
        </w:rPr>
      </w:pPr>
      <w:r>
        <w:rPr>
          <w:rFonts w:ascii="Times New Roman" w:eastAsia="黑体"/>
          <w:b w:val="0"/>
          <w:color w:val="auto"/>
          <w:sz w:val="28"/>
        </w:rPr>
        <w:t>第2章 理论基础与文献综述</w:t>
      </w:r>
    </w:p>
    <w:p w14:paraId="69B9044F">
      <w:pPr>
        <w:snapToGrid/>
        <w:spacing w:before="0" w:beforeAutospacing="0" w:after="0" w:afterAutospacing="0" w:line="360" w:lineRule="auto"/>
        <w:ind w:left="0" w:leftChars="0" w:right="0" w:rightChars="0" w:firstLine="480" w:firstLineChars="200"/>
        <w:jc w:val="both"/>
        <w:rPr>
          <w:rFonts w:ascii="Times New Roman" w:eastAsia="宋体"/>
          <w:sz w:val="24"/>
        </w:rPr>
      </w:pPr>
      <w:r>
        <w:t>上一章明确了C公司社区电动自行车充电桩选址研究的现实背景、研究问题与整体思路。为了为后续企业运营现状分析和选址评价模型构建提供理论依据，本章将界定研究涉及的核心概念，梳理公共设施选址、消费者行为、成本收益与可持续发展等相关理论，并在系统评述国内外研究成果的基础上提炼本文的研究启示。</w:t>
      </w:r>
    </w:p>
    <w:p w14:paraId="10CEB750">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2.1 核心概念界定</w:t>
      </w:r>
    </w:p>
    <w:p w14:paraId="4B7EAB48">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2.1.1 电动自行车充电桩</w:t>
      </w:r>
    </w:p>
    <w:p w14:paraId="0D692396">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本文所称电动自行车充电桩，主要指设置于居民社区、公共停车区域或其他高频使用场景中，面向电动自行车提供集中、安全、规范充电服务的基础设施。其形式包括集中式充电柜、简易充电端口和具备远程管理能力的智能充电设备。与汽车充电站相比，电动自行车充电桩在功率、单次收益、场地要求和运营频次方面具有明显差异。</w:t>
      </w:r>
    </w:p>
    <w:p w14:paraId="2FC77B8E">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2.1.2 选址评价</w:t>
      </w:r>
    </w:p>
    <w:p w14:paraId="610DF636">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选址评价是指在多个备选位置中，围绕需求、成本、约束、安全、收益等因素建立评价指标体系，并运用定性与定量相结合的方法，对备选站点进行综合判断和排序的过程。对社区电动自行车充电桩而言，选址评价不仅是地理位置选择，更是对用户需求、物业协作、电力接入、消防条件和投资回报的综合平衡。</w:t>
      </w:r>
    </w:p>
    <w:p w14:paraId="4EF77138">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2.1.3 成本结构</w:t>
      </w:r>
    </w:p>
    <w:p w14:paraId="65457E1F">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成本结构是指项目在建设、运营和维护过程中各类成本构成及其比例关系。本文将C公司项目成本划分为安装成本和维护成本两大部分，并进一步拆解为设备采购、土建布线、电力接入、物业协调、故障维修、损耗件更换、巡检维护等具体子项，以分析不同城市和不同社区项目之间的差异来源。</w:t>
      </w:r>
    </w:p>
    <w:p w14:paraId="30A4AE04">
      <w:pPr>
        <w:snapToGrid/>
        <w:spacing w:before="0" w:beforeAutospacing="0" w:after="0" w:afterAutospacing="0" w:line="360" w:lineRule="auto"/>
        <w:ind w:left="0" w:leftChars="0" w:right="0" w:rightChars="0" w:firstLine="480" w:firstLineChars="200"/>
        <w:jc w:val="both"/>
        <w:rPr>
          <w:rFonts w:ascii="Times New Roman" w:eastAsia="宋体"/>
          <w:sz w:val="24"/>
        </w:rPr>
      </w:pPr>
      <w:r>
        <w:t>在明确电动自行车充电桩、选址评价与成本结构等核心概念后，以下进一步梳理解释选址决策及其经济、社会影响的相关理论，为指标识别和模型构建提供分析依据。</w:t>
      </w:r>
    </w:p>
    <w:p w14:paraId="3DD526E4">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2.2 相关理论基础</w:t>
      </w:r>
    </w:p>
    <w:p w14:paraId="7FE8D2C6">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2.2.1 公共设施选址理论</w:t>
      </w:r>
    </w:p>
    <w:p w14:paraId="72C910B5">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公共设施选址理论是研究如何在空间范围内合理布设资源，以实现服务效率、覆盖公平和成本最优的理论基础。该理论强调设施选址应综合考虑需求分布、服务半径、建设成本、可达性与外部约束等因素。对于社区电动自行车充电设施而言，其服务对象具有明显的居民集聚特征，因此公共设施选址理论能够为站点布局的空间合理性提供解释框架。</w:t>
      </w:r>
    </w:p>
    <w:p w14:paraId="1A072128">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2.2.2 消费者行为理论</w:t>
      </w:r>
    </w:p>
    <w:p w14:paraId="35110314">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消费者行为理论强调用户的购买与使用决策会受到便利性、价格感知、习惯、风险认知和替代选择等因素影响。社区居民是否愿意使用集中充电设施，不仅取决于设施是否存在，更取决于位置是否方便、等待成本是否可接受、价格是否合理以及使用体验是否稳定。引入消费者行为理论，有助于解释为什么同样数量的设备在不同社区会出现利用率差异。</w:t>
      </w:r>
    </w:p>
    <w:p w14:paraId="0F89D9A4">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2.2.3 成本收益理论</w:t>
      </w:r>
    </w:p>
    <w:p w14:paraId="7278135A">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成本收益理论强调在资源配置和投资决策中，需要对投入与产出进行系统比较。对C公司而言，选址方案的优劣不应只看建成与否，还应综合考虑安装成本、维护支出、利用率、收入水平和投资回收周期。将成本收益理论引入研究，有助于建立兼顾经济性与可行性的评价框架。</w:t>
      </w:r>
    </w:p>
    <w:p w14:paraId="150AF19E">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2.2.4 可持续发展理论</w:t>
      </w:r>
    </w:p>
    <w:p w14:paraId="77E12E64">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社区电动自行车充电设施的建设不仅具有企业盈利属性，还具有公共安全治理、绿色低碳出行保障和社区服务改善等社会功能。可持续发展理论强调经济、社会和环境效益的统一，能够为本文从更广阔视角理解充电设施布局问题提供支持。</w:t>
      </w:r>
    </w:p>
    <w:p w14:paraId="01079857">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t>2.3 相关研究综述</w:t>
      </w:r>
    </w:p>
    <w:p w14:paraId="7BC26286">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2.3.1 选址影响因素研究</w:t>
      </w:r>
    </w:p>
    <w:p w14:paraId="4C40BD42">
      <w:pPr>
        <w:snapToGrid/>
        <w:spacing w:before="0" w:beforeAutospacing="0" w:after="0" w:afterAutospacing="0" w:line="360" w:lineRule="auto"/>
        <w:ind w:left="0" w:leftChars="0" w:right="0" w:rightChars="0" w:firstLine="480" w:firstLineChars="200"/>
        <w:jc w:val="both"/>
        <w:rPr>
          <w:rFonts w:ascii="Times New Roman" w:eastAsia="宋体"/>
          <w:sz w:val="24"/>
        </w:rPr>
      </w:pPr>
      <w:r>
        <w:t>现有研究普遍认为，需求强度、服务半径、交通便利性、用户选择行为、建设成本、配电网约束和低碳目标是影响充电设施选址的重要变量。在社区场景中，物业配合程度、消防安全、居民结构和场地改造难度等因素的重要性进一步上升。这表明社区电动自行车充电桩选址具有更强的场景依赖性，需要在一般选址研究基础上引入更贴近社区治理与企业运营的变量。</w:t>
      </w:r>
    </w:p>
    <w:p w14:paraId="45949E7B">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2.3.2 选址模型与方法研究</w:t>
      </w:r>
    </w:p>
    <w:p w14:paraId="7173F384">
      <w:pPr>
        <w:snapToGrid/>
        <w:spacing w:before="0" w:beforeAutospacing="0" w:after="0" w:afterAutospacing="0" w:line="360" w:lineRule="auto"/>
        <w:ind w:left="0" w:leftChars="0" w:right="0" w:rightChars="0" w:firstLine="480" w:firstLineChars="200"/>
        <w:jc w:val="both"/>
        <w:rPr>
          <w:rFonts w:ascii="Times New Roman" w:eastAsia="宋体"/>
          <w:sz w:val="24"/>
        </w:rPr>
      </w:pPr>
      <w:r>
        <w:t>在模型方法上，层次分析法适用于处理专家判断和指标层级结构，客观赋权及综合评价方法可用于反映指标差异并完成方案排序。相关研究还引入模糊评价、粒子群算法、需求响应、多源数据、博弈模型、GIS、多目标优化和需求预测等方法，以增强模型对复杂问题的处理能力[16-30]。</w:t>
      </w:r>
    </w:p>
    <w:p w14:paraId="0BEB2A99">
      <w:pPr>
        <w:snapToGrid/>
        <w:spacing w:before="0" w:beforeAutospacing="0" w:after="0" w:afterAutospacing="0" w:line="360" w:lineRule="auto"/>
        <w:ind w:left="0" w:leftChars="0" w:right="0" w:rightChars="0" w:firstLine="480" w:firstLineChars="200"/>
        <w:jc w:val="both"/>
        <w:rPr>
          <w:rFonts w:ascii="Times New Roman" w:eastAsia="宋体"/>
          <w:sz w:val="24"/>
        </w:rPr>
      </w:pPr>
      <w:r>
        <w:t>基于上述方法的适用特点，本文选择AHP法、熵权法和TOPSIS法进行组合评价。该组合方法操作性较强、计算逻辑清晰，较适合C公司现阶段的选址决策需求。</w:t>
      </w:r>
    </w:p>
    <w:p w14:paraId="3A235056">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2.3.3 运营与布局研究</w:t>
      </w:r>
    </w:p>
    <w:p w14:paraId="74D78FD3">
      <w:pPr>
        <w:snapToGrid/>
        <w:spacing w:before="0" w:beforeAutospacing="0" w:after="0" w:afterAutospacing="0" w:line="360" w:lineRule="auto"/>
        <w:ind w:left="0" w:leftChars="0" w:right="0" w:rightChars="0" w:firstLine="480" w:firstLineChars="200"/>
        <w:jc w:val="both"/>
        <w:rPr>
          <w:rFonts w:ascii="Times New Roman" w:eastAsia="宋体"/>
          <w:sz w:val="24"/>
        </w:rPr>
      </w:pPr>
      <w:r>
        <w:t>关于充电设施运营与布局的研究，一方面关注成本、交通流、服务覆盖和设施利用效率，另一方面关注安全风险、需求响应和分阶段建设。已有研究表明，布局优化不仅能改善用户服务水平，还会影响设备使用效率、运行安全和后续维护强度</w:t>
      </w:r>
      <w:r>
        <w:rPr>
          <w:vertAlign w:val="superscript"/>
        </w:rPr>
        <w:t>[1-30]</w:t>
      </w:r>
      <w:r>
        <w:t>。但现有结论多数来源于汽车充电站或城市公共充电网络，对于社区电动自行车微观运营场景的适配性仍有限。</w:t>
      </w:r>
    </w:p>
    <w:p w14:paraId="2C1E7FE2">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2.4 文献述评与研究启示</w:t>
      </w:r>
    </w:p>
    <w:p w14:paraId="75EB4763">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通过文献梳理可以发现，现有研究为本文提供了三个重要启示：第一，选址问题必须构建多维指标体系，不能仅从单一成本或需求视角判断；第二，成本因素与收益因素应同步纳入评价模型，才能更符合企业决策逻辑；第三，案例研究尤其是企业真实数据研究，对于提升模型实用性和落地性具有重要价值。</w:t>
      </w:r>
    </w:p>
    <w:p w14:paraId="0EFC5175">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同时，文献研究也提示本文在后续实证阶段应关注两个问题：一是避免照搬宏观场景研究结论，应强化社区属性和物业协同因素；二是对跨城市差异的解释不仅要有经验判断，也要有数据支撑。</w:t>
      </w:r>
    </w:p>
    <w:p w14:paraId="2120E725">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2.5 本章小结</w:t>
      </w:r>
    </w:p>
    <w:p w14:paraId="05ECFE1E">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本章对本文涉及的核心概念进行了界定，并从公共设施选址理论、消费者行为理论、成本收益理论和可持续发展理论四个方面构建理论基础。通过文献综述可以看出，社区电动自行车充电桩选址问题兼具空间布局和企业经营双重属性，现有研究在方法上具备借鉴价值，但在社区细分场景、成本结构和跨城市扩张问题上仍存在不足。这为后续从C公司真实案例出发开展研究奠定了基础。</w:t>
      </w:r>
    </w:p>
    <w:p w14:paraId="2B55FB62">
      <w:pPr>
        <w:pStyle w:val="3"/>
        <w:snapToGrid/>
        <w:spacing w:before="0" w:beforeAutospacing="0" w:after="0" w:afterAutospacing="0" w:line="360" w:lineRule="auto"/>
        <w:ind w:left="0" w:leftChars="0" w:right="0" w:rightChars="0" w:firstLine="0" w:firstLineChars="0"/>
        <w:jc w:val="center"/>
        <w:outlineLvl w:val="0"/>
        <w:rPr>
          <w:rFonts w:ascii="Times New Roman" w:eastAsia="黑体"/>
          <w:b w:val="0"/>
          <w:color w:val="auto"/>
          <w:sz w:val="28"/>
        </w:rPr>
      </w:pPr>
      <w:r>
        <w:rPr>
          <w:rFonts w:ascii="Times New Roman" w:eastAsia="黑体"/>
          <w:b w:val="0"/>
          <w:color w:val="auto"/>
          <w:sz w:val="28"/>
        </w:rPr>
        <w:t>第3章 C公司充电桩运营现状分析</w:t>
      </w:r>
    </w:p>
    <w:p w14:paraId="0C195D0C">
      <w:pPr>
        <w:snapToGrid/>
        <w:spacing w:before="0" w:beforeAutospacing="0" w:after="0" w:afterAutospacing="0" w:line="360" w:lineRule="auto"/>
        <w:ind w:left="0" w:leftChars="0" w:right="0" w:rightChars="0" w:firstLine="480" w:firstLineChars="200"/>
        <w:jc w:val="both"/>
        <w:rPr>
          <w:rFonts w:ascii="Times New Roman" w:eastAsia="宋体"/>
          <w:sz w:val="24"/>
        </w:rPr>
      </w:pPr>
      <w:r>
        <w:t>在完成核心概念界定和相关理论梳理后，有必要进一步将理论认识落实到C公司的实际运营场景中。因此，本章将从公司业务概况、站点运营现状、现有选址策略与操作流程入手，识别C公司在选址、成本管理和跨城市扩张方面存在的主要问题及其成因，为后续影响因素识别和成本结构分析提供现实依据。</w:t>
      </w:r>
    </w:p>
    <w:p w14:paraId="6F1D4997">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3.1 C公司概况</w:t>
      </w:r>
    </w:p>
    <w:p w14:paraId="27D5ED6E">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3.1.1 公司业务发展概况</w:t>
      </w:r>
    </w:p>
    <w:p w14:paraId="2BF0EF14">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C公司是一家以社区电动自行车充电设施投资、建设和运营为主营业务的企业。公司业务重点围绕社区便民服务和安全充电场景展开，主要通过与物业、社区管理方和场地提供方合作，在居民聚集区域布局集中充电设施。随着市场需求扩大和政策支持力度增强，公司逐步推进跨城市扩张，在南京、深圳、徐州等地形成了阶段性的项目布局。</w:t>
      </w:r>
    </w:p>
    <w:p w14:paraId="2450E08E">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3.1.2 公司充电桩业务特点</w:t>
      </w:r>
    </w:p>
    <w:p w14:paraId="133AB65A">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与大型公共充电设施企业相比，C公司的业务更强调社区渗透和项目精细化运营，其站点通常分布在老旧小区、新建商品房小区以及复合型居住社区。由于社区结构、物业管理水平和居民使用习惯差异较大，站点间运营表现并不完全一致。这决定了公司必须同时具备前端开发能力、项目落地能力和后续运维能力。</w:t>
      </w:r>
    </w:p>
    <w:p w14:paraId="113FDBED">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3.2 C公司充电桩运营现状</w:t>
      </w:r>
    </w:p>
    <w:p w14:paraId="3AC81A5A">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3.2.1 站点分布与场景特征</w:t>
      </w:r>
    </w:p>
    <w:p w14:paraId="21FF1BF5">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根据公司现有业务布局，南京、深圳、徐州三地已经形成一定规模的社区站点网络。三地项目所处城市层级、社区类型和物业环境差异明显。南京项目总体较为均衡，既有成熟社区也有新建社区；深圳项目处于人口密度高、人工成本高、物业要求高的环境中；徐州项目则更多分布于成本相对较低、社区协作较为稳定的区域。</w:t>
      </w:r>
    </w:p>
    <w:p w14:paraId="6534811E">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从项目场景看，C公司当前服务对象主要为居住型社区用户，使用行为呈现出“高频、短时、刚需”的特征。居民对站点位置、充电便利性和安全性的敏感度较高，而对服务半径、设备故障率和费用水平的容忍度较低。这决定了站点布局必须更加贴近用户生活路径。</w:t>
      </w:r>
    </w:p>
    <w:p w14:paraId="670456CB">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3.2.2 运营数据与用户反馈特征</w:t>
      </w:r>
    </w:p>
    <w:p w14:paraId="4CE2C8D3">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从阶段性运营情况看，三地站点的使用效率存在明显差异。部分站点在高峰时段出现排队使用现象，而部分站点则存在设备闲置。用户活跃度与社区人口密度、电动自行车保有量、上下班出行规律以及物业宣传配合程度关系密切。</w:t>
      </w:r>
    </w:p>
    <w:p w14:paraId="3B5819C5">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从用户反馈角度看，居民普遍关注以下几个方面：一是站点是否足够近，是否需要绕行；二是充电设备是否稳定，是否存在故障或支付不便；三是充电区域是否安全、整洁，是否影响日常通行。这说明用户对充电设施的评价并不仅仅基于是否“有设备”，还包含服务体验和社区环境感知。</w:t>
      </w:r>
    </w:p>
    <w:p w14:paraId="7663A2A5">
      <w:pPr>
        <w:snapToGrid/>
        <w:spacing w:before="0" w:beforeAutospacing="0" w:after="0" w:afterAutospacing="0" w:line="360" w:lineRule="auto"/>
        <w:ind w:left="0" w:leftChars="0" w:right="0" w:rightChars="0" w:firstLine="480" w:firstLineChars="200"/>
        <w:jc w:val="both"/>
        <w:rPr>
          <w:rFonts w:ascii="Times New Roman" w:eastAsia="宋体"/>
          <w:sz w:val="24"/>
        </w:rPr>
      </w:pPr>
      <w:r>
        <w:t>上述运营现状反映了不同城市和社区站点在使用效率与用户体验方面的差异。为进一步解释这些差异的形成原因，以下从C公司现有选址依据、操作流程及其局限性展开分析。</w:t>
      </w:r>
    </w:p>
    <w:p w14:paraId="15F5ED8C">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3.3 C公司现有选址策略与流程</w:t>
      </w:r>
    </w:p>
    <w:p w14:paraId="486FC1C8">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3.3.1 当前选址依据</w:t>
      </w:r>
    </w:p>
    <w:p w14:paraId="339E7B0A">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C公司当前项目开发阶段主要依赖业务人员进行前期踏勘和经验判断。常见判断依据包括社区规模、居民车辆数量、物业态度、可施工空间、电力接入可行性以及周边竞争设施情况。这些因素基本覆盖了选址决策的核心维度，但在具体项目中缺乏统一评价标准，不同人员对同一指标的理解和权重认知可能存在差异。</w:t>
      </w:r>
    </w:p>
    <w:p w14:paraId="698D6B1D">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3.3.2 当前操作流程</w:t>
      </w:r>
    </w:p>
    <w:p w14:paraId="23CDE60D">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从现有流程看，C公司的项目开发通常包括需求发现、现场勘查、物业沟通、施工条件确认、内部评估、设备安装和后续运营几个阶段。其中，前期勘查和内部评估环节对最终项目成败影响最为明显。一旦在选址阶段低估了场地限制、消防问题或物业协调难度，后续安装推进和运维稳定性就可能受到较大影响。</w:t>
      </w:r>
    </w:p>
    <w:p w14:paraId="1548A915">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3.3.3 现有流程的局限性</w:t>
      </w:r>
    </w:p>
    <w:p w14:paraId="0CF8D2BF">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尽管现有流程具备一定实操经验基础，但仍存在三个明显局限。第一，评价口径不统一，导致不同城市、不同团队之间难以横向比较项目优劣；第二，缺乏数据沉淀与结构化复盘，使得历史项目经验难以转化为标准规则；第三，成本与收益因素未形成联动分析，容易出现“需求好但落地难”或“能建成但回报弱”的情况。</w:t>
      </w:r>
    </w:p>
    <w:p w14:paraId="46538828">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3.4 C公司运营中存在的问题与原因</w:t>
      </w:r>
    </w:p>
    <w:p w14:paraId="342D02CF">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3.4.1 选址方面存在的问题</w:t>
      </w:r>
    </w:p>
    <w:p w14:paraId="095B4FC1">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一是过度依赖经验。经验判断在项目早期具有一定效率优势，但当企业进入多城市扩张阶段时，单纯依靠经验容易导致判断标准不稳定，成功经验难以复制。</w:t>
      </w:r>
    </w:p>
    <w:p w14:paraId="23B4170D">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二是核心因素识别不充分。在部分项目中，对电力接入条件、物业协同程度和后续维护便利性的重视程度不足，导致项目在建成后出现成本超预期或运维困难。</w:t>
      </w:r>
    </w:p>
    <w:p w14:paraId="29442C7F">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三是项目优选能力不足。面对多个备选社区，缺乏统一的指标体系和评分模型，不利于做出更优资源配置。</w:t>
      </w:r>
    </w:p>
    <w:p w14:paraId="586AB3C6">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3.4.2 成本管理方面存在的问题</w:t>
      </w:r>
    </w:p>
    <w:p w14:paraId="1CE215FB">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在安装成本管理方面，不同城市项目的成本差异明显，且部分成本项在前期测算中难以准确预估，尤其是电力改造、市政施工和物业协调相关成本。因此，公司难以在项目启动前形成可靠的投资预算。</w:t>
      </w:r>
    </w:p>
    <w:p w14:paraId="48915FBF">
      <w:pPr>
        <w:snapToGrid/>
        <w:spacing w:before="0" w:beforeAutospacing="0" w:after="0" w:afterAutospacing="0" w:line="360" w:lineRule="auto"/>
        <w:ind w:left="0" w:leftChars="0" w:right="0" w:rightChars="0" w:firstLine="480" w:firstLineChars="200"/>
        <w:jc w:val="both"/>
        <w:rPr>
          <w:rFonts w:ascii="Times New Roman" w:eastAsia="宋体"/>
          <w:sz w:val="24"/>
        </w:rPr>
      </w:pPr>
      <w:r>
        <w:t>在维护成本管理方面，现有维护数据的记录粒度不够细，使企业对后续成本结构和变化规律的把握仍不充分，难以支撑精细化预算控制。</w:t>
      </w:r>
    </w:p>
    <w:p w14:paraId="6BE55CFB">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3.4.3 扩张复制方面存在的问题</w:t>
      </w:r>
    </w:p>
    <w:p w14:paraId="083A762F">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企业在一个城市取得成功，并不意味着能够在另一城市直接复制。城市人口结构、人工成本水平、政策环境、物业管理模式和居民使用习惯的差异，使得扩张面临较强的不确定性。若缺乏标准化方法，企业不仅扩张效率会下降，还可能因项目质量不稳定带来管理风险。</w:t>
      </w:r>
    </w:p>
    <w:p w14:paraId="5C73BE40">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3.4.4 问题成因分析</w:t>
      </w:r>
    </w:p>
    <w:p w14:paraId="64048861">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从内部看，问题主要源于公司尚未建立系统化的选址评价和项目复盘机制，经验虽然丰富，但未形成可复用的知识体系。从外部看，不同城市和不同社区场景差异明显，政策、物业、用户行为和基础设施条件的变化，使得项目开发天然具有复杂性。因此，必须通过模型化和结构化方法提升决策质量。</w:t>
      </w:r>
    </w:p>
    <w:p w14:paraId="3D0407B8">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3.5 本章小结</w:t>
      </w:r>
    </w:p>
    <w:p w14:paraId="73101DC7">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本章从企业角度系统分析了C公司的业务概况、现有运营状况、选址流程及主要问题。研究表明，C公司已具备一定社区充电业务基础，但在选址标准化、成本预测和扩张复制能力方面仍存在明显短板。企业现有痛点既来源于内部管理工具不足，也受到外部环境复杂性的影响。基于这些现实问题，后续章节将进一步识别影响选址成效的关键因素，并对成本结构进行深入分析。</w:t>
      </w:r>
    </w:p>
    <w:p w14:paraId="1817E8CB">
      <w:pPr>
        <w:pStyle w:val="3"/>
        <w:snapToGrid/>
        <w:spacing w:before="0" w:beforeAutospacing="0" w:after="0" w:afterAutospacing="0" w:line="360" w:lineRule="auto"/>
        <w:ind w:left="0" w:leftChars="0" w:right="0" w:rightChars="0" w:firstLine="0" w:firstLineChars="0"/>
        <w:jc w:val="center"/>
        <w:outlineLvl w:val="0"/>
        <w:rPr>
          <w:rFonts w:ascii="Times New Roman" w:eastAsia="黑体"/>
          <w:b w:val="0"/>
          <w:color w:val="auto"/>
          <w:sz w:val="28"/>
        </w:rPr>
      </w:pPr>
      <w:r>
        <w:rPr>
          <w:rFonts w:ascii="Times New Roman" w:eastAsia="黑体"/>
          <w:b w:val="0"/>
          <w:color w:val="auto"/>
          <w:sz w:val="28"/>
        </w:rPr>
        <w:t>第4章 选址影响因素与成本结构分析</w:t>
      </w:r>
    </w:p>
    <w:p w14:paraId="66C3E224">
      <w:pPr>
        <w:snapToGrid/>
        <w:spacing w:before="0" w:beforeAutospacing="0" w:after="0" w:afterAutospacing="0" w:line="360" w:lineRule="auto"/>
        <w:ind w:left="0" w:leftChars="0" w:right="0" w:rightChars="0" w:firstLine="480" w:firstLineChars="200"/>
        <w:jc w:val="both"/>
        <w:rPr>
          <w:rFonts w:ascii="Times New Roman" w:eastAsia="宋体"/>
          <w:sz w:val="24"/>
        </w:rPr>
      </w:pPr>
      <w:r>
        <w:t>上一章的案例分析表明，C公司现有选址决策面临标准不统一、成本预测不足和扩张经验难以复制等问题。针对这些问题，本章将进一步识别影响社区充电桩选址成效的关键因素，分析各因素的相对重要性，并结合南京、深圳和徐州三地项目数据研究安装成本、维护成本及其差异成因，从而揭示选址条件影响成本与收益的具体机制。</w:t>
      </w:r>
    </w:p>
    <w:p w14:paraId="3A1CA735">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4.1 选址影响因素识别</w:t>
      </w:r>
    </w:p>
    <w:p w14:paraId="1A341B3D">
      <w:r>
        <w:rPr>
          <w:b w:val="0"/>
        </w:rPr>
        <w:t>从理论映射关系看，需求侧因素主要对应消费者行为理论，强调居民使用便利性、充电频率和出行规律对站点需求的影响；供给侧因素与环境政策因素主要回应公共设施选址理论和可持续发展理论，体现服务覆盖、公平性、合规性与资源约束；技术与运营因素以及后续成本分析则与成本收益理论直接相关，强调建设可行性、维护便利性与长期投资回报之间的平衡。据此，以下各维度的因素识别不仅来自企业经验判断，也分别对应前述理论基础。</w:t>
      </w:r>
    </w:p>
    <w:p w14:paraId="27008837">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4.1.1 需求侧因素</w:t>
      </w:r>
    </w:p>
    <w:p w14:paraId="6BE807C0">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需求侧因素是影响社区电动自行车充电桩选址成效的直接基础。对于社区场景而言，电动自行车保有量、用户充电频率、日常出行规律和高峰时段分布共同决定了站点潜在需求规模。若目标区域电动自行车保有量高、居民夜间集中充电需求明显，则站点更有可能形成较高利用率。</w:t>
      </w:r>
    </w:p>
    <w:p w14:paraId="701D1E74">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同时，社区人口密度和居住结构也会影响需求强度。例如，通勤型居民较多的社区，其充电需求往往呈现明显的晚间高峰；而老龄化程度较高或流动性较弱的社区，需求释放节奏可能相对平缓。因此，需求侧因素不仅决定“有没有人用”，也影响“何时使用”和“使用多频繁”。</w:t>
      </w:r>
    </w:p>
    <w:p w14:paraId="40B9A1D8">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4.1.2 供给侧因素</w:t>
      </w:r>
    </w:p>
    <w:p w14:paraId="3E3BEC98">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供给侧因素主要包括场地可获得性、租金或场地使用成本、电力接入条件和周边竞争充电设施情况。对于C公司而言，可施工空间是否具备、场地位置是否合理、电源接入是否便捷，往往直接决定项目能否顺利落地。</w:t>
      </w:r>
    </w:p>
    <w:p w14:paraId="2D907D5D">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其中，电力接入条件是供给侧因素中的核心约束。若社区既有配电条件不足，或需要进行复杂电力改造，则安装成本和施工周期都会显著增加。</w:t>
      </w:r>
    </w:p>
    <w:p w14:paraId="05527903">
      <w:pPr>
        <w:snapToGrid/>
        <w:spacing w:before="0" w:beforeAutospacing="0" w:after="0" w:afterAutospacing="0" w:line="360" w:lineRule="auto"/>
        <w:ind w:left="0" w:leftChars="0" w:right="0" w:rightChars="0" w:firstLine="480" w:firstLineChars="200"/>
        <w:jc w:val="both"/>
        <w:rPr>
          <w:rFonts w:ascii="Times New Roman" w:eastAsia="宋体"/>
          <w:sz w:val="24"/>
        </w:rPr>
      </w:pPr>
      <w:r>
        <w:t>除电力接入条件外，场地租金与物业收费政策会影响项目的长期收益水平。同时，周边同类充电设施的数量决定了市场竞争强度；若现有设施较多，新增项目的边际收益可能下降。</w:t>
      </w:r>
    </w:p>
    <w:p w14:paraId="00454E26">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4.1.3 环境与政策因素</w:t>
      </w:r>
    </w:p>
    <w:p w14:paraId="38CAFA43">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环境与政策因素包括消防安全条件、区域规划要求、交通便利性以及地方支持政策等。社区充电设施具有明显的安全敏感属性，因此选址必须满足消防通道、设备间距、停放秩序等要求。对于部分老旧小区而言，场地虽然需求高，但若消防改造难度过大，也可能不具备项目可行性。</w:t>
      </w:r>
    </w:p>
    <w:p w14:paraId="7FD7AD6E">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政策环境则会影响项目推进效率和合规成本。若地方政府鼓励社区集中充电设施建设，且物业和街道层面支持力度较高，则企业更容易开展项目合作。相反，若审批和协调流程复杂，项目实施成本就会提高。</w:t>
      </w:r>
    </w:p>
    <w:p w14:paraId="6A09E206">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4.1.4 技术与运营因素</w:t>
      </w:r>
    </w:p>
    <w:p w14:paraId="5D121E52">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技术与运营因素主要包括设备安装便利性、后续维护便利性、网络信号覆盖以及物业协同程度。社区站点不同于一次性施工项目，其后续运营和维护是持续发生的。因此，一个“能建成”的位置并不一定是“值得长期运营”的位置。若设备维护不便、弱电环境差、物业配合差，则故障处理效率和用户满意度都可能下降。</w:t>
      </w:r>
    </w:p>
    <w:p w14:paraId="28469E06">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物业协同程度在社区场景中尤为关键。物业不仅决定项目能否进入社区，也会影响场地使用管理、设备日常秩序维护和居民接受程度。因此，物业关系并非外部附加条件，而是选址评价中的重要变量。</w:t>
      </w:r>
    </w:p>
    <w:p w14:paraId="709571E5">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4.2 关键因素筛选与权重分析</w:t>
      </w:r>
    </w:p>
    <w:p w14:paraId="13BF221E">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4.2.1 因素筛选逻辑</w:t>
      </w:r>
    </w:p>
    <w:p w14:paraId="33BAD1A6">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在广泛识别因素的基础上，本文结合文献研究、企业调研和项目经验，对选址因素进行筛选。筛选原则主要包括：一是与社区电动自行车充电桩场景具有直接相关性；二是能够在项目开发阶段被识别和判断；三是对成本、利用率和后续运营结果具有显著影响；四是具备一定可量化性，便于后续模型构建。</w:t>
      </w:r>
    </w:p>
    <w:p w14:paraId="71338B2B">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经筛选后，本文将选址影响因素归纳为需求侧因素、供给侧因素、环境与政策因素、技术与运营因素四个一级维度，并进一步形成若干二级指标。</w:t>
      </w:r>
    </w:p>
    <w:p w14:paraId="673644A9">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4.2.2 组合赋权方法</w:t>
      </w:r>
    </w:p>
    <w:p w14:paraId="356EFBA1">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为了避免单纯依赖主观判断或客观数据造成偏差，本文采用AHP法与熵权法相结合的方式开展组合赋权。AHP法主要用于反映管理人员和行业专家对指标相对重要性的判断，熵权法则利用实际运营数据识别指标差异性，从而增强权重结果的客观性。最后，通过线性加权方式融合主客观权重，形成综合权重矩阵。</w:t>
      </w:r>
    </w:p>
    <w:p w14:paraId="31FC5CA2">
      <w:r>
        <w:t>AHP法中，先构建判断矩阵 A=(aij)，再依据专家成对比较结果求取权重。常用一致性检验公式为：CI=(λmax-n)/(n-1)，CR=CI/RI。当 CR&lt;0.10 时，判断矩阵具有可接受一致性。熵权法中，先对原始数据进行标准化，记标准化结果为 rij，再计算 ej=-kΣ(rij ln rij)，其中 k=1/ln m；据此得到 dj=1-ej 和客观权重 βj=dj/Σdj。最后，将主观权重 αj 与客观权重 βj 按 ωj=θαj+(1-θ)βj 合成为综合权重。具体判断矩阵与原始数据矩阵将在后续实证部分结合样本完整呈现。</w:t>
      </w:r>
    </w:p>
    <w:p w14:paraId="7FB27AF0">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4.2.3 阶段性权重结果</w:t>
      </w:r>
    </w:p>
    <w:p w14:paraId="1F292B06">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根据目前阶段性测算结果，一级指标权重及关键二级指标情况如表4-1所示。</w:t>
      </w:r>
    </w:p>
    <w:p w14:paraId="601D6EA7">
      <w:r>
        <w:rPr>
          <w:b w:val="0"/>
        </w:rPr>
        <w:t>表4-1中的权重结果统一以百分比形式呈现，其中一级指标权重合计为100%，二级指标权重用于反映关键指标在各自层级中的相对重要程度。</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2256"/>
        <w:gridCol w:w="2256"/>
        <w:gridCol w:w="2256"/>
      </w:tblGrid>
      <w:tr w14:paraId="105D6253">
        <w:trPr>
          <w:jc w:val="center"/>
        </w:trPr>
        <w:tc>
          <w:tcPr>
            <w:tcW w:w="2256" w:type="dxa"/>
            <w:shd w:val="clear" w:color="auto" w:fill="D9EAF7"/>
            <w:vAlign w:val="center"/>
          </w:tcPr>
          <w:p w14:paraId="6AF8BB25">
            <w:pPr>
              <w:jc w:val="center"/>
            </w:pPr>
            <w:r>
              <w:rPr>
                <w:rFonts w:ascii="Times New Roman" w:hAnsi="Times New Roman" w:eastAsia="宋体"/>
                <w:b/>
                <w:sz w:val="20"/>
              </w:rPr>
              <w:t>一级指标</w:t>
            </w:r>
          </w:p>
        </w:tc>
        <w:tc>
          <w:tcPr>
            <w:tcW w:w="2256" w:type="dxa"/>
            <w:shd w:val="clear" w:color="auto" w:fill="D9EAF7"/>
            <w:vAlign w:val="center"/>
          </w:tcPr>
          <w:p w14:paraId="46B2F5E8">
            <w:pPr>
              <w:jc w:val="center"/>
            </w:pPr>
            <w:r>
              <w:rPr>
                <w:rFonts w:ascii="Times New Roman" w:hAnsi="Times New Roman" w:eastAsia="宋体"/>
                <w:b/>
                <w:sz w:val="20"/>
              </w:rPr>
              <w:t>权重</w:t>
            </w:r>
          </w:p>
        </w:tc>
        <w:tc>
          <w:tcPr>
            <w:tcW w:w="2256" w:type="dxa"/>
            <w:shd w:val="clear" w:color="auto" w:fill="D9EAF7"/>
            <w:vAlign w:val="center"/>
          </w:tcPr>
          <w:p w14:paraId="17606878">
            <w:pPr>
              <w:jc w:val="center"/>
            </w:pPr>
            <w:r>
              <w:rPr>
                <w:rFonts w:ascii="Times New Roman" w:hAnsi="Times New Roman" w:eastAsia="宋体"/>
                <w:b/>
                <w:sz w:val="20"/>
              </w:rPr>
              <w:t>关键二级指标</w:t>
            </w:r>
          </w:p>
        </w:tc>
        <w:tc>
          <w:tcPr>
            <w:tcW w:w="2256" w:type="dxa"/>
            <w:shd w:val="clear" w:color="auto" w:fill="D9EAF7"/>
            <w:vAlign w:val="center"/>
          </w:tcPr>
          <w:p w14:paraId="0B8E2EF1">
            <w:pPr>
              <w:jc w:val="center"/>
            </w:pPr>
            <w:r>
              <w:rPr>
                <w:rFonts w:ascii="Times New Roman" w:hAnsi="Times New Roman" w:eastAsia="宋体"/>
                <w:b/>
                <w:sz w:val="20"/>
              </w:rPr>
              <w:t>权重</w:t>
            </w:r>
          </w:p>
        </w:tc>
      </w:tr>
      <w:tr w14:paraId="1F05D94C">
        <w:trPr>
          <w:jc w:val="center"/>
        </w:trPr>
        <w:tc>
          <w:tcPr>
            <w:tcW w:w="2256" w:type="dxa"/>
            <w:vAlign w:val="center"/>
          </w:tcPr>
          <w:p w14:paraId="16300B7E">
            <w:pPr>
              <w:jc w:val="center"/>
            </w:pPr>
            <w:r>
              <w:rPr>
                <w:rFonts w:ascii="Times New Roman" w:hAnsi="Times New Roman" w:eastAsia="宋体"/>
                <w:b w:val="0"/>
                <w:sz w:val="20"/>
              </w:rPr>
              <w:t>需求侧因素</w:t>
            </w:r>
          </w:p>
        </w:tc>
        <w:tc>
          <w:tcPr>
            <w:tcW w:w="2256" w:type="dxa"/>
            <w:vAlign w:val="center"/>
          </w:tcPr>
          <w:p w14:paraId="75624ADC">
            <w:r>
              <w:t>35%</w:t>
            </w:r>
          </w:p>
        </w:tc>
        <w:tc>
          <w:tcPr>
            <w:tcW w:w="2256" w:type="dxa"/>
            <w:vAlign w:val="center"/>
          </w:tcPr>
          <w:p w14:paraId="682EE3F9">
            <w:pPr>
              <w:jc w:val="center"/>
            </w:pPr>
            <w:r>
              <w:rPr>
                <w:rFonts w:ascii="Times New Roman" w:hAnsi="Times New Roman" w:eastAsia="宋体"/>
                <w:b w:val="0"/>
                <w:sz w:val="20"/>
              </w:rPr>
              <w:t>电动自行车保有量与密度</w:t>
            </w:r>
          </w:p>
        </w:tc>
        <w:tc>
          <w:tcPr>
            <w:tcW w:w="2256" w:type="dxa"/>
            <w:vAlign w:val="center"/>
          </w:tcPr>
          <w:p w14:paraId="01C72B27">
            <w:r>
              <w:t>15%</w:t>
            </w:r>
          </w:p>
        </w:tc>
      </w:tr>
      <w:tr w14:paraId="0D4AA7C3">
        <w:trPr>
          <w:jc w:val="center"/>
        </w:trPr>
        <w:tc>
          <w:tcPr>
            <w:tcW w:w="2256" w:type="dxa"/>
            <w:vAlign w:val="center"/>
          </w:tcPr>
          <w:p w14:paraId="680A24AC">
            <w:pPr>
              <w:jc w:val="center"/>
            </w:pPr>
            <w:r>
              <w:rPr>
                <w:rFonts w:ascii="Times New Roman" w:hAnsi="Times New Roman" w:eastAsia="宋体"/>
                <w:b w:val="0"/>
                <w:sz w:val="20"/>
              </w:rPr>
              <w:t>需求侧因素</w:t>
            </w:r>
          </w:p>
        </w:tc>
        <w:tc>
          <w:tcPr>
            <w:tcW w:w="2256" w:type="dxa"/>
            <w:vAlign w:val="center"/>
          </w:tcPr>
          <w:p w14:paraId="5E10CA8E">
            <w:r>
              <w:t>35%</w:t>
            </w:r>
          </w:p>
        </w:tc>
        <w:tc>
          <w:tcPr>
            <w:tcW w:w="2256" w:type="dxa"/>
            <w:vAlign w:val="center"/>
          </w:tcPr>
          <w:p w14:paraId="01E35129">
            <w:pPr>
              <w:jc w:val="center"/>
            </w:pPr>
            <w:r>
              <w:rPr>
                <w:rFonts w:ascii="Times New Roman" w:hAnsi="Times New Roman" w:eastAsia="宋体"/>
                <w:b w:val="0"/>
                <w:sz w:val="20"/>
              </w:rPr>
              <w:t>用户充电高峰时段匹配度</w:t>
            </w:r>
          </w:p>
        </w:tc>
        <w:tc>
          <w:tcPr>
            <w:tcW w:w="2256" w:type="dxa"/>
            <w:vAlign w:val="center"/>
          </w:tcPr>
          <w:p w14:paraId="4BE61323">
            <w:r>
              <w:t>11%</w:t>
            </w:r>
          </w:p>
        </w:tc>
      </w:tr>
      <w:tr w14:paraId="1B302DD8">
        <w:trPr>
          <w:jc w:val="center"/>
        </w:trPr>
        <w:tc>
          <w:tcPr>
            <w:tcW w:w="2256" w:type="dxa"/>
            <w:vAlign w:val="center"/>
          </w:tcPr>
          <w:p w14:paraId="1A04C2E8">
            <w:pPr>
              <w:jc w:val="center"/>
            </w:pPr>
            <w:r>
              <w:rPr>
                <w:rFonts w:ascii="Times New Roman" w:hAnsi="Times New Roman" w:eastAsia="宋体"/>
                <w:b w:val="0"/>
                <w:sz w:val="20"/>
              </w:rPr>
              <w:t>供给侧因素</w:t>
            </w:r>
          </w:p>
        </w:tc>
        <w:tc>
          <w:tcPr>
            <w:tcW w:w="2256" w:type="dxa"/>
            <w:vAlign w:val="center"/>
          </w:tcPr>
          <w:p w14:paraId="51389BD9">
            <w:r>
              <w:t>28%</w:t>
            </w:r>
          </w:p>
        </w:tc>
        <w:tc>
          <w:tcPr>
            <w:tcW w:w="2256" w:type="dxa"/>
            <w:vAlign w:val="center"/>
          </w:tcPr>
          <w:p w14:paraId="630F5F00">
            <w:pPr>
              <w:jc w:val="center"/>
            </w:pPr>
            <w:r>
              <w:rPr>
                <w:rFonts w:ascii="Times New Roman" w:hAnsi="Times New Roman" w:eastAsia="宋体"/>
                <w:b w:val="0"/>
                <w:sz w:val="20"/>
              </w:rPr>
              <w:t>电力接入条件与成本</w:t>
            </w:r>
          </w:p>
        </w:tc>
        <w:tc>
          <w:tcPr>
            <w:tcW w:w="2256" w:type="dxa"/>
            <w:vAlign w:val="center"/>
          </w:tcPr>
          <w:p w14:paraId="6D7BBD3F">
            <w:r>
              <w:t>13%</w:t>
            </w:r>
          </w:p>
        </w:tc>
      </w:tr>
      <w:tr w14:paraId="05BE209D">
        <w:trPr>
          <w:jc w:val="center"/>
        </w:trPr>
        <w:tc>
          <w:tcPr>
            <w:tcW w:w="2256" w:type="dxa"/>
            <w:vAlign w:val="center"/>
          </w:tcPr>
          <w:p w14:paraId="20CDF764">
            <w:pPr>
              <w:jc w:val="center"/>
            </w:pPr>
            <w:r>
              <w:rPr>
                <w:rFonts w:ascii="Times New Roman" w:hAnsi="Times New Roman" w:eastAsia="宋体"/>
                <w:b w:val="0"/>
                <w:sz w:val="20"/>
              </w:rPr>
              <w:t>供给侧因素</w:t>
            </w:r>
          </w:p>
        </w:tc>
        <w:tc>
          <w:tcPr>
            <w:tcW w:w="2256" w:type="dxa"/>
            <w:vAlign w:val="center"/>
          </w:tcPr>
          <w:p w14:paraId="759AEDD4">
            <w:r>
              <w:t>28%</w:t>
            </w:r>
          </w:p>
        </w:tc>
        <w:tc>
          <w:tcPr>
            <w:tcW w:w="2256" w:type="dxa"/>
            <w:vAlign w:val="center"/>
          </w:tcPr>
          <w:p w14:paraId="3A31C691">
            <w:pPr>
              <w:jc w:val="center"/>
            </w:pPr>
            <w:r>
              <w:rPr>
                <w:rFonts w:ascii="Times New Roman" w:hAnsi="Times New Roman" w:eastAsia="宋体"/>
                <w:b w:val="0"/>
                <w:sz w:val="20"/>
              </w:rPr>
              <w:t>场地可获得性与租金</w:t>
            </w:r>
          </w:p>
        </w:tc>
        <w:tc>
          <w:tcPr>
            <w:tcW w:w="2256" w:type="dxa"/>
            <w:vAlign w:val="center"/>
          </w:tcPr>
          <w:p w14:paraId="70FD5DED">
            <w:r>
              <w:t>9%</w:t>
            </w:r>
          </w:p>
        </w:tc>
      </w:tr>
      <w:tr w14:paraId="247DED77">
        <w:trPr>
          <w:jc w:val="center"/>
        </w:trPr>
        <w:tc>
          <w:tcPr>
            <w:tcW w:w="2256" w:type="dxa"/>
            <w:vAlign w:val="center"/>
          </w:tcPr>
          <w:p w14:paraId="1054B2E0">
            <w:pPr>
              <w:jc w:val="center"/>
            </w:pPr>
            <w:r>
              <w:rPr>
                <w:rFonts w:ascii="Times New Roman" w:hAnsi="Times New Roman" w:eastAsia="宋体"/>
                <w:b w:val="0"/>
                <w:sz w:val="20"/>
              </w:rPr>
              <w:t>环境与政策因素</w:t>
            </w:r>
          </w:p>
        </w:tc>
        <w:tc>
          <w:tcPr>
            <w:tcW w:w="2256" w:type="dxa"/>
            <w:vAlign w:val="center"/>
          </w:tcPr>
          <w:p w14:paraId="15DBE652">
            <w:r>
              <w:t>20%</w:t>
            </w:r>
          </w:p>
        </w:tc>
        <w:tc>
          <w:tcPr>
            <w:tcW w:w="2256" w:type="dxa"/>
            <w:vAlign w:val="center"/>
          </w:tcPr>
          <w:p w14:paraId="27FF5813">
            <w:pPr>
              <w:jc w:val="center"/>
            </w:pPr>
            <w:r>
              <w:rPr>
                <w:rFonts w:ascii="Times New Roman" w:hAnsi="Times New Roman" w:eastAsia="宋体"/>
                <w:b w:val="0"/>
                <w:sz w:val="20"/>
              </w:rPr>
              <w:t>消防安全条件</w:t>
            </w:r>
          </w:p>
        </w:tc>
        <w:tc>
          <w:tcPr>
            <w:tcW w:w="2256" w:type="dxa"/>
            <w:vAlign w:val="center"/>
          </w:tcPr>
          <w:p w14:paraId="74A83539">
            <w:r>
              <w:t>9%</w:t>
            </w:r>
          </w:p>
        </w:tc>
      </w:tr>
      <w:tr w14:paraId="69B2E640">
        <w:trPr>
          <w:jc w:val="center"/>
        </w:trPr>
        <w:tc>
          <w:tcPr>
            <w:tcW w:w="2256" w:type="dxa"/>
            <w:vAlign w:val="center"/>
          </w:tcPr>
          <w:p w14:paraId="376360F3">
            <w:pPr>
              <w:jc w:val="center"/>
            </w:pPr>
            <w:r>
              <w:rPr>
                <w:rFonts w:ascii="Times New Roman" w:hAnsi="Times New Roman" w:eastAsia="宋体"/>
                <w:b w:val="0"/>
                <w:sz w:val="20"/>
              </w:rPr>
              <w:t>环境与政策因素</w:t>
            </w:r>
          </w:p>
        </w:tc>
        <w:tc>
          <w:tcPr>
            <w:tcW w:w="2256" w:type="dxa"/>
            <w:vAlign w:val="center"/>
          </w:tcPr>
          <w:p w14:paraId="3895D111">
            <w:r>
              <w:t>20%</w:t>
            </w:r>
          </w:p>
        </w:tc>
        <w:tc>
          <w:tcPr>
            <w:tcW w:w="2256" w:type="dxa"/>
            <w:vAlign w:val="center"/>
          </w:tcPr>
          <w:p w14:paraId="0F8B88A3">
            <w:pPr>
              <w:jc w:val="center"/>
            </w:pPr>
            <w:r>
              <w:rPr>
                <w:rFonts w:ascii="Times New Roman" w:hAnsi="Times New Roman" w:eastAsia="宋体"/>
                <w:b w:val="0"/>
                <w:sz w:val="20"/>
              </w:rPr>
              <w:t>区域政策支持力度</w:t>
            </w:r>
          </w:p>
        </w:tc>
        <w:tc>
          <w:tcPr>
            <w:tcW w:w="2256" w:type="dxa"/>
            <w:vAlign w:val="center"/>
          </w:tcPr>
          <w:p w14:paraId="085BEE69">
            <w:r>
              <w:t>6%</w:t>
            </w:r>
          </w:p>
        </w:tc>
      </w:tr>
      <w:tr w14:paraId="062D791C">
        <w:trPr>
          <w:jc w:val="center"/>
        </w:trPr>
        <w:tc>
          <w:tcPr>
            <w:tcW w:w="2256" w:type="dxa"/>
            <w:vAlign w:val="center"/>
          </w:tcPr>
          <w:p w14:paraId="148446E1">
            <w:pPr>
              <w:jc w:val="center"/>
            </w:pPr>
            <w:r>
              <w:rPr>
                <w:rFonts w:ascii="Times New Roman" w:hAnsi="Times New Roman" w:eastAsia="宋体"/>
                <w:b w:val="0"/>
                <w:sz w:val="20"/>
              </w:rPr>
              <w:t>技术与运营因素</w:t>
            </w:r>
          </w:p>
        </w:tc>
        <w:tc>
          <w:tcPr>
            <w:tcW w:w="2256" w:type="dxa"/>
            <w:vAlign w:val="center"/>
          </w:tcPr>
          <w:p w14:paraId="1C4C4EFF">
            <w:r>
              <w:t>17%</w:t>
            </w:r>
          </w:p>
        </w:tc>
        <w:tc>
          <w:tcPr>
            <w:tcW w:w="2256" w:type="dxa"/>
            <w:vAlign w:val="center"/>
          </w:tcPr>
          <w:p w14:paraId="635774BE">
            <w:pPr>
              <w:jc w:val="center"/>
            </w:pPr>
            <w:r>
              <w:rPr>
                <w:rFonts w:ascii="Times New Roman" w:hAnsi="Times New Roman" w:eastAsia="宋体"/>
                <w:b w:val="0"/>
                <w:sz w:val="20"/>
              </w:rPr>
              <w:t>物业协同程度</w:t>
            </w:r>
          </w:p>
        </w:tc>
        <w:tc>
          <w:tcPr>
            <w:tcW w:w="2256" w:type="dxa"/>
            <w:vAlign w:val="center"/>
          </w:tcPr>
          <w:p w14:paraId="6C419126">
            <w:r>
              <w:t>8%</w:t>
            </w:r>
          </w:p>
        </w:tc>
      </w:tr>
      <w:tr w14:paraId="63CAF7E8">
        <w:trPr>
          <w:jc w:val="center"/>
        </w:trPr>
        <w:tc>
          <w:tcPr>
            <w:tcW w:w="2256" w:type="dxa"/>
            <w:vAlign w:val="center"/>
          </w:tcPr>
          <w:p w14:paraId="42C26509">
            <w:pPr>
              <w:jc w:val="center"/>
            </w:pPr>
            <w:r>
              <w:rPr>
                <w:rFonts w:ascii="Times New Roman" w:hAnsi="Times New Roman" w:eastAsia="宋体"/>
                <w:b w:val="0"/>
                <w:sz w:val="20"/>
              </w:rPr>
              <w:t>技术与运营因素</w:t>
            </w:r>
          </w:p>
        </w:tc>
        <w:tc>
          <w:tcPr>
            <w:tcW w:w="2256" w:type="dxa"/>
            <w:vAlign w:val="center"/>
          </w:tcPr>
          <w:p w14:paraId="4ECFA866">
            <w:r>
              <w:t>17%</w:t>
            </w:r>
          </w:p>
        </w:tc>
        <w:tc>
          <w:tcPr>
            <w:tcW w:w="2256" w:type="dxa"/>
            <w:vAlign w:val="center"/>
          </w:tcPr>
          <w:p w14:paraId="16144787">
            <w:pPr>
              <w:jc w:val="center"/>
            </w:pPr>
            <w:r>
              <w:rPr>
                <w:rFonts w:ascii="Times New Roman" w:hAnsi="Times New Roman" w:eastAsia="宋体"/>
                <w:b w:val="0"/>
                <w:sz w:val="20"/>
              </w:rPr>
              <w:t>设备安装便利性</w:t>
            </w:r>
          </w:p>
        </w:tc>
        <w:tc>
          <w:tcPr>
            <w:tcW w:w="2256" w:type="dxa"/>
            <w:vAlign w:val="center"/>
          </w:tcPr>
          <w:p w14:paraId="2D1C11F7">
            <w:r>
              <w:t>5%</w:t>
            </w:r>
          </w:p>
        </w:tc>
      </w:tr>
    </w:tbl>
    <w:p w14:paraId="463F4E20">
      <w:pPr>
        <w:snapToGrid/>
        <w:spacing w:before="0" w:beforeAutospacing="0" w:after="0" w:afterAutospacing="0" w:line="360" w:lineRule="auto"/>
        <w:ind w:left="0" w:leftChars="0" w:right="0" w:rightChars="0" w:firstLine="480" w:firstLineChars="200"/>
        <w:jc w:val="both"/>
        <w:rPr>
          <w:rFonts w:ascii="Times New Roman" w:eastAsia="宋体"/>
          <w:sz w:val="24"/>
        </w:rPr>
      </w:pPr>
    </w:p>
    <w:p w14:paraId="60A76C8A">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从阶段性结果看，用户需求密度、电力接入条件和物业协同程度是影响选址效果的关键因素。这一结果与企业实践观察基本一致，也说明社区充电桩选址不仅要看需求，还要看项目是否“建得起、管得住、用得稳”。</w:t>
      </w:r>
    </w:p>
    <w:p w14:paraId="7C2F7760">
      <w:pPr>
        <w:snapToGrid/>
        <w:spacing w:before="0" w:beforeAutospacing="0" w:after="0" w:afterAutospacing="0" w:line="360" w:lineRule="auto"/>
        <w:ind w:left="0" w:leftChars="0" w:right="0" w:rightChars="0" w:firstLine="480" w:firstLineChars="200"/>
        <w:jc w:val="both"/>
        <w:rPr>
          <w:rFonts w:ascii="Times New Roman" w:eastAsia="宋体"/>
          <w:sz w:val="24"/>
        </w:rPr>
      </w:pPr>
      <w:r>
        <w:t>关键因素筛选与权重分析明确了不同选址条件的重要程度。在此基础上，以下结合三地项目数据进一步分析安装成本与维护成本的构成，以判断关键选址因素如何转化为实际成本差异。</w:t>
      </w:r>
    </w:p>
    <w:p w14:paraId="5D0F4462">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4.3 C公司成本结构分析</w:t>
      </w:r>
    </w:p>
    <w:p w14:paraId="444F6FBD">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4.3.1 安装成本结构分析</w:t>
      </w:r>
    </w:p>
    <w:p w14:paraId="1363CC3E">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结合C公司南京、深圳、徐州三地项目数据，本文将安装成本划分为硬件设备采购、基础施工（土建与布线）、电力接入改造、通信模块安装、验收与手续费用、物业协调费用六类。总体来看，硬件设备采购在三地均占较高比例，是基础性成本项；基础施工和电力接入则受城市环境和社区改造条件影响较大，是形成成本差异的核心来源。</w:t>
      </w:r>
    </w:p>
    <w:p w14:paraId="1D5F4BEC">
      <w:pPr>
        <w:ind w:left="0" w:leftChars="0" w:right="0" w:rightChars="0" w:firstLine="0" w:firstLineChars="0"/>
        <w:jc w:val="center"/>
        <w:rPr>
          <w:rFonts w:ascii="Times New Roman" w:eastAsia="宋体"/>
          <w:b w:val="0"/>
          <w:sz w:val="21"/>
        </w:rPr>
      </w:pPr>
      <w:r>
        <w:rPr>
          <w:rFonts w:ascii="Times New Roman" w:eastAsia="宋体"/>
          <w:b w:val="0"/>
          <w:sz w:val="21"/>
        </w:rPr>
        <w:t>表4-2展示了三地安装成本结构的阶段性比较结果。</w:t>
      </w:r>
    </w:p>
    <w:p w14:paraId="5CC98ABB">
      <w:r>
        <w:rPr>
          <w:b w:val="0"/>
        </w:rPr>
        <w:t>表4-2中的成本占比为阶段性统计结果，正文统一采用百分比形式展示；由于部分数据经过汇总与四舍五入处理，最终定稿时将结合原始成本台账进一步补充更精细的明细值。</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2256"/>
        <w:gridCol w:w="2256"/>
        <w:gridCol w:w="2256"/>
      </w:tblGrid>
      <w:tr w14:paraId="5582BE6B">
        <w:trPr>
          <w:jc w:val="center"/>
        </w:trPr>
        <w:tc>
          <w:tcPr>
            <w:tcW w:w="2256" w:type="dxa"/>
            <w:shd w:val="clear" w:color="auto" w:fill="D9EAF7"/>
            <w:vAlign w:val="center"/>
          </w:tcPr>
          <w:p w14:paraId="76FACEF7">
            <w:pPr>
              <w:jc w:val="center"/>
            </w:pPr>
            <w:r>
              <w:rPr>
                <w:rFonts w:ascii="Times New Roman" w:hAnsi="Times New Roman" w:eastAsia="宋体"/>
                <w:b/>
                <w:sz w:val="20"/>
              </w:rPr>
              <w:t>成本子项</w:t>
            </w:r>
          </w:p>
        </w:tc>
        <w:tc>
          <w:tcPr>
            <w:tcW w:w="2256" w:type="dxa"/>
            <w:shd w:val="clear" w:color="auto" w:fill="D9EAF7"/>
            <w:vAlign w:val="center"/>
          </w:tcPr>
          <w:p w14:paraId="4A721D4C">
            <w:pPr>
              <w:jc w:val="center"/>
            </w:pPr>
            <w:r>
              <w:rPr>
                <w:rFonts w:ascii="Times New Roman" w:hAnsi="Times New Roman" w:eastAsia="宋体"/>
                <w:b/>
                <w:sz w:val="20"/>
              </w:rPr>
              <w:t>南京占比</w:t>
            </w:r>
          </w:p>
        </w:tc>
        <w:tc>
          <w:tcPr>
            <w:tcW w:w="2256" w:type="dxa"/>
            <w:shd w:val="clear" w:color="auto" w:fill="D9EAF7"/>
            <w:vAlign w:val="center"/>
          </w:tcPr>
          <w:p w14:paraId="03C3A4DC">
            <w:pPr>
              <w:jc w:val="center"/>
            </w:pPr>
            <w:r>
              <w:rPr>
                <w:rFonts w:ascii="Times New Roman" w:hAnsi="Times New Roman" w:eastAsia="宋体"/>
                <w:b/>
                <w:sz w:val="20"/>
              </w:rPr>
              <w:t>深圳占比</w:t>
            </w:r>
          </w:p>
        </w:tc>
        <w:tc>
          <w:tcPr>
            <w:tcW w:w="2256" w:type="dxa"/>
            <w:shd w:val="clear" w:color="auto" w:fill="D9EAF7"/>
            <w:vAlign w:val="center"/>
          </w:tcPr>
          <w:p w14:paraId="03C6BFF2">
            <w:pPr>
              <w:jc w:val="center"/>
            </w:pPr>
            <w:r>
              <w:rPr>
                <w:rFonts w:ascii="Times New Roman" w:hAnsi="Times New Roman" w:eastAsia="宋体"/>
                <w:b/>
                <w:sz w:val="20"/>
              </w:rPr>
              <w:t>徐州占比</w:t>
            </w:r>
          </w:p>
        </w:tc>
      </w:tr>
      <w:tr w14:paraId="29A02C6B">
        <w:trPr>
          <w:jc w:val="center"/>
        </w:trPr>
        <w:tc>
          <w:tcPr>
            <w:tcW w:w="2256" w:type="dxa"/>
            <w:vAlign w:val="center"/>
          </w:tcPr>
          <w:p w14:paraId="742F9505">
            <w:pPr>
              <w:jc w:val="center"/>
            </w:pPr>
            <w:r>
              <w:rPr>
                <w:rFonts w:ascii="Times New Roman" w:hAnsi="Times New Roman" w:eastAsia="宋体"/>
                <w:b w:val="0"/>
                <w:sz w:val="20"/>
              </w:rPr>
              <w:t>硬件设备采购</w:t>
            </w:r>
          </w:p>
        </w:tc>
        <w:tc>
          <w:tcPr>
            <w:tcW w:w="2256" w:type="dxa"/>
            <w:vAlign w:val="center"/>
          </w:tcPr>
          <w:p w14:paraId="5AF51AC0">
            <w:r>
              <w:t>40%</w:t>
            </w:r>
          </w:p>
        </w:tc>
        <w:tc>
          <w:tcPr>
            <w:tcW w:w="2256" w:type="dxa"/>
            <w:vAlign w:val="center"/>
          </w:tcPr>
          <w:p w14:paraId="019C8505">
            <w:r>
              <w:t>35%</w:t>
            </w:r>
          </w:p>
        </w:tc>
        <w:tc>
          <w:tcPr>
            <w:tcW w:w="2256" w:type="dxa"/>
            <w:vAlign w:val="center"/>
          </w:tcPr>
          <w:p w14:paraId="5C2C3160">
            <w:r>
              <w:t>45%</w:t>
            </w:r>
          </w:p>
        </w:tc>
      </w:tr>
      <w:tr w14:paraId="6421406F">
        <w:trPr>
          <w:jc w:val="center"/>
        </w:trPr>
        <w:tc>
          <w:tcPr>
            <w:tcW w:w="2256" w:type="dxa"/>
            <w:vAlign w:val="center"/>
          </w:tcPr>
          <w:p w14:paraId="7D9117CB">
            <w:pPr>
              <w:jc w:val="center"/>
            </w:pPr>
            <w:r>
              <w:rPr>
                <w:rFonts w:ascii="Times New Roman" w:hAnsi="Times New Roman" w:eastAsia="宋体"/>
                <w:b w:val="0"/>
                <w:sz w:val="20"/>
              </w:rPr>
              <w:t>基础施工（土建与布线）</w:t>
            </w:r>
          </w:p>
        </w:tc>
        <w:tc>
          <w:tcPr>
            <w:tcW w:w="2256" w:type="dxa"/>
            <w:vAlign w:val="center"/>
          </w:tcPr>
          <w:p w14:paraId="732EF594">
            <w:r>
              <w:t>20%</w:t>
            </w:r>
          </w:p>
        </w:tc>
        <w:tc>
          <w:tcPr>
            <w:tcW w:w="2256" w:type="dxa"/>
            <w:vAlign w:val="center"/>
          </w:tcPr>
          <w:p w14:paraId="30F70574">
            <w:r>
              <w:t>25%</w:t>
            </w:r>
          </w:p>
        </w:tc>
        <w:tc>
          <w:tcPr>
            <w:tcW w:w="2256" w:type="dxa"/>
            <w:vAlign w:val="center"/>
          </w:tcPr>
          <w:p w14:paraId="4618B2D3">
            <w:r>
              <w:t>18%</w:t>
            </w:r>
          </w:p>
        </w:tc>
      </w:tr>
      <w:tr w14:paraId="189F4C89">
        <w:trPr>
          <w:jc w:val="center"/>
        </w:trPr>
        <w:tc>
          <w:tcPr>
            <w:tcW w:w="2256" w:type="dxa"/>
            <w:vAlign w:val="center"/>
          </w:tcPr>
          <w:p w14:paraId="50488469">
            <w:pPr>
              <w:jc w:val="center"/>
            </w:pPr>
            <w:r>
              <w:rPr>
                <w:rFonts w:ascii="Times New Roman" w:hAnsi="Times New Roman" w:eastAsia="宋体"/>
                <w:b w:val="0"/>
                <w:sz w:val="20"/>
              </w:rPr>
              <w:t>电力接入改造</w:t>
            </w:r>
          </w:p>
        </w:tc>
        <w:tc>
          <w:tcPr>
            <w:tcW w:w="2256" w:type="dxa"/>
            <w:vAlign w:val="center"/>
          </w:tcPr>
          <w:p w14:paraId="6570AF1D">
            <w:r>
              <w:t>18%</w:t>
            </w:r>
          </w:p>
        </w:tc>
        <w:tc>
          <w:tcPr>
            <w:tcW w:w="2256" w:type="dxa"/>
            <w:vAlign w:val="center"/>
          </w:tcPr>
          <w:p w14:paraId="48727CBF">
            <w:r>
              <w:t>20%</w:t>
            </w:r>
          </w:p>
        </w:tc>
        <w:tc>
          <w:tcPr>
            <w:tcW w:w="2256" w:type="dxa"/>
            <w:vAlign w:val="center"/>
          </w:tcPr>
          <w:p w14:paraId="0C7327E7">
            <w:r>
              <w:t>15%</w:t>
            </w:r>
          </w:p>
        </w:tc>
      </w:tr>
      <w:tr w14:paraId="6CEC2F24">
        <w:trPr>
          <w:jc w:val="center"/>
        </w:trPr>
        <w:tc>
          <w:tcPr>
            <w:tcW w:w="2256" w:type="dxa"/>
            <w:vAlign w:val="center"/>
          </w:tcPr>
          <w:p w14:paraId="041854FB">
            <w:pPr>
              <w:jc w:val="center"/>
            </w:pPr>
            <w:r>
              <w:rPr>
                <w:rFonts w:ascii="Times New Roman" w:hAnsi="Times New Roman" w:eastAsia="宋体"/>
                <w:b w:val="0"/>
                <w:sz w:val="20"/>
              </w:rPr>
              <w:t>通信模块安装</w:t>
            </w:r>
          </w:p>
        </w:tc>
        <w:tc>
          <w:tcPr>
            <w:tcW w:w="2256" w:type="dxa"/>
            <w:vAlign w:val="center"/>
          </w:tcPr>
          <w:p w14:paraId="05F597C8">
            <w:r>
              <w:t>8%</w:t>
            </w:r>
          </w:p>
        </w:tc>
        <w:tc>
          <w:tcPr>
            <w:tcW w:w="2256" w:type="dxa"/>
            <w:vAlign w:val="center"/>
          </w:tcPr>
          <w:p w14:paraId="4593C02A">
            <w:r>
              <w:t>7%</w:t>
            </w:r>
          </w:p>
        </w:tc>
        <w:tc>
          <w:tcPr>
            <w:tcW w:w="2256" w:type="dxa"/>
            <w:vAlign w:val="center"/>
          </w:tcPr>
          <w:p w14:paraId="6EDFF35D">
            <w:r>
              <w:t>9%</w:t>
            </w:r>
          </w:p>
        </w:tc>
      </w:tr>
      <w:tr w14:paraId="4B77556F">
        <w:trPr>
          <w:jc w:val="center"/>
        </w:trPr>
        <w:tc>
          <w:tcPr>
            <w:tcW w:w="2256" w:type="dxa"/>
            <w:vAlign w:val="center"/>
          </w:tcPr>
          <w:p w14:paraId="79E542F4">
            <w:pPr>
              <w:jc w:val="center"/>
            </w:pPr>
            <w:r>
              <w:rPr>
                <w:rFonts w:ascii="Times New Roman" w:hAnsi="Times New Roman" w:eastAsia="宋体"/>
                <w:b w:val="0"/>
                <w:sz w:val="20"/>
              </w:rPr>
              <w:t>验收与手续费用</w:t>
            </w:r>
          </w:p>
        </w:tc>
        <w:tc>
          <w:tcPr>
            <w:tcW w:w="2256" w:type="dxa"/>
            <w:vAlign w:val="center"/>
          </w:tcPr>
          <w:p w14:paraId="5A18B327">
            <w:r>
              <w:t>5%</w:t>
            </w:r>
          </w:p>
        </w:tc>
        <w:tc>
          <w:tcPr>
            <w:tcW w:w="2256" w:type="dxa"/>
            <w:vAlign w:val="center"/>
          </w:tcPr>
          <w:p w14:paraId="2B69A018">
            <w:r>
              <w:t>5%</w:t>
            </w:r>
          </w:p>
        </w:tc>
        <w:tc>
          <w:tcPr>
            <w:tcW w:w="2256" w:type="dxa"/>
            <w:vAlign w:val="center"/>
          </w:tcPr>
          <w:p w14:paraId="65B00722">
            <w:r>
              <w:t>5%</w:t>
            </w:r>
          </w:p>
        </w:tc>
      </w:tr>
      <w:tr w14:paraId="33DEB0D4">
        <w:trPr>
          <w:jc w:val="center"/>
        </w:trPr>
        <w:tc>
          <w:tcPr>
            <w:tcW w:w="2256" w:type="dxa"/>
            <w:vAlign w:val="center"/>
          </w:tcPr>
          <w:p w14:paraId="24EBF370">
            <w:pPr>
              <w:jc w:val="center"/>
            </w:pPr>
            <w:r>
              <w:rPr>
                <w:rFonts w:ascii="Times New Roman" w:hAnsi="Times New Roman" w:eastAsia="宋体"/>
                <w:b w:val="0"/>
                <w:sz w:val="20"/>
              </w:rPr>
              <w:t>物业协调费用</w:t>
            </w:r>
          </w:p>
        </w:tc>
        <w:tc>
          <w:tcPr>
            <w:tcW w:w="2256" w:type="dxa"/>
            <w:vAlign w:val="center"/>
          </w:tcPr>
          <w:p w14:paraId="2583DEB6">
            <w:r>
              <w:t>9%</w:t>
            </w:r>
          </w:p>
        </w:tc>
        <w:tc>
          <w:tcPr>
            <w:tcW w:w="2256" w:type="dxa"/>
            <w:vAlign w:val="center"/>
          </w:tcPr>
          <w:p w14:paraId="24FD1345">
            <w:r>
              <w:t>8%</w:t>
            </w:r>
          </w:p>
        </w:tc>
        <w:tc>
          <w:tcPr>
            <w:tcW w:w="2256" w:type="dxa"/>
            <w:vAlign w:val="center"/>
          </w:tcPr>
          <w:p w14:paraId="2237B17D">
            <w:r>
              <w:t>8%</w:t>
            </w:r>
          </w:p>
        </w:tc>
      </w:tr>
    </w:tbl>
    <w:p w14:paraId="7C923222">
      <w:pPr>
        <w:snapToGrid/>
        <w:spacing w:before="0" w:beforeAutospacing="0" w:after="0" w:afterAutospacing="0" w:line="360" w:lineRule="auto"/>
        <w:ind w:left="0" w:leftChars="0" w:right="0" w:rightChars="0" w:firstLine="480" w:firstLineChars="200"/>
        <w:jc w:val="both"/>
        <w:rPr>
          <w:rFonts w:ascii="Times New Roman" w:eastAsia="宋体"/>
          <w:sz w:val="24"/>
        </w:rPr>
      </w:pPr>
    </w:p>
    <w:p w14:paraId="7BC34CD6">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从比较结果看，深圳项目的基础施工和电力接入成本明显高于南京和徐州，这与人工费用较高、施工条件复杂和社区改造要求更严格有关；徐州项目的设备采购占比较高，但总体施工和改造压力相对较小，因此综合成本水平相对可控；南京则处于中间状态，成本结构较为均衡。</w:t>
      </w:r>
    </w:p>
    <w:p w14:paraId="43B61E3D">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4.3.2 维护成本结构分析</w:t>
      </w:r>
    </w:p>
    <w:p w14:paraId="45DF9C85">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维护成本方面，本文根据现有维保记录，将成本划分为设备故障维修、损耗件更换、通信模块维护、定期巡检和物业协调费用五类。初步统计显示，设备故障维修在总维护成本中占比最高，约为35%至45%，其次为损耗件更换和定期巡检费用。</w:t>
      </w:r>
    </w:p>
    <w:p w14:paraId="515F07FE">
      <w:r>
        <w:rPr>
          <w:b w:val="0"/>
        </w:rPr>
        <w:t>从结构上看，设备故障维修通常对应高频且分散的现场处置支出，损耗件更换反映设备使用强度与老化速度，通</w:t>
      </w:r>
      <w:bookmarkStart w:id="0" w:name="_GoBack"/>
      <w:bookmarkEnd w:id="0"/>
      <w:r>
        <w:rPr>
          <w:b w:val="0"/>
        </w:rPr>
        <w:t>信模块维护和定期巡检则更多体现站点稳定运行所需的预防性投入。因而，维护成本不仅受城市价格水平影响，也与社区类型、设备使用年限和物业协调效率密切相关。</w:t>
      </w:r>
    </w:p>
    <w:p w14:paraId="0DEEABAB">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从维护规律看，设备使用强度越高、环境越复杂、物业协作越弱的社区，其维护投入通常越大。此外，安装时间超过一定周期后，设备故障率会出现明显上升趋势，维护成本也逐步由“稳定运转阶段”向“老化上升阶段”转变。</w:t>
      </w:r>
    </w:p>
    <w:p w14:paraId="70BFC0A4">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4.3.3 跨城市成本差异成因</w:t>
      </w:r>
    </w:p>
    <w:p w14:paraId="30E329E8">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造成三地成本差异的原因主要包括三个方面。首先，不同城市的人工成本存在差异，其中深圳的人工和施工组织成本明显高于南京和徐州。其次，电力接入与市政施工条件不同；部分社区因原有配电能力不足，需要额外开展电力改造和施工协调，从而显著提高项目前期投入。最后，不同城市的物业管理模式和社区场地改造难度存在差异，进而影响项目推进效率并产生不同程度的隐性成本。</w:t>
      </w:r>
    </w:p>
    <w:p w14:paraId="41F6C0EA">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因此，成本差异并不只是简单的价格差，而是选址条件、城市属性和项目落地复杂度共同作用的结果。</w:t>
      </w:r>
    </w:p>
    <w:p w14:paraId="58B0E2FD">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4.4 选址对成本与收益的影响机制</w:t>
      </w:r>
    </w:p>
    <w:p w14:paraId="084F5568">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4.4.1 选址对安装成本的影响</w:t>
      </w:r>
    </w:p>
    <w:p w14:paraId="3A4FA83A">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选址方案决定了项目的施工条件和资源接入难度。若站点位于电源近、场地平整、施工便利、物业支持度高的区域，则安装成本通常较低；反之，若需要较长距离布线、电改复杂或场地改造受限，则前期投入将明显上升。</w:t>
      </w:r>
    </w:p>
    <w:p w14:paraId="4A44471A">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4.4.2 选址对维护成本的影响</w:t>
      </w:r>
    </w:p>
    <w:p w14:paraId="420E13E8">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选址还会影响后续维护成本。设备若布设在管理混乱、暴露性高、信号不稳定或居民干扰较多的区域，故障率和维护频次通常更高。同时，物业配合程度不足也会增加巡检和故障处理的沟通成本。</w:t>
      </w:r>
    </w:p>
    <w:p w14:paraId="0B9CED8E">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4.4.3 选址对收益水平的影响</w:t>
      </w:r>
    </w:p>
    <w:p w14:paraId="2830D3A5">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从收益角度看，需求密度高、用户出行规律清晰、使用便利的社区更容易形成稳定订单量，提高设备利用率并缩短投资回收周期。若站点虽然建设条件好，但远离真实需求点位，最终也可能出现收益不足的情况。因此，成本最小不等于方案最优，收益最大也不等于风险最低，企业需要在需求、成本和长期运营效率之间实现平衡。</w:t>
      </w:r>
    </w:p>
    <w:p w14:paraId="7C980D9F">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4.5 本章小结</w:t>
      </w:r>
    </w:p>
    <w:p w14:paraId="2ABC7704">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本章从需求侧、供给侧、环境与政策、技术与运营四个维度系统识别了影响社区电动自行车充电桩选址的关键因素，并通过AHP法与熵权法的组合赋权形成阶段性权重结果。研究发现，用户需求密度、电力接入条件和物业协同程度是影响站点选址效果的核心因素。与此同时，本文结合C公司三地项目数据，对安装成本和维护成本进行了结构化分析，揭示了跨城市成本差异与选址条件之间的内在联系。这些研究结果为后续构建综合选址评价模型提供了直接依据。</w:t>
      </w:r>
    </w:p>
    <w:p w14:paraId="499D5F66">
      <w:pPr>
        <w:pStyle w:val="3"/>
        <w:snapToGrid/>
        <w:spacing w:before="0" w:beforeAutospacing="0" w:after="0" w:afterAutospacing="0" w:line="360" w:lineRule="auto"/>
        <w:ind w:left="0" w:leftChars="0" w:right="0" w:rightChars="0" w:firstLine="0" w:firstLineChars="0"/>
        <w:jc w:val="center"/>
        <w:outlineLvl w:val="0"/>
        <w:rPr>
          <w:rFonts w:ascii="Times New Roman" w:eastAsia="黑体"/>
          <w:b w:val="0"/>
          <w:color w:val="auto"/>
          <w:sz w:val="28"/>
        </w:rPr>
      </w:pPr>
      <w:r>
        <w:t>第5章 综合选址评价模型构建</w:t>
      </w:r>
    </w:p>
    <w:p w14:paraId="1C5D0A6D">
      <w:pPr>
        <w:snapToGrid/>
        <w:spacing w:before="0" w:beforeAutospacing="0" w:after="0" w:afterAutospacing="0" w:line="360" w:lineRule="auto"/>
        <w:ind w:left="0" w:leftChars="0" w:right="0" w:rightChars="0" w:firstLine="480" w:firstLineChars="200"/>
        <w:jc w:val="both"/>
        <w:rPr>
          <w:rFonts w:ascii="Times New Roman" w:eastAsia="宋体"/>
          <w:sz w:val="24"/>
        </w:rPr>
      </w:pPr>
      <w:r>
        <w:t>前文已完成C公司运营问题识别、选址影响因素筛选以及成本结构分析，为形成标准化、量化的选址决策工具提供了基础。在此基础上，本章进一步明确综合评价指标体系的构建原则与具体结构，说明组合赋权与TOPSIS评价模型的计算逻辑，并为后续样本代入与结果检验提供统一的方法框架。</w:t>
      </w:r>
    </w:p>
    <w:p w14:paraId="337D3602">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5.1 指标体系构建原则</w:t>
      </w:r>
    </w:p>
    <w:p w14:paraId="4CE3F7AA">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为保证评价模型既具有理论合理性，又能够服务于企业实际决策，本文在构建综合选址评价指标体系时遵循以下原则：</w:t>
      </w:r>
    </w:p>
    <w:p w14:paraId="00C77B94">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第一，系统性原则。指标体系应覆盖需求、成本、约束、运营和政策等关键维度，能够较完整反映社区充电桩项目的选址条件。</w:t>
      </w:r>
    </w:p>
    <w:p w14:paraId="793F6FF9">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第二，可操作性原则。指标应便于在项目开发阶段获取和判断，避免过度依赖难以测量的数据。</w:t>
      </w:r>
    </w:p>
    <w:p w14:paraId="63EC6ED1">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第三，差异性原则。指标应能够反映不同候选社区之间的实际差异，为排序提供有效信息。</w:t>
      </w:r>
    </w:p>
    <w:p w14:paraId="51EA2FD1">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第四，动态适配原则。指标体系应保留后续扩展空间，以便在企业数据积累后不断优化。</w:t>
      </w:r>
    </w:p>
    <w:p w14:paraId="72DB6D3E">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5.2 综合评价指标体系设计</w:t>
      </w:r>
    </w:p>
    <w:p w14:paraId="06D32A66">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结合前文因素识别与权重分析结果，本文初步建立了由4个一级指标、若干二级指标构成的综合评价体系。</w:t>
      </w:r>
    </w:p>
    <w:p w14:paraId="3DCF45B7">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5.2.1 需求侧指标</w:t>
      </w:r>
    </w:p>
    <w:p w14:paraId="677A517F">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需求侧指标主要包括电动自行车保有量与密度、用户充电高峰时段匹配度、社区人口密度等。该类指标主要用于衡量潜在用户规模和稳定使用基础。</w:t>
      </w:r>
    </w:p>
    <w:p w14:paraId="316A0F37">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5.2.2 供给侧指标</w:t>
      </w:r>
    </w:p>
    <w:p w14:paraId="021C497A">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供给侧指标主要包括场地可获得性与租金、电力接入条件与成本、周边竞争设施情况等。该类指标用于判断项目建设的现实可行性和前期成本压力。</w:t>
      </w:r>
    </w:p>
    <w:p w14:paraId="63AD99D3">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5.2.3 环境与政策指标</w:t>
      </w:r>
    </w:p>
    <w:p w14:paraId="7C6C9535">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环境与政策指标包括消防安全条件、区域政策支持力度、交通便利性等，用于反映项目的合规性、推广条件和长期稳定性。</w:t>
      </w:r>
    </w:p>
    <w:p w14:paraId="00721605">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5.2.4 技术与运营指标</w:t>
      </w:r>
    </w:p>
    <w:p w14:paraId="420F4D55">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技术与运营指标包括物业协同程度、设备安装便利性、网络信号覆盖等，用于衡量项目后续运维效率和服务稳定性。</w:t>
      </w:r>
    </w:p>
    <w:p w14:paraId="2DE7B827">
      <w:pPr>
        <w:snapToGrid/>
        <w:spacing w:before="0" w:beforeAutospacing="0" w:after="0" w:afterAutospacing="0" w:line="360" w:lineRule="auto"/>
        <w:ind w:left="0" w:leftChars="0" w:right="0" w:rightChars="0" w:firstLine="480" w:firstLineChars="200"/>
        <w:jc w:val="both"/>
        <w:rPr>
          <w:rFonts w:ascii="Times New Roman" w:eastAsia="宋体"/>
          <w:sz w:val="24"/>
        </w:rPr>
      </w:pPr>
      <w:r>
        <w:t>在明确综合评价指标的层级结构与具体内容后，还需要确定各指标的重要程度并选择适当的综合评价方法。以下将说明权重确定路径、模型选择依据及具体计算步骤。</w:t>
      </w:r>
    </w:p>
    <w:p w14:paraId="536E2038">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5.3 权重确定与模型构建思路</w:t>
      </w:r>
    </w:p>
    <w:p w14:paraId="47DCA159">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5.3.1 权重确定路径</w:t>
      </w:r>
    </w:p>
    <w:p w14:paraId="2D9DB4A0">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本研究继续采用AHP法与熵权法组合赋权。其中，AHP法负责反映管理人员和专家对指标重要性的认知，熵权法负责基于历史数据识别指标差异。通过将两类权重结果进行综合，可以在一定程度上平衡主观经验与客观事实。</w:t>
      </w:r>
    </w:p>
    <w:p w14:paraId="0EE74570">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5.3.2 评价模型选择</w:t>
      </w:r>
    </w:p>
    <w:p w14:paraId="11A7742C">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在备选评价方法中，TOPSIS法具有计算逻辑清晰、结果可解释性较强、便于处理多指标排序问题等优势，较适合企业在多个候选社区之间做优先级判断。因此，本文拟采用TOPSIS法作为综合评价模型的核心方法。</w:t>
      </w:r>
    </w:p>
    <w:p w14:paraId="20E085ED">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5.3.3 模型计算步骤</w:t>
      </w:r>
    </w:p>
    <w:p w14:paraId="039446B5">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模型的基本步骤包括：一是构建候选社区原始指标矩阵；二是对正向指标和逆向指标进行标准化处理；三是结合综合权重形成加权标准化矩阵；四是确定正理想解和负理想解；五是计算各候选社区与理想解之间的距离；六是计算相对贴近度并据此完成排序。</w:t>
      </w:r>
    </w:p>
    <w:p w14:paraId="734163EF">
      <w:r>
        <w:t>在TOPSIS模型中，先对原始指标数据进行标准化，记标准化结果为 zij；结合综合权重后，可得到加权标准化结果 vij=wjzij。进一步将正理想解记为 A+，负理想解记为 A-，并分别计算候选社区到正、负理想解的距离：D+i=√Σ(vij-A+j)^2，D-i=√Σ(vij-A-j)^2。最终，以 Ci=D-i/(D+i+D-i) 衡量候选社区对理想方案的贴近程度；Ci 越大，说明方案排序越靠前。后续实证部分将在此基础上结合具体样本给出完整计算示例。</w:t>
      </w:r>
    </w:p>
    <w:p w14:paraId="54E4CD23">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t>5.4 本章小结</w:t>
      </w:r>
    </w:p>
    <w:p w14:paraId="45F3EE0F">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本章在前文研究基础上，完成了综合选址评价模型的阶段性构建工作，明确了指标体系构建原则、评价指标结构、组合赋权路径以及TOPSIS模型的基本计算思路。当前模型已具备进入实证验证阶段的条件，但具体排序结果、模型有效性分析和策略提炼仍需在后续研究中进一步完成。</w:t>
      </w:r>
    </w:p>
    <w:p w14:paraId="1CDD5B4A">
      <w:pPr>
        <w:pStyle w:val="3"/>
        <w:snapToGrid/>
        <w:spacing w:before="0" w:beforeAutospacing="0" w:after="0" w:afterAutospacing="0" w:line="360" w:lineRule="auto"/>
        <w:ind w:left="0" w:leftChars="0" w:right="0" w:rightChars="0" w:firstLine="0" w:firstLineChars="0"/>
        <w:jc w:val="center"/>
        <w:outlineLvl w:val="0"/>
        <w:rPr>
          <w:rFonts w:ascii="Times New Roman" w:eastAsia="黑体"/>
          <w:b w:val="0"/>
          <w:color w:val="auto"/>
          <w:sz w:val="28"/>
        </w:rPr>
      </w:pPr>
      <w:r>
        <w:t>第6章 结论与展望</w:t>
      </w:r>
    </w:p>
    <w:p w14:paraId="7A4BC4C4">
      <w:pPr>
        <w:pStyle w:val="4"/>
        <w:snapToGrid/>
        <w:spacing w:before="0" w:beforeAutospacing="0" w:after="0" w:afterAutospacing="0" w:line="360" w:lineRule="auto"/>
        <w:ind w:left="0" w:leftChars="0" w:right="0" w:rightChars="0" w:firstLine="561" w:firstLineChars="200"/>
        <w:jc w:val="both"/>
        <w:rPr>
          <w:rFonts w:ascii="Times New Roman" w:eastAsia="宋体"/>
          <w:sz w:val="24"/>
        </w:rPr>
      </w:pPr>
      <w:r>
        <w:t>6.1 研究结论</w:t>
      </w:r>
    </w:p>
    <w:p w14:paraId="41A839BE">
      <w:pPr>
        <w:snapToGrid/>
        <w:spacing w:before="0" w:beforeAutospacing="0" w:after="0" w:afterAutospacing="0" w:line="360" w:lineRule="auto"/>
        <w:ind w:left="0" w:leftChars="0" w:right="0" w:rightChars="0" w:firstLine="480" w:firstLineChars="200"/>
        <w:jc w:val="both"/>
        <w:rPr>
          <w:rFonts w:ascii="Times New Roman" w:eastAsia="宋体"/>
          <w:sz w:val="24"/>
        </w:rPr>
      </w:pPr>
      <w:r>
        <w:t>本文围绕C公司社区电动自行车充电桩选址问题，系统梳理了行业背景、理论基础、研究现状以及企业运营实践。阶段性研究表明，社区充电桩选址并非单一的地理位置判断，而是需求强度、建设约束、物业协同与后续运营效率共同作用的综合决策过程。</w:t>
      </w:r>
    </w:p>
    <w:p w14:paraId="305C2DD7">
      <w:pPr>
        <w:snapToGrid/>
        <w:spacing w:before="0" w:beforeAutospacing="0" w:after="0" w:afterAutospacing="0" w:line="360" w:lineRule="auto"/>
        <w:ind w:left="0" w:leftChars="0" w:right="0" w:rightChars="0" w:firstLine="480" w:firstLineChars="200"/>
        <w:jc w:val="both"/>
        <w:rPr>
          <w:rFonts w:ascii="Times New Roman" w:eastAsia="宋体"/>
          <w:sz w:val="24"/>
        </w:rPr>
      </w:pPr>
      <w:r>
        <w:t>从当前研究结果看，用户需求密度、电力接入条件和物业协同程度是影响站点布局成效的核心因素；安装成本差异主要受到人工费用、电力改造难度和施工条件影响，维护成本则与设备使用强度、社区类型和运营环境复杂度密切相关。上述结论说明，企业在扩张过程中需要建立统一的评价指标体系与数据复盘机制，以提高项目优选和跨城市复制的稳定性。</w:t>
      </w:r>
    </w:p>
    <w:p w14:paraId="2F3BF48F">
      <w:pPr>
        <w:pStyle w:val="4"/>
        <w:snapToGrid/>
        <w:spacing w:before="0" w:beforeAutospacing="0" w:after="0" w:afterAutospacing="0" w:line="360" w:lineRule="auto"/>
        <w:ind w:left="0" w:leftChars="0" w:right="0" w:rightChars="0" w:firstLine="561" w:firstLineChars="200"/>
        <w:jc w:val="both"/>
        <w:rPr>
          <w:rFonts w:ascii="Times New Roman" w:eastAsia="宋体"/>
          <w:sz w:val="24"/>
        </w:rPr>
      </w:pPr>
      <w:r>
        <w:t>6.2 研究局限与后续展望</w:t>
      </w:r>
    </w:p>
    <w:p w14:paraId="2E2A60EA">
      <w:pPr>
        <w:snapToGrid/>
        <w:spacing w:before="0" w:beforeAutospacing="0" w:after="0" w:afterAutospacing="0" w:line="360" w:lineRule="auto"/>
        <w:ind w:left="0" w:leftChars="0" w:right="0" w:rightChars="0" w:firstLine="480" w:firstLineChars="200"/>
        <w:jc w:val="both"/>
        <w:rPr>
          <w:rFonts w:ascii="Times New Roman" w:eastAsia="宋体"/>
          <w:sz w:val="24"/>
        </w:rPr>
      </w:pPr>
      <w:r>
        <w:t>受中期研究进度和数据整理程度限制，本文目前尚未完整展示专家判断矩阵、熵权法原始数据矩阵以及TOPSIS样本计算结果，维护成本的分城市、分社区类型拆解也有待进一步细化。后续研究将继续完成样本代入与模型验证，补充更细颗粒度的数据分析，并在此基础上提出更具针对性的布局优化、成本控制和扩张复制建议，同时进一步完善引文标注、附图附表和参考文献体系。</w:t>
      </w:r>
    </w:p>
    <w:p w14:paraId="3C9A5DAF">
      <w:pPr>
        <w:pStyle w:val="3"/>
        <w:snapToGrid/>
        <w:spacing w:before="0" w:beforeAutospacing="0" w:after="0" w:afterAutospacing="0" w:line="360" w:lineRule="auto"/>
        <w:ind w:left="0" w:leftChars="0" w:right="0" w:rightChars="0" w:firstLine="0" w:firstLineChars="0"/>
        <w:jc w:val="center"/>
        <w:rPr>
          <w:rFonts w:ascii="Times New Roman" w:eastAsia="黑体"/>
          <w:b w:val="0"/>
          <w:color w:val="auto"/>
          <w:sz w:val="28"/>
        </w:rPr>
      </w:pPr>
      <w:r>
        <w:rPr>
          <w:rFonts w:ascii="Times New Roman" w:eastAsia="黑体"/>
          <w:b w:val="0"/>
          <w:color w:val="auto"/>
          <w:sz w:val="28"/>
        </w:rPr>
        <w:t>参考文献</w:t>
      </w:r>
    </w:p>
    <w:p w14:paraId="21722423">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[1] 魏冠元，王冠群，阮观梅，等．电动汽车充电站选址智能决策与优化研究综述[J]．计算机工程与应用，2023，59(21)：52-65．</w:t>
      </w:r>
    </w:p>
    <w:p w14:paraId="5FCE36B6">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[2] 周筝，龙华，李帅，等．时空需求下的电动汽车充电设施选址优化模型[J]．计算机应用研究，2023，40(9)：2633-2638，2645．</w:t>
      </w:r>
    </w:p>
    <w:p w14:paraId="14897628">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[3] 刘东林，王育飞，张宇，等．基于Huff模型的电动汽车充电站选址定容方法[J]．电力自动化设备，2023，43(11)：103-110．</w:t>
      </w:r>
    </w:p>
    <w:p w14:paraId="7856A7C6">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[4] 潘含芝，于艾清，王育飞，等．均衡不同主体利益的电动汽车充电站选址定容[J]．现代电力，2023，40(6)：995-1004．</w:t>
      </w:r>
    </w:p>
    <w:p w14:paraId="376B0065">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[5] 孙雨乐，漆淘懿，赵宇明，等．路网耦合下计及电动汽车V2G潜力的充电站选址定容研究[J]．综合智慧能源，2024，46(1)：1-10．</w:t>
      </w:r>
    </w:p>
    <w:p w14:paraId="513E47ED">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[6] 王琼，邹晴，李乐，等．考虑用户动态充电需求的充电站选址定容优化[J]．浙江电力，2024，43(9)：10-18．</w:t>
      </w:r>
    </w:p>
    <w:p w14:paraId="7965EE34">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[7] 宣羿，樊立波，孙智卿，等．考虑低碳交通的电动汽车充电站优化配置方法[J]．浙江电力，2024，43(6)：69-79．</w:t>
      </w:r>
    </w:p>
    <w:p w14:paraId="12ABCB40">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[8] 肖白，高峰．含不同容量充电桩的电动汽车充电站选址定容优化方法[J]．电力自动化设备，2022，42(10)：157-166．</w:t>
      </w:r>
    </w:p>
    <w:p w14:paraId="73041D58">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[9] 胡晓伟，宋帅，邱振洋，等．寒区电动公交充电站选址及定容规划研究[J]．交通运输系统工程与信息，2024，24(2)：281-292．</w:t>
      </w:r>
    </w:p>
    <w:p w14:paraId="4F27A013">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[10] 卢慧，谢开贵，邵常政，等．考虑燃油车和电动汽车动态混合交通流的电动汽车充电站规划[J]．高电压技术，2023，49(3)：1150-1160．</w:t>
      </w:r>
    </w:p>
    <w:p w14:paraId="1A92259B">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[11] 赵炳耀，陈璟华，郭经韬，等．基于Voronoi图和改进引力搜索算法的电动汽车充电站选址定容[J]．广东工业大学学报，2021，38(3)：72-78．</w:t>
      </w:r>
    </w:p>
    <w:p w14:paraId="6B242BC2">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[12] 何晨可，朱继忠，刘云，等．计及碳减排的电动汽车充换储一体站与主动配电网协调规划[J]．电工技术学报，2022，37(1)：92-111．</w:t>
      </w:r>
    </w:p>
    <w:p w14:paraId="6B40346E">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[13] 梁璐，韩飞．考虑排队时间和充电成本的电动汽车充电站选址模型[J]．交通信息与安全，2023，41(4)：154-162．</w:t>
      </w:r>
    </w:p>
    <w:p w14:paraId="04C525BB">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[14] 蔡海青，代伟，赵静怡，等．基于多参数规划的电动汽车充电站有效容量评估方法[J]．中国电力，2022，55(11)：175-183．</w:t>
      </w:r>
    </w:p>
    <w:p w14:paraId="28A4FFE9">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[15] 李英量，白博旭，朱琦，等．基于电动汽车充电站的不平衡配电网自愈及优化运行[J]．电力建设，2024，45(6)：37-46．</w:t>
      </w:r>
    </w:p>
    <w:p w14:paraId="44F7B1D8">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[16] 王伟贤，孙舟，潘鸣宇，等．基于模糊层次分析法的电动汽车充电桩信息安全风险评估方法[J]．中国电力，2021，54(1)：96-103．</w:t>
      </w:r>
    </w:p>
    <w:p w14:paraId="4AF87075">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[17] 张良，孙成龙，蔡国伟，等．基于PSO算法的电动汽车有序充放电两阶段优化策略[J]．中国电机工程学报，2022，42(5)：1837-1852．</w:t>
      </w:r>
    </w:p>
    <w:p w14:paraId="11B13AA8">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[18] 林楷东，杨景旭，张勇军，等．双电源供电充电站的需求响应优化模型[J]．电力系统保护与控制，2022，50(17)：68-75．</w:t>
      </w:r>
    </w:p>
    <w:p w14:paraId="702FE3B0">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[19] 李永竞，裴文卉．基于多源数据的充电站三阶段选址优化决策[J]．控制工程，2023，30(9)：1648-1657．</w:t>
      </w:r>
    </w:p>
    <w:p w14:paraId="19136E83">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[20] 赵峰，李建霞，高锋阳．考虑不确定性的高速公路光储充电站选址定容[J]．电力自动化设备，2021，41(8)：111．</w:t>
      </w:r>
    </w:p>
    <w:p w14:paraId="0AD30BC6">
      <w:pPr>
        <w:snapToGrid w:val="0"/>
        <w:spacing w:before="0" w:beforeAutospacing="0" w:after="0" w:afterAutospacing="0" w:line="360" w:lineRule="auto"/>
        <w:ind w:left="360" w:leftChars="0" w:right="0" w:rightChars="0" w:hanging="360" w:hangingChars="150"/>
        <w:jc w:val="both"/>
        <w:rPr>
          <w:rFonts w:ascii="Times New Roman" w:eastAsia="宋体"/>
          <w:sz w:val="24"/>
        </w:rPr>
      </w:pPr>
      <w:r>
        <w:t>[21] MA H, PEI W, ZHANG Q, et al. Location of electric vehicle charging stations based on game theory[J]. World Electric Vehicle Journal, 2023, 14(5): 128.</w:t>
      </w:r>
    </w:p>
    <w:p w14:paraId="38F6B7FF">
      <w:pPr>
        <w:snapToGrid w:val="0"/>
        <w:spacing w:before="0" w:beforeAutospacing="0" w:after="0" w:afterAutospacing="0" w:line="360" w:lineRule="auto"/>
        <w:ind w:left="360" w:leftChars="0" w:right="0" w:rightChars="0" w:hanging="360" w:hangingChars="150"/>
        <w:jc w:val="both"/>
        <w:rPr>
          <w:rFonts w:ascii="Times New Roman" w:eastAsia="宋体"/>
          <w:sz w:val="24"/>
        </w:rPr>
      </w:pPr>
      <w:r>
        <w:t>[22] ZHAO H, GAO J, CHENG X. Electric vehicle solar charging station siting study based on GIS and multi-criteria decision-making: A case study of China[J]. Sustainability, 2023, 15(14): 10967.</w:t>
      </w:r>
    </w:p>
    <w:p w14:paraId="1124DC31">
      <w:pPr>
        <w:snapToGrid w:val="0"/>
        <w:spacing w:before="0" w:beforeAutospacing="0" w:after="0" w:afterAutospacing="0" w:line="360" w:lineRule="auto"/>
        <w:ind w:left="360" w:leftChars="0" w:right="0" w:rightChars="0" w:hanging="360" w:hangingChars="150"/>
        <w:jc w:val="both"/>
        <w:rPr>
          <w:rFonts w:ascii="Times New Roman" w:eastAsia="宋体"/>
          <w:sz w:val="24"/>
        </w:rPr>
      </w:pPr>
      <w:r>
        <w:t>[23] AHMAD F, IQBAL A, ASHRAF I, et al. Optimal location of electric vehicle charging station and its impact on distribution network: A review[J]. Energy Reports, 2022, 8: 2314-2333.</w:t>
      </w:r>
    </w:p>
    <w:p w14:paraId="5AED3478">
      <w:pPr>
        <w:snapToGrid w:val="0"/>
        <w:spacing w:before="0" w:beforeAutospacing="0" w:after="0" w:afterAutospacing="0" w:line="360" w:lineRule="auto"/>
        <w:ind w:left="360" w:leftChars="0" w:right="0" w:rightChars="0" w:hanging="360" w:hangingChars="150"/>
        <w:jc w:val="both"/>
        <w:rPr>
          <w:rFonts w:ascii="Times New Roman" w:eastAsia="宋体"/>
          <w:sz w:val="24"/>
        </w:rPr>
      </w:pPr>
      <w:r>
        <w:t>[24] KCHAOU-BOUJELBEN M. Charging station location problem: A comprehensive review on models and solution approaches[J]. Transportation Research Part C: Emerging Technologies, 2021, 132: 103376.</w:t>
      </w:r>
    </w:p>
    <w:p w14:paraId="1A24D582">
      <w:pPr>
        <w:snapToGrid w:val="0"/>
        <w:spacing w:before="0" w:beforeAutospacing="0" w:after="0" w:afterAutospacing="0" w:line="360" w:lineRule="auto"/>
        <w:ind w:left="360" w:leftChars="0" w:right="0" w:rightChars="0" w:hanging="360" w:hangingChars="150"/>
        <w:jc w:val="both"/>
        <w:rPr>
          <w:rFonts w:ascii="Times New Roman" w:eastAsia="宋体"/>
          <w:sz w:val="24"/>
        </w:rPr>
      </w:pPr>
      <w:r>
        <w:t>[25] UNTERLUGGAUER T, RICH J, ANDERSEN P B, et al. Electric vehicle charging infrastructure planning for integrated transportation and power distribution networks: A review[J]. eTransportation, 2022, 12: 100163.</w:t>
      </w:r>
    </w:p>
    <w:p w14:paraId="79FB1A85">
      <w:pPr>
        <w:snapToGrid w:val="0"/>
        <w:spacing w:before="0" w:beforeAutospacing="0" w:after="0" w:afterAutospacing="0" w:line="360" w:lineRule="auto"/>
        <w:ind w:left="360" w:leftChars="0" w:right="0" w:rightChars="0" w:hanging="360" w:hangingChars="150"/>
        <w:jc w:val="both"/>
        <w:rPr>
          <w:rFonts w:ascii="Times New Roman" w:eastAsia="宋体"/>
          <w:sz w:val="24"/>
        </w:rPr>
      </w:pPr>
      <w:r>
        <w:t>[26] ZHOU G, ZHU Z, LUO S. Location optimization of electric vehicle charging stations: Based on cost model and genetic algorithm[J]. Energy, 2022, 247: 123437.</w:t>
      </w:r>
    </w:p>
    <w:p w14:paraId="4756395D">
      <w:pPr>
        <w:snapToGrid w:val="0"/>
        <w:spacing w:before="0" w:beforeAutospacing="0" w:after="0" w:afterAutospacing="0" w:line="360" w:lineRule="auto"/>
        <w:ind w:left="360" w:leftChars="0" w:right="0" w:rightChars="0" w:hanging="360" w:hangingChars="150"/>
        <w:jc w:val="both"/>
        <w:rPr>
          <w:rFonts w:ascii="Times New Roman" w:eastAsia="宋体"/>
          <w:sz w:val="24"/>
        </w:rPr>
      </w:pPr>
      <w:r>
        <w:t>[27] LI Y, PEI W, ZHANG Q, et al. Optimal layout of electric vehicle charging station locations considering dynamic charging demand[J]. Electronics, 2023, 12(8): 1818.</w:t>
      </w:r>
    </w:p>
    <w:p w14:paraId="62928083">
      <w:pPr>
        <w:snapToGrid w:val="0"/>
        <w:spacing w:before="0" w:beforeAutospacing="0" w:after="0" w:afterAutospacing="0" w:line="360" w:lineRule="auto"/>
        <w:ind w:left="360" w:leftChars="0" w:right="0" w:rightChars="0" w:hanging="360" w:hangingChars="150"/>
        <w:jc w:val="both"/>
        <w:rPr>
          <w:rFonts w:ascii="Times New Roman" w:eastAsia="宋体"/>
          <w:sz w:val="24"/>
        </w:rPr>
      </w:pPr>
      <w:r>
        <w:t>[28] HU D, CAI S, LIU Z W, et al. Electric vehicle charging infrastructure location optimization with mixed and forecasted charging requirements[J]. Complexity, 2023: 9567183.</w:t>
      </w:r>
    </w:p>
    <w:p w14:paraId="56EDD7FD">
      <w:pPr>
        <w:snapToGrid w:val="0"/>
        <w:spacing w:before="0" w:beforeAutospacing="0" w:after="0" w:afterAutospacing="0" w:line="360" w:lineRule="auto"/>
        <w:ind w:left="360" w:leftChars="0" w:right="0" w:rightChars="0" w:hanging="360" w:hangingChars="150"/>
        <w:jc w:val="both"/>
        <w:rPr>
          <w:rFonts w:ascii="Times New Roman" w:eastAsia="宋体"/>
          <w:sz w:val="24"/>
        </w:rPr>
      </w:pPr>
      <w:r>
        <w:t>[29] YU Z, WU Z, LI Q, et al. A map matching-based method for electric vehicle charging station placement at directional road segment level[J]. Sustainable Cities and Society, 2022, 84: 103987.</w:t>
      </w:r>
    </w:p>
    <w:p w14:paraId="618AE94A">
      <w:pPr>
        <w:snapToGrid w:val="0"/>
        <w:spacing w:before="0" w:beforeAutospacing="0" w:after="0" w:afterAutospacing="0" w:line="360" w:lineRule="auto"/>
        <w:ind w:left="360" w:leftChars="0" w:right="0" w:rightChars="0" w:hanging="360" w:hangingChars="150"/>
        <w:jc w:val="both"/>
        <w:rPr>
          <w:rFonts w:ascii="Times New Roman" w:eastAsia="宋体"/>
          <w:sz w:val="24"/>
        </w:rPr>
      </w:pPr>
      <w:r>
        <w:t>[30] MOHAMMED A, SAIF O, ABO-ADMA M A, et al. Multiobjective optimization for sizing and placing electric vehicle charging stations considering comprehensive uncertainties[J]. Energy Informatics, 2024, 7: 131.</w:t>
      </w:r>
    </w:p>
    <w:p w14:paraId="6E8CBC76">
      <w:pPr>
        <w:snapToGrid w:val="0"/>
        <w:spacing w:before="0" w:beforeAutospacing="0" w:after="0" w:afterAutospacing="0" w:line="360" w:lineRule="auto"/>
        <w:ind w:left="360" w:leftChars="0" w:right="0" w:rightChars="0" w:hanging="360" w:hangingChars="150"/>
        <w:jc w:val="both"/>
        <w:rPr>
          <w:rFonts w:ascii="Times New Roman" w:eastAsia="宋体"/>
          <w:sz w:val="24"/>
        </w:rPr>
      </w:pPr>
    </w:p>
    <w:p w14:paraId="1D7A6B05">
      <w:pPr>
        <w:snapToGrid w:val="0"/>
        <w:spacing w:before="0" w:beforeAutospacing="0" w:after="0" w:afterAutospacing="0" w:line="360" w:lineRule="auto"/>
        <w:ind w:left="360" w:leftChars="0" w:right="0" w:rightChars="0" w:hanging="360" w:hangingChars="150"/>
        <w:jc w:val="both"/>
        <w:rPr>
          <w:rFonts w:ascii="Times New Roman" w:eastAsia="宋体"/>
          <w:sz w:val="24"/>
        </w:rPr>
      </w:pPr>
    </w:p>
    <w:p w14:paraId="30970AC6">
      <w:pPr>
        <w:snapToGrid w:val="0"/>
        <w:spacing w:before="0" w:beforeAutospacing="0" w:after="0" w:afterAutospacing="0" w:line="360" w:lineRule="auto"/>
        <w:ind w:left="360" w:leftChars="0" w:right="0" w:rightChars="0" w:hanging="360" w:hangingChars="150"/>
        <w:jc w:val="both"/>
        <w:rPr>
          <w:rFonts w:ascii="Times New Roman" w:eastAsia="宋体"/>
          <w:sz w:val="24"/>
        </w:rPr>
      </w:pPr>
    </w:p>
    <w:p w14:paraId="09196E5B">
      <w:pPr>
        <w:snapToGrid w:val="0"/>
        <w:spacing w:before="0" w:beforeAutospacing="0" w:after="0" w:afterAutospacing="0" w:line="360" w:lineRule="auto"/>
        <w:ind w:left="360" w:leftChars="0" w:right="0" w:rightChars="0" w:hanging="360" w:hangingChars="150"/>
        <w:jc w:val="both"/>
        <w:rPr>
          <w:rFonts w:ascii="Times New Roman" w:eastAsia="宋体"/>
          <w:sz w:val="24"/>
        </w:rPr>
      </w:pPr>
    </w:p>
    <w:p w14:paraId="6F3C192C">
      <w:pPr>
        <w:snapToGrid w:val="0"/>
        <w:spacing w:before="0" w:beforeAutospacing="0" w:after="0" w:afterAutospacing="0" w:line="360" w:lineRule="auto"/>
        <w:ind w:left="360" w:leftChars="0" w:right="0" w:rightChars="0" w:hanging="360" w:hangingChars="150"/>
        <w:jc w:val="both"/>
        <w:rPr>
          <w:rFonts w:ascii="Times New Roman" w:eastAsia="宋体"/>
          <w:sz w:val="24"/>
        </w:rPr>
      </w:pPr>
    </w:p>
    <w:p w14:paraId="7C93BF40">
      <w:pPr>
        <w:snapToGrid w:val="0"/>
        <w:spacing w:before="0" w:beforeAutospacing="0" w:after="0" w:afterAutospacing="0" w:line="360" w:lineRule="auto"/>
        <w:ind w:left="360" w:leftChars="0" w:right="0" w:rightChars="0" w:hanging="360" w:hangingChars="150"/>
        <w:jc w:val="both"/>
        <w:rPr>
          <w:rFonts w:ascii="Times New Roman" w:eastAsia="宋体"/>
          <w:sz w:val="24"/>
        </w:rPr>
      </w:pPr>
    </w:p>
    <w:p w14:paraId="16590576">
      <w:pPr>
        <w:snapToGrid w:val="0"/>
        <w:spacing w:before="0" w:beforeAutospacing="0" w:after="0" w:afterAutospacing="0" w:line="360" w:lineRule="auto"/>
        <w:ind w:left="360" w:leftChars="0" w:right="0" w:rightChars="0" w:hanging="360" w:hangingChars="150"/>
        <w:jc w:val="both"/>
        <w:rPr>
          <w:rFonts w:ascii="Times New Roman" w:eastAsia="宋体"/>
          <w:sz w:val="24"/>
        </w:rPr>
      </w:pPr>
    </w:p>
    <w:p w14:paraId="0B6F12B5">
      <w:pPr>
        <w:snapToGrid w:val="0"/>
        <w:spacing w:before="0" w:beforeAutospacing="0" w:after="0" w:afterAutospacing="0" w:line="360" w:lineRule="auto"/>
        <w:ind w:left="360" w:leftChars="0" w:right="0" w:rightChars="0" w:hanging="360" w:hangingChars="150"/>
        <w:jc w:val="both"/>
        <w:rPr>
          <w:rFonts w:ascii="Times New Roman" w:eastAsia="宋体"/>
          <w:sz w:val="24"/>
        </w:rPr>
      </w:pPr>
    </w:p>
    <w:p w14:paraId="7567F6DE">
      <w:pPr>
        <w:pStyle w:val="3"/>
        <w:snapToGrid w:val="0"/>
        <w:spacing w:before="0" w:beforeAutospacing="0" w:after="0" w:afterAutospacing="0" w:line="360" w:lineRule="auto"/>
        <w:ind w:left="360" w:leftChars="0" w:right="0" w:rightChars="0" w:hanging="360" w:hangingChars="150"/>
        <w:jc w:val="both"/>
        <w:rPr>
          <w:rFonts w:ascii="Times New Roman" w:eastAsia="宋体"/>
          <w:color w:val="auto"/>
          <w:sz w:val="24"/>
        </w:rPr>
      </w:pPr>
      <w:r>
        <w:rPr>
          <w:rFonts w:ascii="Times New Roman" w:eastAsia="宋体"/>
          <w:color w:val="auto"/>
          <w:sz w:val="24"/>
        </w:rPr>
        <w:t>附注</w:t>
      </w:r>
    </w:p>
    <w:p w14:paraId="4239D9EB">
      <w:pPr>
        <w:snapToGrid w:val="0"/>
        <w:spacing w:before="0" w:beforeAutospacing="0" w:after="0" w:afterAutospacing="0" w:line="360" w:lineRule="auto"/>
        <w:ind w:right="0" w:rightChars="0"/>
        <w:jc w:val="both"/>
        <w:rPr>
          <w:rFonts w:ascii="Times New Roman" w:eastAsia="宋体"/>
          <w:sz w:val="24"/>
        </w:rPr>
      </w:pPr>
      <w:r>
        <w:rPr>
          <w:rFonts w:ascii="Times New Roman" w:eastAsia="宋体"/>
          <w:sz w:val="24"/>
        </w:rPr>
        <w:t>本文稿件为依据开题报告与中期检查报告整理形成的阶段性论文稿，完成度约为60%。目前已完成绪论、理论基础与文献综述、企业运营现状分析、选址影响因素与成本结构分析，以及综合评价模型的框架构建。涉及模型实证验证、布局优化建议、结论展望、正文引文标注和参考文献最终核验等内容，仍需在后续研究中继续完善。</w:t>
      </w:r>
    </w:p>
    <w:sectPr>
      <w:footerReference r:id="rId5" w:type="default"/>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华文中宋">
    <w:altName w:val="汉仪书宋二KW"/>
    <w:panose1 w:val="02010600040101010101"/>
    <w:charset w:val="86"/>
    <w:family w:val="auto"/>
    <w:pitch w:val="default"/>
    <w:sig w:usb0="00000000" w:usb1="00000000" w:usb2="00000010" w:usb3="00000000" w:csb0="0004009F"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BC6B5">
    <w:pPr>
      <w:pStyle w:val="24"/>
      <w:jc w:val="center"/>
    </w:pPr>
    <w:r>
      <w:rPr>
        <w:rFonts w:ascii="Times New Roman" w:hAnsi="Times New Roman" w:eastAsia="宋体"/>
        <w:b w:val="0"/>
        <w:sz w:val="18"/>
      </w:rPr>
      <w:t>C公司充电桩选址问题研究（阶段性论文稿）</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BC2037"/>
    <w:rsid w:val="7CDD4ABF"/>
    <w:rsid w:val="AFFD7237"/>
    <w:rsid w:val="F7F2B7FB"/>
    <w:rsid w:val="FDBF42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39"/>
    <w:qFormat/>
    <w:uiPriority w:val="9"/>
    <w:pPr>
      <w:keepNext/>
      <w:keepLines/>
      <w:spacing w:before="240" w:after="120" w:line="300" w:lineRule="auto"/>
      <w:ind w:firstLine="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0"/>
    <w:unhideWhenUsed/>
    <w:qFormat/>
    <w:uiPriority w:val="9"/>
    <w:pPr>
      <w:keepNext/>
      <w:keepLines/>
      <w:spacing w:before="240" w:after="120" w:line="300" w:lineRule="auto"/>
      <w:ind w:firstLine="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1"/>
    <w:unhideWhenUsed/>
    <w:qFormat/>
    <w:uiPriority w:val="9"/>
    <w:pPr>
      <w:keepNext/>
      <w:keepLines/>
      <w:spacing w:before="240" w:after="120" w:line="300" w:lineRule="auto"/>
      <w:ind w:firstLine="0"/>
      <w:outlineLvl w:val="2"/>
    </w:pPr>
    <w:rPr>
      <w:rFonts w:asciiTheme="majorHAnsi" w:hAnsiTheme="majorHAnsi" w:eastAsiaTheme="majorEastAsia" w:cstheme="majorBidi"/>
      <w:b/>
      <w:bCs/>
      <w:color w:val="000000"/>
      <w:sz w:val="24"/>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p1"/>
    <w:basedOn w:val="1"/>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107</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2013-12-25T07:15:00Z</dcterms:created>
  <dc:creator>python-docx</dc:creator>
  <dc:description>generated by python-docx</dc:description>
  <cp:lastModifiedBy>yl0473</cp:lastModifiedBy>
  <dcterms:modified xsi:type="dcterms:W3CDTF">2026-06-12T08:45:13Z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3DDB1E0782D9F4BE4B6B256A1C0B23A0_42</vt:lpwstr>
  </property>
</Properties>
</file>