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66D3C">
      <w:pPr>
        <w:spacing w:line="276" w:lineRule="auto"/>
        <w:rPr>
          <w:rFonts w:ascii="微软雅黑" w:hAnsi="微软雅黑" w:eastAsia="微软雅黑"/>
          <w:b/>
          <w:sz w:val="28"/>
          <w:szCs w:val="28"/>
        </w:rPr>
      </w:pPr>
      <w:r>
        <w:rPr>
          <w:rFonts w:ascii="微软雅黑" w:hAnsi="微软雅黑" w:eastAsia="微软雅黑"/>
        </w:rPr>
        <w:pict>
          <v:shape id="Object 2" o:spid="_x0000_s1026" o:spt="75" type="#_x0000_t75" style="position:absolute;left:0pt;margin-left:200.35pt;margin-top:7.2pt;height:72pt;width:228pt;mso-position-horizontal-relative:page;mso-wrap-distance-bottom:0pt;mso-wrap-distance-left:9.05pt;mso-wrap-distance-right:9.05pt;mso-wrap-distance-top:0pt;z-index:251659264;mso-width-relative:page;mso-height-relative:page;" o:ole="t" filled="f" o:preferrelative="t" stroked="f" coordsize="21600,21600" o:allowincell="f">
            <v:path/>
            <v:fill on="f" focussize="0,0"/>
            <v:stroke on="f"/>
            <v:imagedata r:id="rId5" o:title=""/>
            <o:lock v:ext="edit" aspectratio="t"/>
            <w10:wrap type="square"/>
          </v:shape>
          <o:OLEObject Type="Embed" ProgID="Word.Picture" ShapeID="Object 2" DrawAspect="Content" ObjectID="_1468075725" r:id="rId4">
            <o:LockedField>false</o:LockedField>
          </o:OLEObject>
        </w:pict>
      </w:r>
    </w:p>
    <w:p w14:paraId="5F2E141C">
      <w:pPr>
        <w:spacing w:line="276" w:lineRule="auto"/>
        <w:rPr>
          <w:rFonts w:ascii="微软雅黑" w:hAnsi="微软雅黑" w:eastAsia="微软雅黑"/>
          <w:b/>
          <w:sz w:val="28"/>
          <w:szCs w:val="28"/>
        </w:rPr>
      </w:pPr>
    </w:p>
    <w:p w14:paraId="7326DB6F">
      <w:pPr>
        <w:spacing w:line="276" w:lineRule="auto"/>
        <w:rPr>
          <w:rFonts w:ascii="微软雅黑" w:hAnsi="微软雅黑" w:eastAsia="微软雅黑"/>
          <w:b/>
          <w:sz w:val="28"/>
          <w:szCs w:val="28"/>
        </w:rPr>
      </w:pPr>
    </w:p>
    <w:p w14:paraId="31D526A7">
      <w:pPr>
        <w:spacing w:line="276" w:lineRule="auto"/>
        <w:rPr>
          <w:rFonts w:ascii="微软雅黑" w:hAnsi="微软雅黑" w:eastAsia="微软雅黑"/>
          <w:b/>
          <w:sz w:val="28"/>
          <w:szCs w:val="28"/>
        </w:rPr>
      </w:pPr>
    </w:p>
    <w:p w14:paraId="24020936">
      <w:pPr>
        <w:spacing w:line="276" w:lineRule="auto"/>
        <w:jc w:val="center"/>
        <w:rPr>
          <w:rFonts w:ascii="微软雅黑" w:hAnsi="微软雅黑" w:eastAsia="微软雅黑"/>
          <w:b/>
          <w:spacing w:val="20"/>
          <w:sz w:val="52"/>
          <w:szCs w:val="52"/>
        </w:rPr>
      </w:pPr>
      <w:r>
        <w:rPr>
          <w:rFonts w:hint="eastAsia" w:ascii="微软雅黑" w:hAnsi="微软雅黑" w:eastAsia="微软雅黑"/>
          <w:b/>
          <w:spacing w:val="20"/>
          <w:sz w:val="52"/>
          <w:szCs w:val="52"/>
        </w:rPr>
        <w:t>专业学位（硕士）论文中期报告</w:t>
      </w:r>
    </w:p>
    <w:p w14:paraId="0B72AB24">
      <w:pPr>
        <w:tabs>
          <w:tab w:val="left" w:pos="1320"/>
        </w:tabs>
        <w:spacing w:line="276" w:lineRule="auto"/>
        <w:ind w:firstLine="1796" w:firstLineChars="397"/>
        <w:rPr>
          <w:rFonts w:ascii="微软雅黑" w:hAnsi="微软雅黑" w:eastAsia="微软雅黑"/>
          <w:b/>
          <w:spacing w:val="66"/>
          <w:sz w:val="32"/>
          <w:szCs w:val="32"/>
        </w:rPr>
      </w:pPr>
    </w:p>
    <w:p w14:paraId="44212019">
      <w:pPr>
        <w:tabs>
          <w:tab w:val="left" w:pos="1320"/>
        </w:tabs>
        <w:spacing w:line="276" w:lineRule="auto"/>
        <w:ind w:firstLine="1796" w:firstLineChars="397"/>
        <w:rPr>
          <w:rFonts w:ascii="微软雅黑" w:hAnsi="微软雅黑" w:eastAsia="微软雅黑"/>
          <w:b/>
          <w:spacing w:val="66"/>
          <w:sz w:val="32"/>
          <w:szCs w:val="32"/>
        </w:rPr>
      </w:pPr>
    </w:p>
    <w:p w14:paraId="5CF286C8">
      <w:pPr>
        <w:tabs>
          <w:tab w:val="left" w:pos="1320"/>
        </w:tabs>
        <w:spacing w:line="276" w:lineRule="auto"/>
        <w:ind w:firstLine="1796" w:firstLineChars="397"/>
        <w:rPr>
          <w:rFonts w:ascii="微软雅黑" w:hAnsi="微软雅黑" w:eastAsia="微软雅黑"/>
          <w:b/>
          <w:spacing w:val="66"/>
          <w:sz w:val="32"/>
          <w:szCs w:val="32"/>
        </w:rPr>
      </w:pPr>
    </w:p>
    <w:p w14:paraId="2DA5D711">
      <w:pPr>
        <w:tabs>
          <w:tab w:val="left" w:pos="1320"/>
        </w:tabs>
        <w:spacing w:line="276" w:lineRule="auto"/>
        <w:ind w:firstLine="1796" w:firstLineChars="397"/>
        <w:rPr>
          <w:rFonts w:ascii="微软雅黑" w:hAnsi="微软雅黑" w:eastAsia="微软雅黑"/>
          <w:b/>
          <w:spacing w:val="66"/>
          <w:sz w:val="32"/>
          <w:szCs w:val="32"/>
        </w:rPr>
      </w:pPr>
    </w:p>
    <w:p w14:paraId="421EEF07">
      <w:pPr>
        <w:tabs>
          <w:tab w:val="left" w:pos="1320"/>
        </w:tabs>
        <w:spacing w:line="276" w:lineRule="auto"/>
        <w:ind w:firstLine="905" w:firstLineChars="200"/>
        <w:rPr>
          <w:rFonts w:hint="eastAsia" w:ascii="微软雅黑" w:hAnsi="微软雅黑" w:eastAsia="微软雅黑"/>
          <w:b/>
          <w:spacing w:val="66"/>
          <w:sz w:val="32"/>
          <w:szCs w:val="32"/>
          <w:u w:val="single"/>
          <w:lang w:val="en-US" w:eastAsia="zh-CN"/>
        </w:rPr>
      </w:pPr>
      <w:r>
        <w:rPr>
          <w:rFonts w:hint="eastAsia" w:ascii="微软雅黑" w:hAnsi="微软雅黑" w:eastAsia="微软雅黑"/>
          <w:b/>
          <w:spacing w:val="66"/>
          <w:sz w:val="32"/>
          <w:szCs w:val="32"/>
        </w:rPr>
        <w:t>论文题目</w:t>
      </w:r>
      <w:r>
        <w:rPr>
          <w:rFonts w:hint="eastAsia" w:ascii="微软雅黑" w:hAnsi="微软雅黑" w:eastAsia="微软雅黑"/>
          <w:b/>
          <w:spacing w:val="66"/>
          <w:sz w:val="32"/>
          <w:szCs w:val="32"/>
          <w:u w:val="single"/>
        </w:rPr>
        <w:t xml:space="preserve"> </w:t>
      </w:r>
      <w:r>
        <w:rPr>
          <w:rFonts w:hint="eastAsia" w:ascii="微软雅黑" w:hAnsi="微软雅黑" w:eastAsia="微软雅黑"/>
          <w:b/>
          <w:sz w:val="32"/>
          <w:szCs w:val="32"/>
          <w:u w:val="single"/>
        </w:rPr>
        <w:t>C公司充电桩</w:t>
      </w:r>
      <w:r>
        <w:rPr>
          <w:rFonts w:hint="eastAsia" w:ascii="微软雅黑" w:hAnsi="微软雅黑" w:eastAsia="微软雅黑"/>
          <w:b/>
          <w:sz w:val="32"/>
          <w:szCs w:val="32"/>
          <w:u w:val="single"/>
          <w:lang w:val="en-US" w:eastAsia="zh-CN"/>
        </w:rPr>
        <w:t>选址问题研究</w:t>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ab/>
      </w:r>
    </w:p>
    <w:p w14:paraId="21563A1F">
      <w:pPr>
        <w:tabs>
          <w:tab w:val="left" w:pos="1320"/>
        </w:tabs>
        <w:spacing w:line="276" w:lineRule="auto"/>
        <w:ind w:firstLine="905" w:firstLineChars="200"/>
        <w:rPr>
          <w:rFonts w:hint="eastAsia" w:ascii="微软雅黑" w:hAnsi="微软雅黑" w:eastAsia="微软雅黑"/>
          <w:spacing w:val="66"/>
          <w:sz w:val="32"/>
          <w:szCs w:val="32"/>
          <w:u w:val="single"/>
          <w:lang w:val="en-US" w:eastAsia="zh-CN"/>
        </w:rPr>
      </w:pPr>
      <w:r>
        <w:rPr>
          <w:rFonts w:hint="eastAsia" w:ascii="微软雅黑" w:hAnsi="微软雅黑" w:eastAsia="微软雅黑"/>
          <w:b/>
          <w:spacing w:val="66"/>
          <w:sz w:val="32"/>
          <w:szCs w:val="32"/>
        </w:rPr>
        <w:t>学   号</w:t>
      </w:r>
      <w:r>
        <w:rPr>
          <w:rFonts w:hint="eastAsia" w:ascii="微软雅黑" w:hAnsi="微软雅黑" w:eastAsia="微软雅黑"/>
          <w:b/>
          <w:spacing w:val="66"/>
          <w:sz w:val="32"/>
          <w:szCs w:val="32"/>
          <w:u w:val="single"/>
        </w:rPr>
        <w:t xml:space="preserve">  </w:t>
      </w:r>
      <w:r>
        <w:rPr>
          <w:rFonts w:ascii="微软雅黑" w:hAnsi="微软雅黑" w:eastAsia="微软雅黑"/>
          <w:b/>
          <w:spacing w:val="66"/>
          <w:sz w:val="32"/>
          <w:szCs w:val="32"/>
          <w:u w:val="single"/>
        </w:rPr>
        <w:t>532024150155</w:t>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ab/>
      </w:r>
    </w:p>
    <w:p w14:paraId="62A4286C">
      <w:pPr>
        <w:spacing w:line="276" w:lineRule="auto"/>
        <w:ind w:firstLine="905" w:firstLineChars="200"/>
        <w:rPr>
          <w:rFonts w:hint="eastAsia" w:ascii="微软雅黑" w:hAnsi="微软雅黑" w:eastAsia="微软雅黑"/>
          <w:spacing w:val="66"/>
          <w:sz w:val="32"/>
          <w:szCs w:val="32"/>
          <w:u w:val="single"/>
          <w:lang w:val="en-US" w:eastAsia="zh-CN"/>
        </w:rPr>
      </w:pPr>
      <w:r>
        <w:rPr>
          <w:rFonts w:hint="eastAsia" w:ascii="微软雅黑" w:hAnsi="微软雅黑" w:eastAsia="微软雅黑"/>
          <w:b/>
          <w:spacing w:val="66"/>
          <w:sz w:val="32"/>
          <w:szCs w:val="32"/>
        </w:rPr>
        <w:t>作者姓名</w:t>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 xml:space="preserve">   </w:t>
      </w:r>
      <w:r>
        <w:rPr>
          <w:rFonts w:hint="eastAsia" w:ascii="微软雅黑" w:hAnsi="微软雅黑" w:eastAsia="微软雅黑"/>
          <w:b/>
          <w:spacing w:val="66"/>
          <w:sz w:val="32"/>
          <w:szCs w:val="32"/>
          <w:u w:val="single"/>
        </w:rPr>
        <w:t xml:space="preserve">于琮源     </w:t>
      </w:r>
      <w:r>
        <w:rPr>
          <w:rFonts w:hint="eastAsia" w:ascii="微软雅黑" w:hAnsi="微软雅黑" w:eastAsia="微软雅黑"/>
          <w:b/>
          <w:spacing w:val="66"/>
          <w:sz w:val="32"/>
          <w:szCs w:val="32"/>
          <w:u w:val="single"/>
          <w:lang w:val="en-US" w:eastAsia="zh-CN"/>
        </w:rPr>
        <w:tab/>
      </w:r>
    </w:p>
    <w:p w14:paraId="089AF0E1">
      <w:pPr>
        <w:tabs>
          <w:tab w:val="left" w:pos="1320"/>
        </w:tabs>
        <w:spacing w:line="276" w:lineRule="auto"/>
        <w:ind w:firstLine="905" w:firstLineChars="200"/>
        <w:rPr>
          <w:rFonts w:hint="eastAsia" w:ascii="微软雅黑" w:hAnsi="微软雅黑" w:eastAsia="微软雅黑"/>
          <w:b/>
          <w:spacing w:val="66"/>
          <w:sz w:val="32"/>
          <w:szCs w:val="32"/>
          <w:u w:val="single"/>
          <w:lang w:val="en-US" w:eastAsia="zh-CN"/>
        </w:rPr>
      </w:pPr>
      <w:r>
        <w:rPr>
          <w:rFonts w:hint="eastAsia" w:ascii="微软雅黑" w:hAnsi="微软雅黑" w:eastAsia="微软雅黑"/>
          <w:b/>
          <w:spacing w:val="66"/>
          <w:sz w:val="32"/>
          <w:szCs w:val="32"/>
        </w:rPr>
        <w:t>专业名称</w:t>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 xml:space="preserve">  </w:t>
      </w:r>
      <w:r>
        <w:rPr>
          <w:rFonts w:hint="eastAsia" w:ascii="微软雅黑" w:hAnsi="微软雅黑" w:eastAsia="微软雅黑"/>
          <w:b/>
          <w:spacing w:val="66"/>
          <w:sz w:val="32"/>
          <w:szCs w:val="32"/>
          <w:u w:val="single"/>
        </w:rPr>
        <w:t xml:space="preserve">工程管理    </w:t>
      </w:r>
      <w:r>
        <w:rPr>
          <w:rFonts w:hint="eastAsia" w:ascii="微软雅黑" w:hAnsi="微软雅黑" w:eastAsia="微软雅黑"/>
          <w:b/>
          <w:spacing w:val="66"/>
          <w:sz w:val="32"/>
          <w:szCs w:val="32"/>
          <w:u w:val="single"/>
          <w:lang w:val="en-US" w:eastAsia="zh-CN"/>
        </w:rPr>
        <w:tab/>
      </w:r>
    </w:p>
    <w:p w14:paraId="6DF14365">
      <w:pPr>
        <w:tabs>
          <w:tab w:val="left" w:pos="1320"/>
        </w:tabs>
        <w:spacing w:line="276" w:lineRule="auto"/>
        <w:ind w:firstLine="905" w:firstLineChars="200"/>
        <w:rPr>
          <w:rFonts w:hint="eastAsia" w:ascii="微软雅黑" w:hAnsi="微软雅黑" w:eastAsia="微软雅黑"/>
          <w:spacing w:val="66"/>
          <w:sz w:val="32"/>
          <w:szCs w:val="32"/>
          <w:u w:val="single"/>
          <w:lang w:val="en-US" w:eastAsia="zh-CN"/>
        </w:rPr>
      </w:pPr>
      <w:r>
        <w:rPr>
          <w:rFonts w:hint="eastAsia" w:ascii="微软雅黑" w:hAnsi="微软雅黑" w:eastAsia="微软雅黑"/>
          <w:b/>
          <w:spacing w:val="66"/>
          <w:sz w:val="32"/>
          <w:szCs w:val="32"/>
        </w:rPr>
        <w:t>研究方向</w:t>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 xml:space="preserve">  </w:t>
      </w:r>
      <w:r>
        <w:rPr>
          <w:rFonts w:hint="eastAsia" w:ascii="微软雅黑" w:hAnsi="微软雅黑" w:eastAsia="微软雅黑"/>
          <w:b/>
          <w:spacing w:val="66"/>
          <w:sz w:val="32"/>
          <w:szCs w:val="32"/>
          <w:u w:val="single"/>
        </w:rPr>
        <w:t>项目管理</w:t>
      </w:r>
      <w:r>
        <w:rPr>
          <w:rFonts w:ascii="微软雅黑" w:hAnsi="微软雅黑" w:eastAsia="微软雅黑"/>
          <w:b/>
          <w:spacing w:val="66"/>
          <w:sz w:val="32"/>
          <w:szCs w:val="32"/>
          <w:u w:val="single"/>
        </w:rPr>
        <w:tab/>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ab/>
      </w:r>
    </w:p>
    <w:p w14:paraId="048B658F">
      <w:pPr>
        <w:tabs>
          <w:tab w:val="left" w:pos="1320"/>
        </w:tabs>
        <w:spacing w:line="276" w:lineRule="auto"/>
        <w:ind w:firstLine="905" w:firstLineChars="200"/>
        <w:rPr>
          <w:rFonts w:hint="eastAsia" w:ascii="微软雅黑" w:hAnsi="微软雅黑" w:eastAsia="微软雅黑"/>
          <w:b/>
          <w:spacing w:val="66"/>
          <w:sz w:val="32"/>
          <w:szCs w:val="32"/>
          <w:u w:val="single"/>
          <w:lang w:val="en-US" w:eastAsia="zh-CN"/>
        </w:rPr>
      </w:pPr>
      <w:r>
        <w:rPr>
          <w:rFonts w:hint="eastAsia" w:ascii="微软雅黑" w:hAnsi="微软雅黑" w:eastAsia="微软雅黑"/>
          <w:b/>
          <w:spacing w:val="66"/>
          <w:sz w:val="32"/>
          <w:szCs w:val="32"/>
        </w:rPr>
        <w:t>指导教师</w:t>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 xml:space="preserve">   </w:t>
      </w:r>
      <w:r>
        <w:rPr>
          <w:rFonts w:hint="eastAsia" w:ascii="微软雅黑" w:hAnsi="微软雅黑" w:eastAsia="微软雅黑"/>
          <w:b/>
          <w:spacing w:val="66"/>
          <w:sz w:val="32"/>
          <w:szCs w:val="32"/>
          <w:u w:val="single"/>
        </w:rPr>
        <w:t>赵</w:t>
      </w:r>
      <w:r>
        <w:rPr>
          <w:rFonts w:hint="eastAsia" w:ascii="微软雅黑" w:hAnsi="微软雅黑" w:eastAsia="微软雅黑"/>
          <w:b/>
          <w:spacing w:val="66"/>
          <w:sz w:val="32"/>
          <w:szCs w:val="32"/>
          <w:u w:val="single"/>
          <w:lang w:val="en-US" w:eastAsia="zh-CN"/>
        </w:rPr>
        <w:t>佳</w:t>
      </w:r>
      <w:r>
        <w:rPr>
          <w:rFonts w:hint="eastAsia" w:ascii="微软雅黑" w:hAnsi="微软雅黑" w:eastAsia="微软雅黑"/>
          <w:b/>
          <w:spacing w:val="66"/>
          <w:sz w:val="32"/>
          <w:szCs w:val="32"/>
          <w:u w:val="single"/>
        </w:rPr>
        <w:t>宝</w:t>
      </w:r>
      <w:r>
        <w:rPr>
          <w:rFonts w:ascii="微软雅黑" w:hAnsi="微软雅黑" w:eastAsia="微软雅黑"/>
          <w:b/>
          <w:spacing w:val="66"/>
          <w:sz w:val="32"/>
          <w:szCs w:val="32"/>
          <w:u w:val="single"/>
        </w:rPr>
        <w:tab/>
      </w:r>
      <w:r>
        <w:rPr>
          <w:rFonts w:hint="eastAsia" w:ascii="微软雅黑" w:hAnsi="微软雅黑" w:eastAsia="微软雅黑"/>
          <w:b/>
          <w:spacing w:val="66"/>
          <w:sz w:val="32"/>
          <w:szCs w:val="32"/>
          <w:u w:val="single"/>
        </w:rPr>
        <w:t xml:space="preserve">   </w:t>
      </w:r>
      <w:r>
        <w:rPr>
          <w:rFonts w:hint="eastAsia" w:ascii="微软雅黑" w:hAnsi="微软雅黑" w:eastAsia="微软雅黑"/>
          <w:b/>
          <w:spacing w:val="66"/>
          <w:sz w:val="32"/>
          <w:szCs w:val="32"/>
          <w:u w:val="single"/>
          <w:lang w:val="en-US" w:eastAsia="zh-CN"/>
        </w:rPr>
        <w:tab/>
      </w:r>
    </w:p>
    <w:p w14:paraId="12D1AACD">
      <w:pPr>
        <w:tabs>
          <w:tab w:val="left" w:pos="1320"/>
        </w:tabs>
        <w:spacing w:line="276" w:lineRule="auto"/>
        <w:ind w:firstLine="1796" w:firstLineChars="397"/>
        <w:rPr>
          <w:rFonts w:ascii="微软雅黑" w:hAnsi="微软雅黑" w:eastAsia="微软雅黑"/>
          <w:b/>
          <w:spacing w:val="66"/>
          <w:sz w:val="32"/>
          <w:szCs w:val="32"/>
          <w:u w:val="single"/>
        </w:rPr>
      </w:pPr>
    </w:p>
    <w:p w14:paraId="01A051E3">
      <w:pPr>
        <w:tabs>
          <w:tab w:val="left" w:pos="1320"/>
        </w:tabs>
        <w:spacing w:line="276" w:lineRule="auto"/>
        <w:ind w:firstLine="1796" w:firstLineChars="397"/>
        <w:rPr>
          <w:rFonts w:ascii="微软雅黑" w:hAnsi="微软雅黑" w:eastAsia="微软雅黑"/>
          <w:b/>
          <w:spacing w:val="66"/>
          <w:sz w:val="32"/>
          <w:szCs w:val="32"/>
          <w:u w:val="single"/>
        </w:rPr>
      </w:pPr>
    </w:p>
    <w:p w14:paraId="74EF5E72">
      <w:pPr>
        <w:tabs>
          <w:tab w:val="left" w:pos="1320"/>
        </w:tabs>
        <w:spacing w:line="276" w:lineRule="auto"/>
        <w:rPr>
          <w:rFonts w:ascii="微软雅黑" w:hAnsi="微软雅黑" w:eastAsia="微软雅黑"/>
          <w:b/>
          <w:spacing w:val="66"/>
          <w:sz w:val="32"/>
          <w:szCs w:val="32"/>
          <w:u w:val="single"/>
        </w:rPr>
      </w:pPr>
    </w:p>
    <w:p w14:paraId="3ED4B017">
      <w:pPr>
        <w:tabs>
          <w:tab w:val="left" w:pos="1320"/>
        </w:tabs>
        <w:spacing w:line="276" w:lineRule="auto"/>
        <w:rPr>
          <w:rFonts w:hint="eastAsia" w:ascii="微软雅黑" w:hAnsi="微软雅黑" w:eastAsia="微软雅黑"/>
          <w:b/>
          <w:spacing w:val="66"/>
          <w:sz w:val="32"/>
          <w:szCs w:val="32"/>
          <w:u w:val="single"/>
        </w:rPr>
      </w:pPr>
    </w:p>
    <w:p w14:paraId="4CD8E0E9">
      <w:pPr>
        <w:tabs>
          <w:tab w:val="left" w:pos="1320"/>
        </w:tabs>
        <w:spacing w:line="276" w:lineRule="auto"/>
        <w:ind w:firstLine="1796" w:firstLineChars="397"/>
        <w:rPr>
          <w:rFonts w:ascii="微软雅黑" w:hAnsi="微软雅黑" w:eastAsia="微软雅黑"/>
          <w:b/>
          <w:spacing w:val="66"/>
          <w:sz w:val="32"/>
          <w:szCs w:val="32"/>
          <w:u w:val="single"/>
        </w:rPr>
      </w:pPr>
    </w:p>
    <w:p w14:paraId="1B881A36">
      <w:pPr>
        <w:spacing w:line="276" w:lineRule="auto"/>
        <w:jc w:val="center"/>
        <w:rPr>
          <w:rFonts w:ascii="微软雅黑" w:hAnsi="微软雅黑" w:eastAsia="微软雅黑"/>
          <w:b/>
          <w:sz w:val="32"/>
          <w:szCs w:val="32"/>
        </w:rPr>
      </w:pPr>
      <w:r>
        <w:rPr>
          <w:rFonts w:hint="eastAsia" w:ascii="微软雅黑" w:hAnsi="微软雅黑" w:eastAsia="微软雅黑"/>
          <w:b/>
          <w:sz w:val="32"/>
          <w:szCs w:val="32"/>
        </w:rPr>
        <w:t>二零</w:t>
      </w:r>
      <w:r>
        <w:rPr>
          <w:rFonts w:hint="eastAsia" w:ascii="微软雅黑" w:hAnsi="微软雅黑" w:eastAsia="微软雅黑"/>
          <w:b/>
          <w:sz w:val="32"/>
          <w:szCs w:val="32"/>
          <w:lang w:val="en-US" w:eastAsia="zh-CN"/>
        </w:rPr>
        <w:t>二六</w:t>
      </w:r>
      <w:r>
        <w:rPr>
          <w:rFonts w:hint="eastAsia" w:ascii="微软雅黑" w:hAnsi="微软雅黑" w:eastAsia="微软雅黑"/>
          <w:b/>
          <w:sz w:val="32"/>
          <w:szCs w:val="32"/>
        </w:rPr>
        <w:t xml:space="preserve"> 年 </w:t>
      </w:r>
      <w:r>
        <w:rPr>
          <w:rFonts w:hint="eastAsia" w:ascii="微软雅黑" w:hAnsi="微软雅黑" w:eastAsia="微软雅黑"/>
          <w:b/>
          <w:sz w:val="32"/>
          <w:szCs w:val="32"/>
          <w:lang w:val="en-US" w:eastAsia="zh-CN"/>
        </w:rPr>
        <w:t>6</w:t>
      </w:r>
      <w:r>
        <w:rPr>
          <w:rFonts w:hint="eastAsia" w:ascii="微软雅黑" w:hAnsi="微软雅黑" w:eastAsia="微软雅黑"/>
          <w:b/>
          <w:sz w:val="32"/>
          <w:szCs w:val="32"/>
        </w:rPr>
        <w:t xml:space="preserve"> 月 </w:t>
      </w:r>
      <w:r>
        <w:rPr>
          <w:rFonts w:hint="eastAsia" w:ascii="微软雅黑" w:hAnsi="微软雅黑" w:eastAsia="微软雅黑"/>
          <w:b/>
          <w:sz w:val="32"/>
          <w:szCs w:val="32"/>
          <w:lang w:val="en-US" w:eastAsia="zh-CN"/>
        </w:rPr>
        <w:t>15</w:t>
      </w:r>
      <w:r>
        <w:rPr>
          <w:rFonts w:hint="eastAsia" w:ascii="微软雅黑" w:hAnsi="微软雅黑" w:eastAsia="微软雅黑"/>
          <w:b/>
          <w:sz w:val="32"/>
          <w:szCs w:val="32"/>
        </w:rPr>
        <w:t xml:space="preserve"> 日</w:t>
      </w:r>
    </w:p>
    <w:p w14:paraId="121600F9">
      <w:pPr>
        <w:jc w:val="both"/>
        <w:rPr>
          <w:rFonts w:ascii="宋体" w:hAnsi="宋体" w:eastAsia="宋体" w:cs="AdobeSongStd-Light"/>
          <w:b/>
          <w:kern w:val="0"/>
          <w:sz w:val="28"/>
          <w:szCs w:val="28"/>
        </w:rPr>
      </w:pPr>
    </w:p>
    <w:p w14:paraId="1FF8BEED">
      <w:pPr>
        <w:pStyle w:val="2"/>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一、绪论及文献综述</w:t>
      </w:r>
    </w:p>
    <w:p w14:paraId="3E0A5ECA">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1.1 研究对象和拟解决的工程管理问题</w:t>
      </w:r>
    </w:p>
    <w:p w14:paraId="6FC86033">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本文以C公司在南京、深圳、徐州三地建设和运营的社区电动自行车充电桩项目为研究对象。研究聚焦企业由经验驱动向标准化、数据化选址决策转型过程中面临的工程管理问题，主要包括以下四个方面：</w:t>
      </w:r>
    </w:p>
    <w:p w14:paraId="30259E4A">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（1）选址决策缺乏统一评价体系。现有项目开发较多依赖业务人员经验，候选社区之间难以进行规范、可重复的横向比较。</w:t>
      </w:r>
    </w:p>
    <w:p w14:paraId="4663E5D2">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（2）不同城市和社区的安装成本差异显著。人工费用、电力接入、场地改造和物业协调等条件会造成成本波动，但企业尚未形成统一的成本拆解与估算方法。</w:t>
      </w:r>
    </w:p>
    <w:p w14:paraId="61D25A66">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（3）维护成本预测能力不足。历史维保数据存在颗粒度不足和记录缺失问题，难以支持长期预算和投资回收分析。</w:t>
      </w:r>
    </w:p>
    <w:p w14:paraId="7BB1EE95">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（4）跨城市扩张经验难以复制。南京、深圳、徐州在城市属性、社区结构和物业管理方</w:t>
      </w:r>
      <w:r>
        <w:rPr>
          <w:rFonts w:hint="eastAsia" w:ascii="Times New Roman" w:eastAsia="宋体"/>
          <w:sz w:val="24"/>
          <w:lang w:eastAsia="zh-CN"/>
        </w:rPr>
        <w:t>式等</w:t>
      </w:r>
      <w:r>
        <w:rPr>
          <w:rFonts w:ascii="Times New Roman" w:eastAsia="宋体"/>
          <w:sz w:val="24"/>
        </w:rPr>
        <w:t>方面存在差异，企业需要形成可迁移的选址标准和决策模型。</w:t>
      </w:r>
    </w:p>
    <w:p w14:paraId="313A70CC">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1.2 研究目的和意义</w:t>
      </w:r>
    </w:p>
    <w:p w14:paraId="227B49F3">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旨在构建“选址影响因素识别—成本结构分析—综合评价与决策”的研究框架。研究将识别社区电动自行车充电桩选址的关键因素，结合C公司三地项目数据分析安装与维护成本，并采用AHP法、熵权法和TOPSIS法构建综合选址评价模型。模型构建过程中将完整呈现AHP判断矩阵与一致性检验、熵权法原始矩阵与计算过程，以及TOPSIS标准化、距离和贴近度计算，以提高候选站点排序和跨城市扩张决策的可验证性。</w:t>
      </w:r>
    </w:p>
    <w:p w14:paraId="1EF5CA1E">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理论层面，本文将社区电动自行车充电桩作为区别于新能源汽车充电站的细分研究场景，把需求密度、物业协同、消防安全和成本结构纳入统一框架，有助于补充社区微观场景下的公共设施选址研究。</w:t>
      </w:r>
    </w:p>
    <w:p w14:paraId="6A10BFB9">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实践层面，研究成果可帮助C公司统一选址标准、提高项目测算质量、降低决策偏差，并将既有项目经验转化为可复制的扩张方法。同时，科学布局社区充电设施有助于改善居民充电便利性和消防安全水平。</w:t>
      </w:r>
    </w:p>
    <w:p w14:paraId="6DA36437">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1.3 相关研究现状评述</w:t>
      </w:r>
    </w:p>
    <w:p w14:paraId="1CDFFF4D">
      <w:pPr>
        <w:snapToGrid/>
        <w:spacing w:beforeAutospacing="0" w:afterAutospacing="0" w:line="360" w:lineRule="auto"/>
        <w:ind w:left="0" w:leftChars="0" w:right="0" w:rightChars="0" w:firstLine="420" w:firstLineChars="200"/>
        <w:jc w:val="both"/>
        <w:rPr>
          <w:rFonts w:ascii="Times New Roman" w:eastAsia="宋体"/>
          <w:sz w:val="24"/>
        </w:rPr>
      </w:pPr>
      <w:r>
        <w:t>国内充电设施选址研究已从经验判断逐步发展为综合优化。文献[1]系统总结了充电站选址的智能决策模型与优化方法；文献[2]从时空需求角度构建选址优化模型；文献[3]利用Huff模型刻画用户选择行为；文献[4]关注不同主体利益均衡；文献[5]将路网耦合与V2G潜力纳入规划；文献[6]考虑用户动态充电需求；文献[7]将低碳交通目标引入配置决策；文献[8]讨论不同容量充电桩的选址定容；文献[9]研究寒区电动公交充电场景；文献[10]分析动态混合交通流条件下的充电站规划。</w:t>
      </w:r>
    </w:p>
    <w:p w14:paraId="2F51DAF5">
      <w:pPr>
        <w:snapToGrid/>
        <w:spacing w:beforeAutospacing="0" w:afterAutospacing="0" w:line="360" w:lineRule="auto"/>
        <w:ind w:left="0" w:leftChars="0" w:right="0" w:rightChars="0" w:firstLine="420" w:firstLineChars="200"/>
        <w:jc w:val="both"/>
        <w:rPr>
          <w:rFonts w:ascii="Times New Roman" w:eastAsia="宋体"/>
          <w:sz w:val="24"/>
        </w:rPr>
      </w:pPr>
      <w:r>
        <w:t>在规划约束与评价方法方面，文献[11]采用Voronoi图和改进算法进行选址定容，文献[12]关注碳减排条件下的协调规划，文献[13]综合考虑排队时间和充电成本，文献[14]研究充电站有效容量评估，文献[15]分析充电站对配电网运行的影响。文献[16]使用模糊层次分析法评估安全风险，文献[17]采用PSO算法优化充放电策略，文献[18]构建需求响应模型，文献[19]利用多源数据支持分阶段选址，文献[20]研究不确定条件下的光储充场景规划。</w:t>
      </w:r>
    </w:p>
    <w:p w14:paraId="6383BF20">
      <w:pPr>
        <w:snapToGrid/>
        <w:spacing w:beforeAutospacing="0" w:afterAutospacing="0" w:line="360" w:lineRule="auto"/>
        <w:ind w:left="0" w:leftChars="0" w:right="0" w:rightChars="0" w:firstLine="420" w:firstLineChars="200"/>
        <w:jc w:val="both"/>
        <w:rPr>
          <w:rFonts w:ascii="Times New Roman" w:eastAsia="宋体"/>
          <w:sz w:val="24"/>
        </w:rPr>
      </w:pPr>
      <w:r>
        <w:t>国外研究进一步拓展了充电设施布局方法。文献[21]采用博弈模型分析选址问题，文献[22]结合GIS与多准则决策开展案例研究，文献[23]综述选址对配电网的影响，文献[24]系统总结选址模型与求解方法，文献[25]关注交通网络与配电网络协同，文献[26]将成本模型与遗传算法结合，文献[27]考虑动态充电需求，文献[28]结合混合需求与需求预测，文献[29]使用道路分段数据优化站点配置，文献[30]研究不确定条件下的多目标优化。总体而言，现有研究主要面向新能源汽车公共充电站，对社区电动自行车充电桩的物业协同、消防安全、社区改造条件以及安装和维护成本联动关注不足，这构成了本文进一步研究的切入点。</w:t>
      </w:r>
    </w:p>
    <w:p w14:paraId="0CBE1FDB">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1.4 主要研究内容及研究方法</w:t>
      </w:r>
    </w:p>
    <w:p w14:paraId="156E76BD">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本文主要研究内容及对应方法如下：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55"/>
        <w:gridCol w:w="2841"/>
      </w:tblGrid>
      <w:tr w14:paraId="48337877">
        <w:trPr>
          <w:jc w:val="center"/>
        </w:trPr>
        <w:tc>
          <w:tcPr>
            <w:tcW w:w="3009" w:type="dxa"/>
            <w:shd w:val="clear" w:color="auto" w:fill="D9EAF7"/>
            <w:noWrap w:val="0"/>
            <w:vAlign w:val="center"/>
          </w:tcPr>
          <w:p w14:paraId="24CBE07A">
            <w:pPr>
              <w:jc w:val="center"/>
            </w:pPr>
            <w:r>
              <w:rPr>
                <w:rFonts w:ascii="Times New Roman" w:hAnsi="Times New Roman" w:eastAsia="宋体"/>
                <w:b/>
                <w:sz w:val="21"/>
              </w:rPr>
              <w:t>研究内容</w:t>
            </w:r>
          </w:p>
        </w:tc>
        <w:tc>
          <w:tcPr>
            <w:tcW w:w="3009" w:type="dxa"/>
            <w:shd w:val="clear" w:color="auto" w:fill="D9EAF7"/>
            <w:noWrap w:val="0"/>
            <w:vAlign w:val="center"/>
          </w:tcPr>
          <w:p w14:paraId="1D215A7F">
            <w:pPr>
              <w:jc w:val="center"/>
            </w:pPr>
            <w:r>
              <w:rPr>
                <w:rFonts w:ascii="Times New Roman" w:hAnsi="Times New Roman" w:eastAsia="宋体"/>
                <w:b/>
                <w:sz w:val="21"/>
              </w:rPr>
              <w:t>拟采用方法</w:t>
            </w:r>
          </w:p>
        </w:tc>
        <w:tc>
          <w:tcPr>
            <w:tcW w:w="3009" w:type="dxa"/>
            <w:shd w:val="clear" w:color="auto" w:fill="D9EAF7"/>
            <w:noWrap w:val="0"/>
            <w:vAlign w:val="center"/>
          </w:tcPr>
          <w:p w14:paraId="2064B9DB">
            <w:pPr>
              <w:jc w:val="center"/>
            </w:pPr>
            <w:r>
              <w:rPr>
                <w:rFonts w:ascii="Times New Roman" w:hAnsi="Times New Roman" w:eastAsia="宋体"/>
                <w:b/>
                <w:sz w:val="21"/>
              </w:rPr>
              <w:t>阶段状态</w:t>
            </w:r>
          </w:p>
        </w:tc>
      </w:tr>
      <w:tr w14:paraId="1A3B6D40">
        <w:trPr>
          <w:jc w:val="center"/>
        </w:trPr>
        <w:tc>
          <w:tcPr>
            <w:tcW w:w="3009" w:type="dxa"/>
            <w:noWrap w:val="0"/>
            <w:vAlign w:val="center"/>
          </w:tcPr>
          <w:p w14:paraId="7405E458">
            <w:pPr>
              <w:jc w:val="center"/>
            </w:pPr>
            <w:r>
              <w:rPr>
                <w:rFonts w:ascii="Times New Roman" w:hAnsi="Times New Roman" w:eastAsia="宋体"/>
                <w:b w:val="0"/>
                <w:sz w:val="21"/>
              </w:rPr>
              <w:t>理论基础与国内外研究现状梳理</w:t>
            </w:r>
          </w:p>
        </w:tc>
        <w:tc>
          <w:tcPr>
            <w:tcW w:w="3009" w:type="dxa"/>
            <w:noWrap w:val="0"/>
            <w:vAlign w:val="center"/>
          </w:tcPr>
          <w:p w14:paraId="0471F023">
            <w:pPr>
              <w:jc w:val="center"/>
            </w:pPr>
            <w:r>
              <w:rPr>
                <w:rFonts w:ascii="Times New Roman" w:hAnsi="Times New Roman" w:eastAsia="宋体"/>
                <w:b w:val="0"/>
                <w:sz w:val="21"/>
              </w:rPr>
              <w:t>文献研究法、归纳分析法</w:t>
            </w:r>
          </w:p>
        </w:tc>
        <w:tc>
          <w:tcPr>
            <w:tcW w:w="3009" w:type="dxa"/>
            <w:noWrap w:val="0"/>
            <w:vAlign w:val="center"/>
          </w:tcPr>
          <w:p w14:paraId="7860F73A">
            <w:pPr>
              <w:jc w:val="center"/>
            </w:pPr>
            <w:r>
              <w:rPr>
                <w:rFonts w:ascii="Times New Roman" w:hAnsi="Times New Roman" w:eastAsia="宋体"/>
                <w:b w:val="0"/>
                <w:sz w:val="21"/>
              </w:rPr>
              <w:t>已完成</w:t>
            </w:r>
          </w:p>
        </w:tc>
      </w:tr>
      <w:tr w14:paraId="4CCE94B4">
        <w:trPr>
          <w:jc w:val="center"/>
        </w:trPr>
        <w:tc>
          <w:tcPr>
            <w:tcW w:w="3009" w:type="dxa"/>
            <w:noWrap w:val="0"/>
            <w:vAlign w:val="center"/>
          </w:tcPr>
          <w:p w14:paraId="3288ACFC">
            <w:pPr>
              <w:jc w:val="center"/>
            </w:pPr>
            <w:r>
              <w:rPr>
                <w:rFonts w:ascii="Times New Roman" w:hAnsi="Times New Roman" w:eastAsia="宋体"/>
                <w:b w:val="0"/>
                <w:sz w:val="21"/>
              </w:rPr>
              <w:t>C公司三地运营现状与现有选址流程分析</w:t>
            </w:r>
          </w:p>
        </w:tc>
        <w:tc>
          <w:tcPr>
            <w:tcW w:w="3009" w:type="dxa"/>
            <w:noWrap w:val="0"/>
            <w:vAlign w:val="center"/>
          </w:tcPr>
          <w:p w14:paraId="367008CD">
            <w:pPr>
              <w:jc w:val="center"/>
            </w:pPr>
            <w:r>
              <w:rPr>
                <w:rFonts w:ascii="Times New Roman" w:hAnsi="Times New Roman" w:eastAsia="宋体"/>
                <w:b w:val="0"/>
                <w:sz w:val="21"/>
              </w:rPr>
              <w:t>案例研究法、访谈法、描述性统计</w:t>
            </w:r>
          </w:p>
        </w:tc>
        <w:tc>
          <w:tcPr>
            <w:tcW w:w="3009" w:type="dxa"/>
            <w:noWrap w:val="0"/>
            <w:vAlign w:val="center"/>
          </w:tcPr>
          <w:p w14:paraId="76413C43">
            <w:pPr>
              <w:jc w:val="center"/>
            </w:pPr>
            <w:r>
              <w:rPr>
                <w:rFonts w:ascii="Times New Roman" w:hAnsi="Times New Roman" w:eastAsia="宋体"/>
                <w:b w:val="0"/>
                <w:sz w:val="21"/>
              </w:rPr>
              <w:t>已完成</w:t>
            </w:r>
          </w:p>
        </w:tc>
      </w:tr>
      <w:tr w14:paraId="251C685B">
        <w:trPr>
          <w:jc w:val="center"/>
        </w:trPr>
        <w:tc>
          <w:tcPr>
            <w:tcW w:w="3009" w:type="dxa"/>
            <w:noWrap w:val="0"/>
            <w:vAlign w:val="center"/>
          </w:tcPr>
          <w:p w14:paraId="171F9AAC">
            <w:pPr>
              <w:jc w:val="center"/>
            </w:pPr>
            <w:r>
              <w:rPr>
                <w:rFonts w:ascii="Times New Roman" w:hAnsi="Times New Roman" w:eastAsia="宋体"/>
                <w:b w:val="0"/>
                <w:sz w:val="21"/>
              </w:rPr>
              <w:t>社区充电桩选址影响因素识别与权重确定</w:t>
            </w:r>
          </w:p>
        </w:tc>
        <w:tc>
          <w:tcPr>
            <w:tcW w:w="3009" w:type="dxa"/>
            <w:noWrap w:val="0"/>
            <w:vAlign w:val="center"/>
          </w:tcPr>
          <w:p w14:paraId="74164887">
            <w:pPr>
              <w:jc w:val="center"/>
            </w:pPr>
            <w:r>
              <w:t>文献分析、专家访谈、AHP判断矩阵与一致性检验、熵权法</w:t>
            </w:r>
          </w:p>
        </w:tc>
        <w:tc>
          <w:tcPr>
            <w:tcW w:w="3009" w:type="dxa"/>
            <w:noWrap w:val="0"/>
            <w:vAlign w:val="center"/>
          </w:tcPr>
          <w:p w14:paraId="6427F957">
            <w:pPr>
              <w:jc w:val="center"/>
            </w:pPr>
            <w:r>
              <w:t>基本完成（待补计算过程）</w:t>
            </w:r>
          </w:p>
        </w:tc>
      </w:tr>
      <w:tr w14:paraId="5F8ACA66">
        <w:trPr>
          <w:jc w:val="center"/>
        </w:trPr>
        <w:tc>
          <w:tcPr>
            <w:tcW w:w="3009" w:type="dxa"/>
            <w:noWrap w:val="0"/>
            <w:vAlign w:val="center"/>
          </w:tcPr>
          <w:p w14:paraId="643C2306">
            <w:pPr>
              <w:jc w:val="center"/>
            </w:pPr>
            <w:r>
              <w:rPr>
                <w:rFonts w:ascii="Times New Roman" w:hAnsi="Times New Roman" w:eastAsia="宋体"/>
                <w:b w:val="0"/>
                <w:sz w:val="21"/>
              </w:rPr>
              <w:t>安装成本与维护成本结构分析</w:t>
            </w:r>
          </w:p>
        </w:tc>
        <w:tc>
          <w:tcPr>
            <w:tcW w:w="3009" w:type="dxa"/>
            <w:noWrap w:val="0"/>
            <w:vAlign w:val="center"/>
          </w:tcPr>
          <w:p w14:paraId="1F197F37">
            <w:pPr>
              <w:jc w:val="center"/>
            </w:pPr>
            <w:r>
              <w:rPr>
                <w:rFonts w:ascii="Times New Roman" w:hAnsi="Times New Roman" w:eastAsia="宋体"/>
                <w:b w:val="0"/>
                <w:sz w:val="21"/>
              </w:rPr>
              <w:t>成本分类法、对比分析法、回归分析</w:t>
            </w:r>
          </w:p>
        </w:tc>
        <w:tc>
          <w:tcPr>
            <w:tcW w:w="3009" w:type="dxa"/>
            <w:noWrap w:val="0"/>
            <w:vAlign w:val="center"/>
          </w:tcPr>
          <w:p w14:paraId="1AFFBDB7">
            <w:pPr>
              <w:jc w:val="center"/>
            </w:pPr>
            <w:r>
              <w:rPr>
                <w:rFonts w:ascii="Times New Roman" w:hAnsi="Times New Roman" w:eastAsia="宋体"/>
                <w:b w:val="0"/>
                <w:sz w:val="21"/>
              </w:rPr>
              <w:t>基本完成</w:t>
            </w:r>
          </w:p>
        </w:tc>
      </w:tr>
      <w:tr w14:paraId="315239C5">
        <w:trPr>
          <w:jc w:val="center"/>
        </w:trPr>
        <w:tc>
          <w:tcPr>
            <w:tcW w:w="3009" w:type="dxa"/>
            <w:noWrap w:val="0"/>
            <w:vAlign w:val="center"/>
          </w:tcPr>
          <w:p w14:paraId="097A4965">
            <w:pPr>
              <w:jc w:val="center"/>
            </w:pPr>
            <w:r>
              <w:rPr>
                <w:rFonts w:ascii="Times New Roman" w:hAnsi="Times New Roman" w:eastAsia="宋体"/>
                <w:b w:val="0"/>
                <w:sz w:val="21"/>
              </w:rPr>
              <w:t>综合选址评价模型构建与案例验证</w:t>
            </w:r>
          </w:p>
        </w:tc>
        <w:tc>
          <w:tcPr>
            <w:tcW w:w="3009" w:type="dxa"/>
            <w:noWrap w:val="0"/>
            <w:vAlign w:val="center"/>
          </w:tcPr>
          <w:p w14:paraId="28ACBD14">
            <w:pPr>
              <w:jc w:val="center"/>
            </w:pPr>
            <w:r>
              <w:t>组合赋权法、TOPSIS公式计算、完整算例与敏感性分析</w:t>
            </w:r>
          </w:p>
        </w:tc>
        <w:tc>
          <w:tcPr>
            <w:tcW w:w="3009" w:type="dxa"/>
            <w:noWrap w:val="0"/>
            <w:vAlign w:val="center"/>
          </w:tcPr>
          <w:p w14:paraId="7E168A33">
            <w:pPr>
              <w:jc w:val="center"/>
            </w:pPr>
            <w:r>
              <w:rPr>
                <w:rFonts w:ascii="Times New Roman" w:hAnsi="Times New Roman" w:eastAsia="宋体"/>
                <w:b w:val="0"/>
                <w:sz w:val="21"/>
              </w:rPr>
              <w:t>进行中</w:t>
            </w:r>
          </w:p>
        </w:tc>
      </w:tr>
      <w:tr w14:paraId="612883B6">
        <w:trPr>
          <w:jc w:val="center"/>
        </w:trPr>
        <w:tc>
          <w:tcPr>
            <w:tcW w:w="3009" w:type="dxa"/>
            <w:noWrap w:val="0"/>
            <w:vAlign w:val="center"/>
          </w:tcPr>
          <w:p w14:paraId="0981E9A3">
            <w:pPr>
              <w:jc w:val="center"/>
            </w:pPr>
            <w:r>
              <w:rPr>
                <w:rFonts w:ascii="Times New Roman" w:hAnsi="Times New Roman" w:eastAsia="宋体"/>
                <w:b w:val="0"/>
                <w:sz w:val="21"/>
              </w:rPr>
              <w:t>布局优化与运营管理建议</w:t>
            </w:r>
          </w:p>
        </w:tc>
        <w:tc>
          <w:tcPr>
            <w:tcW w:w="3009" w:type="dxa"/>
            <w:noWrap w:val="0"/>
            <w:vAlign w:val="center"/>
          </w:tcPr>
          <w:p w14:paraId="03A77A70">
            <w:pPr>
              <w:jc w:val="center"/>
            </w:pPr>
            <w:r>
              <w:rPr>
                <w:rFonts w:ascii="Times New Roman" w:hAnsi="Times New Roman" w:eastAsia="宋体"/>
                <w:b w:val="0"/>
                <w:sz w:val="21"/>
              </w:rPr>
              <w:t>案例归纳、对策分析</w:t>
            </w:r>
          </w:p>
        </w:tc>
        <w:tc>
          <w:tcPr>
            <w:tcW w:w="3009" w:type="dxa"/>
            <w:noWrap w:val="0"/>
            <w:vAlign w:val="center"/>
          </w:tcPr>
          <w:p w14:paraId="38865DA4">
            <w:pPr>
              <w:jc w:val="center"/>
            </w:pPr>
            <w:r>
              <w:rPr>
                <w:rFonts w:ascii="Times New Roman" w:hAnsi="Times New Roman" w:eastAsia="宋体"/>
                <w:b w:val="0"/>
                <w:sz w:val="21"/>
              </w:rPr>
              <w:t>待完成</w:t>
            </w:r>
          </w:p>
        </w:tc>
      </w:tr>
    </w:tbl>
    <w:p w14:paraId="5121CC26">
      <w:pPr>
        <w:snapToGrid/>
        <w:spacing w:beforeAutospacing="0" w:afterAutospacing="0" w:line="360" w:lineRule="auto"/>
        <w:ind w:left="0" w:leftChars="0" w:right="0" w:rightChars="0" w:firstLine="420" w:firstLineChars="200"/>
        <w:jc w:val="center"/>
        <w:rPr>
          <w:rFonts w:ascii="Times New Roman" w:eastAsia="宋体"/>
          <w:sz w:val="24"/>
        </w:rPr>
      </w:pPr>
      <w:r>
        <w:drawing>
          <wp:inline distT="0" distB="0" distL="114300" distR="114300">
            <wp:extent cx="5579745" cy="4277995"/>
            <wp:effectExtent l="0" t="0" r="825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4278000"/>
                    </a:xfrm>
                    <a:prstGeom prst="rect">
                      <a:avLst/>
                    </a:prstGeom>
                  </pic:spPr>
                </pic:pic>
              </a:graphicData>
            </a:graphic>
          </wp:inline>
        </w:drawing>
      </w:r>
    </w:p>
    <w:p w14:paraId="02F0D02F">
      <w:pPr>
        <w:snapToGrid/>
        <w:spacing w:beforeAutospacing="0" w:afterAutospacing="0" w:line="360" w:lineRule="auto"/>
        <w:ind w:left="0" w:leftChars="0" w:right="0" w:rightChars="0" w:firstLine="420" w:firstLineChars="200"/>
        <w:jc w:val="center"/>
        <w:rPr>
          <w:rFonts w:ascii="Times New Roman" w:eastAsia="宋体"/>
          <w:sz w:val="24"/>
        </w:rPr>
      </w:pPr>
      <w:r>
        <w:t>图1 论文研究技术路线</w:t>
      </w:r>
    </w:p>
    <w:p w14:paraId="78014B05">
      <w:pPr>
        <w:snapToGrid/>
        <w:spacing w:beforeAutospacing="0" w:afterAutospacing="0" w:line="360" w:lineRule="auto"/>
        <w:ind w:left="0" w:leftChars="0" w:right="0" w:rightChars="0" w:firstLine="480" w:firstLineChars="200"/>
        <w:jc w:val="both"/>
        <w:rPr>
          <w:rFonts w:ascii="Times New Roman" w:eastAsia="宋体"/>
          <w:sz w:val="24"/>
        </w:rPr>
      </w:pPr>
    </w:p>
    <w:p w14:paraId="2A89D6A5">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论文第1章绪论和第2章理论基础与文献综述已形成完整阶段性正文，详见同步提交的《论文》阶段性文稿。</w:t>
      </w:r>
    </w:p>
    <w:p w14:paraId="66E9D508">
      <w:pPr>
        <w:snapToGrid/>
        <w:spacing w:beforeAutospacing="0" w:afterAutospacing="0" w:line="360" w:lineRule="auto"/>
        <w:ind w:left="0" w:leftChars="0" w:right="0" w:rightChars="0" w:firstLine="420" w:firstLineChars="200"/>
        <w:jc w:val="center"/>
        <w:rPr>
          <w:rFonts w:ascii="Times New Roman" w:eastAsia="宋体"/>
          <w:sz w:val="24"/>
        </w:rPr>
      </w:pPr>
      <w:r>
        <w:drawing>
          <wp:inline distT="0" distB="0" distL="114300" distR="114300">
            <wp:extent cx="5579745" cy="4277995"/>
            <wp:effectExtent l="0" t="0" r="825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4278000"/>
                    </a:xfrm>
                    <a:prstGeom prst="rect">
                      <a:avLst/>
                    </a:prstGeom>
                  </pic:spPr>
                </pic:pic>
              </a:graphicData>
            </a:graphic>
          </wp:inline>
        </w:drawing>
      </w:r>
    </w:p>
    <w:p w14:paraId="22062E9E">
      <w:pPr>
        <w:snapToGrid/>
        <w:spacing w:beforeAutospacing="0" w:afterAutospacing="0" w:line="360" w:lineRule="auto"/>
        <w:ind w:left="0" w:leftChars="0" w:right="0" w:rightChars="0" w:firstLine="420" w:firstLineChars="200"/>
        <w:jc w:val="center"/>
        <w:rPr>
          <w:rFonts w:ascii="Times New Roman" w:eastAsia="宋体"/>
          <w:sz w:val="24"/>
        </w:rPr>
      </w:pPr>
      <w:r>
        <w:t>图2 C公司现有选址操作流程</w:t>
      </w:r>
    </w:p>
    <w:p w14:paraId="34AC386A">
      <w:pPr>
        <w:pStyle w:val="2"/>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二、已完成的论文工作及取得的阶段性成果</w:t>
      </w:r>
    </w:p>
    <w:p w14:paraId="50DF3821">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2.1 总体工作进展</w:t>
      </w:r>
    </w:p>
    <w:p w14:paraId="688D6145">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研究自2025年12月开题以来，按照开题报告确定的研究目标和技术路线推进。截至2026年6月，论文总体完成度约为60%。目前已完成文献综述和理论框架、企业调研与数据整理、选址因素体系构建与组合赋权、安装成本结构分析；综合评价模型已完成方法框架，正在开展数据代入和验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4"/>
        <w:gridCol w:w="2913"/>
        <w:gridCol w:w="2805"/>
      </w:tblGrid>
      <w:tr w14:paraId="4A19AD41">
        <w:trPr>
          <w:jc w:val="center"/>
        </w:trPr>
        <w:tc>
          <w:tcPr>
            <w:tcW w:w="3009" w:type="dxa"/>
            <w:shd w:val="clear" w:color="auto" w:fill="D9EAF7"/>
            <w:noWrap w:val="0"/>
            <w:vAlign w:val="center"/>
          </w:tcPr>
          <w:p w14:paraId="087572C9">
            <w:pPr>
              <w:jc w:val="center"/>
            </w:pPr>
            <w:r>
              <w:rPr>
                <w:rFonts w:ascii="Times New Roman" w:hAnsi="Times New Roman" w:eastAsia="宋体"/>
                <w:b/>
                <w:sz w:val="21"/>
              </w:rPr>
              <w:t>工作阶段</w:t>
            </w:r>
          </w:p>
        </w:tc>
        <w:tc>
          <w:tcPr>
            <w:tcW w:w="3009" w:type="dxa"/>
            <w:shd w:val="clear" w:color="auto" w:fill="D9EAF7"/>
            <w:noWrap w:val="0"/>
            <w:vAlign w:val="center"/>
          </w:tcPr>
          <w:p w14:paraId="25E48BE0">
            <w:pPr>
              <w:jc w:val="center"/>
            </w:pPr>
            <w:r>
              <w:rPr>
                <w:rFonts w:ascii="Times New Roman" w:hAnsi="Times New Roman" w:eastAsia="宋体"/>
                <w:b/>
                <w:sz w:val="21"/>
              </w:rPr>
              <w:t>计划时间</w:t>
            </w:r>
          </w:p>
        </w:tc>
        <w:tc>
          <w:tcPr>
            <w:tcW w:w="3009" w:type="dxa"/>
            <w:shd w:val="clear" w:color="auto" w:fill="D9EAF7"/>
            <w:noWrap w:val="0"/>
            <w:vAlign w:val="center"/>
          </w:tcPr>
          <w:p w14:paraId="09AEF2B7">
            <w:pPr>
              <w:jc w:val="center"/>
            </w:pPr>
            <w:r>
              <w:rPr>
                <w:rFonts w:ascii="Times New Roman" w:hAnsi="Times New Roman" w:eastAsia="宋体"/>
                <w:b/>
                <w:sz w:val="21"/>
              </w:rPr>
              <w:t>完成情况</w:t>
            </w:r>
          </w:p>
        </w:tc>
      </w:tr>
      <w:tr w14:paraId="34FE4183">
        <w:trPr>
          <w:jc w:val="center"/>
        </w:trPr>
        <w:tc>
          <w:tcPr>
            <w:tcW w:w="3009" w:type="dxa"/>
            <w:noWrap w:val="0"/>
            <w:vAlign w:val="center"/>
          </w:tcPr>
          <w:p w14:paraId="4744111D">
            <w:pPr>
              <w:jc w:val="center"/>
            </w:pPr>
            <w:r>
              <w:rPr>
                <w:rFonts w:ascii="Times New Roman" w:hAnsi="Times New Roman" w:eastAsia="宋体"/>
                <w:b w:val="0"/>
                <w:sz w:val="21"/>
              </w:rPr>
              <w:t>文献综述与理论框架确定</w:t>
            </w:r>
          </w:p>
        </w:tc>
        <w:tc>
          <w:tcPr>
            <w:tcW w:w="3009" w:type="dxa"/>
            <w:noWrap w:val="0"/>
            <w:vAlign w:val="center"/>
          </w:tcPr>
          <w:p w14:paraId="15AD16B8">
            <w:pPr>
              <w:jc w:val="center"/>
            </w:pPr>
            <w:r>
              <w:rPr>
                <w:rFonts w:ascii="Times New Roman" w:hAnsi="Times New Roman" w:eastAsia="宋体"/>
                <w:b w:val="0"/>
                <w:sz w:val="21"/>
              </w:rPr>
              <w:t>2025.12—2026.01</w:t>
            </w:r>
          </w:p>
        </w:tc>
        <w:tc>
          <w:tcPr>
            <w:tcW w:w="3009" w:type="dxa"/>
            <w:noWrap w:val="0"/>
            <w:vAlign w:val="center"/>
          </w:tcPr>
          <w:p w14:paraId="0291E542">
            <w:pPr>
              <w:jc w:val="center"/>
            </w:pPr>
            <w:r>
              <w:rPr>
                <w:rFonts w:ascii="Times New Roman" w:hAnsi="Times New Roman" w:eastAsia="宋体"/>
                <w:b w:val="0"/>
                <w:sz w:val="21"/>
              </w:rPr>
              <w:t>已完成</w:t>
            </w:r>
          </w:p>
        </w:tc>
      </w:tr>
      <w:tr w14:paraId="15C922CE">
        <w:trPr>
          <w:jc w:val="center"/>
        </w:trPr>
        <w:tc>
          <w:tcPr>
            <w:tcW w:w="3009" w:type="dxa"/>
            <w:noWrap w:val="0"/>
            <w:vAlign w:val="center"/>
          </w:tcPr>
          <w:p w14:paraId="1DD36A72">
            <w:pPr>
              <w:jc w:val="center"/>
            </w:pPr>
            <w:r>
              <w:rPr>
                <w:rFonts w:ascii="Times New Roman" w:hAnsi="Times New Roman" w:eastAsia="宋体"/>
                <w:b w:val="0"/>
                <w:sz w:val="21"/>
              </w:rPr>
              <w:t>企业调研与数据收集</w:t>
            </w:r>
          </w:p>
        </w:tc>
        <w:tc>
          <w:tcPr>
            <w:tcW w:w="3009" w:type="dxa"/>
            <w:noWrap w:val="0"/>
            <w:vAlign w:val="center"/>
          </w:tcPr>
          <w:p w14:paraId="1468F8C4">
            <w:pPr>
              <w:jc w:val="center"/>
            </w:pPr>
            <w:r>
              <w:rPr>
                <w:rFonts w:ascii="Times New Roman" w:hAnsi="Times New Roman" w:eastAsia="宋体"/>
                <w:b w:val="0"/>
                <w:sz w:val="21"/>
              </w:rPr>
              <w:t>2026.01—2026.03</w:t>
            </w:r>
          </w:p>
        </w:tc>
        <w:tc>
          <w:tcPr>
            <w:tcW w:w="3009" w:type="dxa"/>
            <w:noWrap w:val="0"/>
            <w:vAlign w:val="center"/>
          </w:tcPr>
          <w:p w14:paraId="790244D7">
            <w:pPr>
              <w:jc w:val="center"/>
            </w:pPr>
            <w:r>
              <w:rPr>
                <w:rFonts w:ascii="Times New Roman" w:hAnsi="Times New Roman" w:eastAsia="宋体"/>
                <w:b w:val="0"/>
                <w:sz w:val="21"/>
              </w:rPr>
              <w:t>已完成</w:t>
            </w:r>
          </w:p>
        </w:tc>
      </w:tr>
      <w:tr w14:paraId="56AF57D3">
        <w:trPr>
          <w:jc w:val="center"/>
        </w:trPr>
        <w:tc>
          <w:tcPr>
            <w:tcW w:w="3009" w:type="dxa"/>
            <w:noWrap w:val="0"/>
            <w:vAlign w:val="center"/>
          </w:tcPr>
          <w:p w14:paraId="484206C6">
            <w:pPr>
              <w:jc w:val="center"/>
            </w:pPr>
            <w:r>
              <w:rPr>
                <w:rFonts w:ascii="Times New Roman" w:hAnsi="Times New Roman" w:eastAsia="宋体"/>
                <w:b w:val="0"/>
                <w:sz w:val="21"/>
              </w:rPr>
              <w:t>选址因素体系构建与权重分析</w:t>
            </w:r>
          </w:p>
        </w:tc>
        <w:tc>
          <w:tcPr>
            <w:tcW w:w="3009" w:type="dxa"/>
            <w:noWrap w:val="0"/>
            <w:vAlign w:val="center"/>
          </w:tcPr>
          <w:p w14:paraId="5D1BBA4D">
            <w:pPr>
              <w:jc w:val="center"/>
            </w:pPr>
            <w:r>
              <w:rPr>
                <w:rFonts w:ascii="Times New Roman" w:hAnsi="Times New Roman" w:eastAsia="宋体"/>
                <w:b w:val="0"/>
                <w:sz w:val="21"/>
              </w:rPr>
              <w:t>2026.02—2026.03</w:t>
            </w:r>
          </w:p>
        </w:tc>
        <w:tc>
          <w:tcPr>
            <w:tcW w:w="3009" w:type="dxa"/>
            <w:noWrap w:val="0"/>
            <w:vAlign w:val="center"/>
          </w:tcPr>
          <w:p w14:paraId="21D34810">
            <w:pPr>
              <w:jc w:val="center"/>
            </w:pPr>
            <w:r>
              <w:rPr>
                <w:rFonts w:ascii="Times New Roman" w:hAnsi="Times New Roman" w:eastAsia="宋体"/>
                <w:b w:val="0"/>
                <w:sz w:val="21"/>
              </w:rPr>
              <w:t>已完成</w:t>
            </w:r>
          </w:p>
        </w:tc>
      </w:tr>
      <w:tr w14:paraId="40EB38FF">
        <w:trPr>
          <w:jc w:val="center"/>
        </w:trPr>
        <w:tc>
          <w:tcPr>
            <w:tcW w:w="3009" w:type="dxa"/>
            <w:noWrap w:val="0"/>
            <w:vAlign w:val="center"/>
          </w:tcPr>
          <w:p w14:paraId="3C67220A">
            <w:pPr>
              <w:jc w:val="center"/>
            </w:pPr>
            <w:r>
              <w:rPr>
                <w:rFonts w:ascii="Times New Roman" w:hAnsi="Times New Roman" w:eastAsia="宋体"/>
                <w:b w:val="0"/>
                <w:sz w:val="21"/>
              </w:rPr>
              <w:t>成本结构分析与建模</w:t>
            </w:r>
          </w:p>
        </w:tc>
        <w:tc>
          <w:tcPr>
            <w:tcW w:w="3009" w:type="dxa"/>
            <w:noWrap w:val="0"/>
            <w:vAlign w:val="center"/>
          </w:tcPr>
          <w:p w14:paraId="500915E2">
            <w:pPr>
              <w:jc w:val="center"/>
            </w:pPr>
            <w:r>
              <w:rPr>
                <w:rFonts w:ascii="Times New Roman" w:hAnsi="Times New Roman" w:eastAsia="宋体"/>
                <w:b w:val="0"/>
                <w:sz w:val="21"/>
              </w:rPr>
              <w:t>2026.03—2026.04</w:t>
            </w:r>
          </w:p>
        </w:tc>
        <w:tc>
          <w:tcPr>
            <w:tcW w:w="3009" w:type="dxa"/>
            <w:noWrap w:val="0"/>
            <w:vAlign w:val="center"/>
          </w:tcPr>
          <w:p w14:paraId="3A5421AB">
            <w:pPr>
              <w:jc w:val="center"/>
            </w:pPr>
            <w:r>
              <w:rPr>
                <w:rFonts w:ascii="Times New Roman" w:hAnsi="Times New Roman" w:eastAsia="宋体"/>
                <w:b w:val="0"/>
                <w:sz w:val="21"/>
              </w:rPr>
              <w:t>基本完成</w:t>
            </w:r>
          </w:p>
        </w:tc>
      </w:tr>
      <w:tr w14:paraId="2372DC91">
        <w:trPr>
          <w:jc w:val="center"/>
        </w:trPr>
        <w:tc>
          <w:tcPr>
            <w:tcW w:w="3009" w:type="dxa"/>
            <w:noWrap w:val="0"/>
            <w:vAlign w:val="center"/>
          </w:tcPr>
          <w:p w14:paraId="043F3889">
            <w:pPr>
              <w:jc w:val="center"/>
            </w:pPr>
            <w:r>
              <w:rPr>
                <w:rFonts w:ascii="Times New Roman" w:hAnsi="Times New Roman" w:eastAsia="宋体"/>
                <w:b w:val="0"/>
                <w:sz w:val="21"/>
              </w:rPr>
              <w:t>综合评价模型构建与验证</w:t>
            </w:r>
          </w:p>
        </w:tc>
        <w:tc>
          <w:tcPr>
            <w:tcW w:w="3009" w:type="dxa"/>
            <w:noWrap w:val="0"/>
            <w:vAlign w:val="center"/>
          </w:tcPr>
          <w:p w14:paraId="74C896EC">
            <w:pPr>
              <w:jc w:val="center"/>
            </w:pPr>
            <w:r>
              <w:rPr>
                <w:rFonts w:ascii="Times New Roman" w:hAnsi="Times New Roman" w:eastAsia="宋体"/>
                <w:b w:val="0"/>
                <w:sz w:val="21"/>
              </w:rPr>
              <w:t>2026.04—2026.06</w:t>
            </w:r>
          </w:p>
        </w:tc>
        <w:tc>
          <w:tcPr>
            <w:tcW w:w="3009" w:type="dxa"/>
            <w:noWrap w:val="0"/>
            <w:vAlign w:val="center"/>
          </w:tcPr>
          <w:p w14:paraId="0DF74099">
            <w:pPr>
              <w:jc w:val="center"/>
            </w:pPr>
            <w:r>
              <w:rPr>
                <w:rFonts w:ascii="Times New Roman" w:hAnsi="Times New Roman" w:eastAsia="宋体"/>
                <w:b w:val="0"/>
                <w:sz w:val="21"/>
              </w:rPr>
              <w:t>进行中</w:t>
            </w:r>
          </w:p>
        </w:tc>
      </w:tr>
      <w:tr w14:paraId="0172DD1C">
        <w:trPr>
          <w:jc w:val="center"/>
        </w:trPr>
        <w:tc>
          <w:tcPr>
            <w:tcW w:w="3009" w:type="dxa"/>
            <w:noWrap w:val="0"/>
            <w:vAlign w:val="center"/>
          </w:tcPr>
          <w:p w14:paraId="06F1B7CF">
            <w:pPr>
              <w:jc w:val="center"/>
            </w:pPr>
            <w:r>
              <w:rPr>
                <w:rFonts w:ascii="Times New Roman" w:hAnsi="Times New Roman" w:eastAsia="宋体"/>
                <w:b w:val="0"/>
                <w:sz w:val="21"/>
              </w:rPr>
              <w:t>运营策略建议与论文完善</w:t>
            </w:r>
          </w:p>
        </w:tc>
        <w:tc>
          <w:tcPr>
            <w:tcW w:w="3009" w:type="dxa"/>
            <w:noWrap w:val="0"/>
            <w:vAlign w:val="center"/>
          </w:tcPr>
          <w:p w14:paraId="08576E29">
            <w:pPr>
              <w:jc w:val="center"/>
            </w:pPr>
            <w:r>
              <w:rPr>
                <w:rFonts w:ascii="Times New Roman" w:hAnsi="Times New Roman" w:eastAsia="宋体"/>
                <w:b w:val="0"/>
                <w:sz w:val="21"/>
              </w:rPr>
              <w:t>2026.06—2026.07</w:t>
            </w:r>
          </w:p>
        </w:tc>
        <w:tc>
          <w:tcPr>
            <w:tcW w:w="3009" w:type="dxa"/>
            <w:noWrap w:val="0"/>
            <w:vAlign w:val="center"/>
          </w:tcPr>
          <w:p w14:paraId="66250F3D">
            <w:pPr>
              <w:jc w:val="center"/>
            </w:pPr>
            <w:r>
              <w:rPr>
                <w:rFonts w:ascii="Times New Roman" w:hAnsi="Times New Roman" w:eastAsia="宋体"/>
                <w:b w:val="0"/>
                <w:sz w:val="21"/>
              </w:rPr>
              <w:t>待完成</w:t>
            </w:r>
          </w:p>
        </w:tc>
      </w:tr>
    </w:tbl>
    <w:p w14:paraId="48F0E958">
      <w:pPr>
        <w:snapToGrid/>
        <w:spacing w:beforeAutospacing="0" w:afterAutospacing="0" w:line="360" w:lineRule="auto"/>
        <w:ind w:left="0" w:leftChars="0" w:right="0" w:rightChars="0" w:firstLine="480" w:firstLineChars="200"/>
        <w:jc w:val="both"/>
        <w:rPr>
          <w:rFonts w:ascii="Times New Roman" w:eastAsia="宋体"/>
          <w:sz w:val="24"/>
        </w:rPr>
      </w:pPr>
    </w:p>
    <w:p w14:paraId="10186F5C">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2.2 已完成章节情况</w:t>
      </w:r>
    </w:p>
    <w:p w14:paraId="564D4B19">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（1）第1章绪论已完成。主要明确研究背景、研究问题、研究意义、研究内容、研究方法、技术路线，以及研究特色与预期创新。</w:t>
      </w:r>
    </w:p>
    <w:p w14:paraId="5AA96B77">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（2）第2章理论基础与文献综述已完成。主要界定核心概念，梳理公共设施选址理论、消费者行为理论、成本收益理论及国内外相关研究。</w:t>
      </w:r>
    </w:p>
    <w:p w14:paraId="6E7904F3">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（3）第3章C公司充电桩运营现状分析已完成。主要分析公司业务特点、三地站点运营状况、现有选址流程、主要问题及问题成因。</w:t>
      </w:r>
    </w:p>
    <w:p w14:paraId="30A06F46">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4）第4章选址影响因素与成本结构分析已基本完成。已构建四个一级维度的指标体系并开展阶段性组合赋权，对安装成本和维护成本进行了初步结构化分析；后续仍需补充AHP专家构成、判断矩阵与一致性检验，熵权法原始矩阵与逐步计算过程，以及分城市、分社区类型的维护成本分析。</w:t>
      </w:r>
    </w:p>
    <w:p w14:paraId="63331D69">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5）第5章综合选址评价模型构建与案例分析正在进行。已确定指标体系、组合赋权路径及TOPSIS模型计算流程；后续需补充标准化、加权矩阵、正负理想解、距离和相对贴近度等公式，并在候选站点数据清洗完成后开展完整算例、排序验证和敏感性分析。</w:t>
      </w:r>
    </w:p>
    <w:p w14:paraId="626A691F">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2.3 已取得的阶段性成果</w:t>
      </w:r>
    </w:p>
    <w:p w14:paraId="0759F5DD">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第一，形成了“需求侧因素—供给侧因素—环境与政策因素—技术与运营因素”四维选址影响因素体系。阶段性权重结果如下：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2134"/>
        <w:gridCol w:w="2127"/>
        <w:gridCol w:w="2134"/>
      </w:tblGrid>
      <w:tr w14:paraId="3308D9C9">
        <w:trPr>
          <w:jc w:val="center"/>
        </w:trPr>
        <w:tc>
          <w:tcPr>
            <w:tcW w:w="2256" w:type="dxa"/>
            <w:shd w:val="clear" w:color="auto" w:fill="D9EAF7"/>
            <w:noWrap w:val="0"/>
            <w:vAlign w:val="center"/>
          </w:tcPr>
          <w:p w14:paraId="43664DAF">
            <w:pPr>
              <w:jc w:val="center"/>
            </w:pPr>
            <w:r>
              <w:rPr>
                <w:rFonts w:ascii="Times New Roman" w:hAnsi="Times New Roman" w:eastAsia="宋体"/>
                <w:b/>
                <w:sz w:val="21"/>
              </w:rPr>
              <w:t>一级指标</w:t>
            </w:r>
          </w:p>
        </w:tc>
        <w:tc>
          <w:tcPr>
            <w:tcW w:w="2256" w:type="dxa"/>
            <w:shd w:val="clear" w:color="auto" w:fill="D9EAF7"/>
            <w:noWrap w:val="0"/>
            <w:vAlign w:val="center"/>
          </w:tcPr>
          <w:p w14:paraId="64F126C6">
            <w:pPr>
              <w:jc w:val="center"/>
            </w:pPr>
            <w:r>
              <w:rPr>
                <w:rFonts w:ascii="Times New Roman" w:hAnsi="Times New Roman" w:eastAsia="宋体"/>
                <w:b/>
                <w:sz w:val="21"/>
              </w:rPr>
              <w:t>权重</w:t>
            </w:r>
          </w:p>
        </w:tc>
        <w:tc>
          <w:tcPr>
            <w:tcW w:w="2256" w:type="dxa"/>
            <w:shd w:val="clear" w:color="auto" w:fill="D9EAF7"/>
            <w:noWrap w:val="0"/>
            <w:vAlign w:val="center"/>
          </w:tcPr>
          <w:p w14:paraId="4EEC47CC">
            <w:pPr>
              <w:jc w:val="center"/>
            </w:pPr>
            <w:r>
              <w:rPr>
                <w:rFonts w:ascii="Times New Roman" w:hAnsi="Times New Roman" w:eastAsia="宋体"/>
                <w:b/>
                <w:sz w:val="21"/>
              </w:rPr>
              <w:t>关键二级指标</w:t>
            </w:r>
          </w:p>
        </w:tc>
        <w:tc>
          <w:tcPr>
            <w:tcW w:w="2256" w:type="dxa"/>
            <w:shd w:val="clear" w:color="auto" w:fill="D9EAF7"/>
            <w:noWrap w:val="0"/>
            <w:vAlign w:val="center"/>
          </w:tcPr>
          <w:p w14:paraId="1CF31064">
            <w:pPr>
              <w:jc w:val="center"/>
            </w:pPr>
            <w:r>
              <w:rPr>
                <w:rFonts w:ascii="Times New Roman" w:hAnsi="Times New Roman" w:eastAsia="宋体"/>
                <w:b/>
                <w:sz w:val="21"/>
              </w:rPr>
              <w:t>权重</w:t>
            </w:r>
          </w:p>
        </w:tc>
      </w:tr>
      <w:tr w14:paraId="4884ABFB">
        <w:trPr>
          <w:jc w:val="center"/>
        </w:trPr>
        <w:tc>
          <w:tcPr>
            <w:tcW w:w="2256" w:type="dxa"/>
            <w:noWrap w:val="0"/>
            <w:vAlign w:val="center"/>
          </w:tcPr>
          <w:p w14:paraId="544A6214">
            <w:pPr>
              <w:jc w:val="center"/>
            </w:pPr>
            <w:r>
              <w:rPr>
                <w:rFonts w:ascii="Times New Roman" w:hAnsi="Times New Roman" w:eastAsia="宋体"/>
                <w:b w:val="0"/>
                <w:sz w:val="21"/>
              </w:rPr>
              <w:t>需求侧因素</w:t>
            </w:r>
          </w:p>
        </w:tc>
        <w:tc>
          <w:tcPr>
            <w:tcW w:w="2256" w:type="dxa"/>
            <w:noWrap w:val="0"/>
            <w:vAlign w:val="center"/>
          </w:tcPr>
          <w:p w14:paraId="7352B61F">
            <w:pPr>
              <w:jc w:val="center"/>
            </w:pPr>
            <w:r>
              <w:t>35%</w:t>
            </w:r>
          </w:p>
        </w:tc>
        <w:tc>
          <w:tcPr>
            <w:tcW w:w="2256" w:type="dxa"/>
            <w:noWrap w:val="0"/>
            <w:vAlign w:val="center"/>
          </w:tcPr>
          <w:p w14:paraId="67044755">
            <w:pPr>
              <w:jc w:val="center"/>
            </w:pPr>
            <w:r>
              <w:rPr>
                <w:rFonts w:ascii="Times New Roman" w:hAnsi="Times New Roman" w:eastAsia="宋体"/>
                <w:b w:val="0"/>
                <w:sz w:val="21"/>
              </w:rPr>
              <w:t>电动自行车保有量与密度</w:t>
            </w:r>
          </w:p>
        </w:tc>
        <w:tc>
          <w:tcPr>
            <w:tcW w:w="2256" w:type="dxa"/>
            <w:noWrap w:val="0"/>
            <w:vAlign w:val="center"/>
          </w:tcPr>
          <w:p w14:paraId="611B5104">
            <w:pPr>
              <w:jc w:val="center"/>
            </w:pPr>
            <w:r>
              <w:t>15%</w:t>
            </w:r>
          </w:p>
        </w:tc>
      </w:tr>
      <w:tr w14:paraId="3A563510">
        <w:trPr>
          <w:jc w:val="center"/>
        </w:trPr>
        <w:tc>
          <w:tcPr>
            <w:tcW w:w="2256" w:type="dxa"/>
            <w:noWrap w:val="0"/>
            <w:vAlign w:val="center"/>
          </w:tcPr>
          <w:p w14:paraId="516A7A0B">
            <w:pPr>
              <w:jc w:val="center"/>
            </w:pPr>
            <w:r>
              <w:rPr>
                <w:rFonts w:ascii="Times New Roman" w:hAnsi="Times New Roman" w:eastAsia="宋体"/>
                <w:b w:val="0"/>
                <w:sz w:val="21"/>
              </w:rPr>
              <w:t>需求侧因素</w:t>
            </w:r>
          </w:p>
        </w:tc>
        <w:tc>
          <w:tcPr>
            <w:tcW w:w="2256" w:type="dxa"/>
            <w:noWrap w:val="0"/>
            <w:vAlign w:val="center"/>
          </w:tcPr>
          <w:p w14:paraId="56731C18">
            <w:pPr>
              <w:jc w:val="center"/>
            </w:pPr>
            <w:r>
              <w:t>35%</w:t>
            </w:r>
          </w:p>
        </w:tc>
        <w:tc>
          <w:tcPr>
            <w:tcW w:w="2256" w:type="dxa"/>
            <w:noWrap w:val="0"/>
            <w:vAlign w:val="center"/>
          </w:tcPr>
          <w:p w14:paraId="6ABA2AAC">
            <w:pPr>
              <w:jc w:val="center"/>
            </w:pPr>
            <w:r>
              <w:rPr>
                <w:rFonts w:ascii="Times New Roman" w:hAnsi="Times New Roman" w:eastAsia="宋体"/>
                <w:b w:val="0"/>
                <w:sz w:val="21"/>
              </w:rPr>
              <w:t>用户充电高峰时段匹配度</w:t>
            </w:r>
          </w:p>
        </w:tc>
        <w:tc>
          <w:tcPr>
            <w:tcW w:w="2256" w:type="dxa"/>
            <w:noWrap w:val="0"/>
            <w:vAlign w:val="center"/>
          </w:tcPr>
          <w:p w14:paraId="7A0F3792">
            <w:pPr>
              <w:jc w:val="center"/>
            </w:pPr>
            <w:r>
              <w:t>11%</w:t>
            </w:r>
          </w:p>
        </w:tc>
      </w:tr>
      <w:tr w14:paraId="02F37A18">
        <w:trPr>
          <w:jc w:val="center"/>
        </w:trPr>
        <w:tc>
          <w:tcPr>
            <w:tcW w:w="2256" w:type="dxa"/>
            <w:noWrap w:val="0"/>
            <w:vAlign w:val="center"/>
          </w:tcPr>
          <w:p w14:paraId="6EE2D655">
            <w:pPr>
              <w:jc w:val="center"/>
            </w:pPr>
            <w:r>
              <w:rPr>
                <w:rFonts w:ascii="Times New Roman" w:hAnsi="Times New Roman" w:eastAsia="宋体"/>
                <w:b w:val="0"/>
                <w:sz w:val="21"/>
              </w:rPr>
              <w:t>供给侧因素</w:t>
            </w:r>
          </w:p>
        </w:tc>
        <w:tc>
          <w:tcPr>
            <w:tcW w:w="2256" w:type="dxa"/>
            <w:noWrap w:val="0"/>
            <w:vAlign w:val="center"/>
          </w:tcPr>
          <w:p w14:paraId="49940117">
            <w:pPr>
              <w:jc w:val="center"/>
            </w:pPr>
            <w:r>
              <w:t>28%</w:t>
            </w:r>
          </w:p>
        </w:tc>
        <w:tc>
          <w:tcPr>
            <w:tcW w:w="2256" w:type="dxa"/>
            <w:noWrap w:val="0"/>
            <w:vAlign w:val="center"/>
          </w:tcPr>
          <w:p w14:paraId="30EDD8C0">
            <w:pPr>
              <w:jc w:val="center"/>
            </w:pPr>
            <w:r>
              <w:rPr>
                <w:rFonts w:ascii="Times New Roman" w:hAnsi="Times New Roman" w:eastAsia="宋体"/>
                <w:b w:val="0"/>
                <w:sz w:val="21"/>
              </w:rPr>
              <w:t>电力接入条件与成本</w:t>
            </w:r>
          </w:p>
        </w:tc>
        <w:tc>
          <w:tcPr>
            <w:tcW w:w="2256" w:type="dxa"/>
            <w:noWrap w:val="0"/>
            <w:vAlign w:val="center"/>
          </w:tcPr>
          <w:p w14:paraId="034DEFBC">
            <w:pPr>
              <w:jc w:val="center"/>
            </w:pPr>
            <w:r>
              <w:t>13%</w:t>
            </w:r>
          </w:p>
        </w:tc>
      </w:tr>
      <w:tr w14:paraId="79D04EAC">
        <w:trPr>
          <w:jc w:val="center"/>
        </w:trPr>
        <w:tc>
          <w:tcPr>
            <w:tcW w:w="2256" w:type="dxa"/>
            <w:noWrap w:val="0"/>
            <w:vAlign w:val="center"/>
          </w:tcPr>
          <w:p w14:paraId="5ECF067A">
            <w:pPr>
              <w:jc w:val="center"/>
            </w:pPr>
            <w:r>
              <w:rPr>
                <w:rFonts w:ascii="Times New Roman" w:hAnsi="Times New Roman" w:eastAsia="宋体"/>
                <w:b w:val="0"/>
                <w:sz w:val="21"/>
              </w:rPr>
              <w:t>供给侧因素</w:t>
            </w:r>
          </w:p>
        </w:tc>
        <w:tc>
          <w:tcPr>
            <w:tcW w:w="2256" w:type="dxa"/>
            <w:noWrap w:val="0"/>
            <w:vAlign w:val="center"/>
          </w:tcPr>
          <w:p w14:paraId="6121A3C3">
            <w:pPr>
              <w:jc w:val="center"/>
            </w:pPr>
            <w:r>
              <w:t>28%</w:t>
            </w:r>
          </w:p>
        </w:tc>
        <w:tc>
          <w:tcPr>
            <w:tcW w:w="2256" w:type="dxa"/>
            <w:noWrap w:val="0"/>
            <w:vAlign w:val="center"/>
          </w:tcPr>
          <w:p w14:paraId="054525C6">
            <w:pPr>
              <w:jc w:val="center"/>
            </w:pPr>
            <w:r>
              <w:rPr>
                <w:rFonts w:ascii="Times New Roman" w:hAnsi="Times New Roman" w:eastAsia="宋体"/>
                <w:b w:val="0"/>
                <w:sz w:val="21"/>
              </w:rPr>
              <w:t>场地可获得性与租金</w:t>
            </w:r>
          </w:p>
        </w:tc>
        <w:tc>
          <w:tcPr>
            <w:tcW w:w="2256" w:type="dxa"/>
            <w:noWrap w:val="0"/>
            <w:vAlign w:val="center"/>
          </w:tcPr>
          <w:p w14:paraId="2C1E670F">
            <w:pPr>
              <w:jc w:val="center"/>
            </w:pPr>
            <w:r>
              <w:t>9%</w:t>
            </w:r>
          </w:p>
        </w:tc>
      </w:tr>
      <w:tr w14:paraId="48A3A399">
        <w:trPr>
          <w:jc w:val="center"/>
        </w:trPr>
        <w:tc>
          <w:tcPr>
            <w:tcW w:w="2256" w:type="dxa"/>
            <w:noWrap w:val="0"/>
            <w:vAlign w:val="center"/>
          </w:tcPr>
          <w:p w14:paraId="16AFA565">
            <w:pPr>
              <w:jc w:val="center"/>
            </w:pPr>
            <w:r>
              <w:rPr>
                <w:rFonts w:ascii="Times New Roman" w:hAnsi="Times New Roman" w:eastAsia="宋体"/>
                <w:b w:val="0"/>
                <w:sz w:val="21"/>
              </w:rPr>
              <w:t>环境与政策因素</w:t>
            </w:r>
          </w:p>
        </w:tc>
        <w:tc>
          <w:tcPr>
            <w:tcW w:w="2256" w:type="dxa"/>
            <w:noWrap w:val="0"/>
            <w:vAlign w:val="center"/>
          </w:tcPr>
          <w:p w14:paraId="0CE32418">
            <w:pPr>
              <w:jc w:val="center"/>
            </w:pPr>
            <w:r>
              <w:t>20%</w:t>
            </w:r>
          </w:p>
        </w:tc>
        <w:tc>
          <w:tcPr>
            <w:tcW w:w="2256" w:type="dxa"/>
            <w:noWrap w:val="0"/>
            <w:vAlign w:val="center"/>
          </w:tcPr>
          <w:p w14:paraId="76E9EB2F">
            <w:pPr>
              <w:jc w:val="center"/>
            </w:pPr>
            <w:r>
              <w:rPr>
                <w:rFonts w:ascii="Times New Roman" w:hAnsi="Times New Roman" w:eastAsia="宋体"/>
                <w:b w:val="0"/>
                <w:sz w:val="21"/>
              </w:rPr>
              <w:t>消防安全条件</w:t>
            </w:r>
          </w:p>
        </w:tc>
        <w:tc>
          <w:tcPr>
            <w:tcW w:w="2256" w:type="dxa"/>
            <w:noWrap w:val="0"/>
            <w:vAlign w:val="center"/>
          </w:tcPr>
          <w:p w14:paraId="66F1CCCC">
            <w:pPr>
              <w:jc w:val="center"/>
            </w:pPr>
            <w:r>
              <w:t>9%</w:t>
            </w:r>
          </w:p>
        </w:tc>
      </w:tr>
      <w:tr w14:paraId="40ED259A">
        <w:trPr>
          <w:jc w:val="center"/>
        </w:trPr>
        <w:tc>
          <w:tcPr>
            <w:tcW w:w="2256" w:type="dxa"/>
            <w:noWrap w:val="0"/>
            <w:vAlign w:val="center"/>
          </w:tcPr>
          <w:p w14:paraId="14BC9B3B">
            <w:pPr>
              <w:jc w:val="center"/>
            </w:pPr>
            <w:r>
              <w:rPr>
                <w:rFonts w:ascii="Times New Roman" w:hAnsi="Times New Roman" w:eastAsia="宋体"/>
                <w:b w:val="0"/>
                <w:sz w:val="21"/>
              </w:rPr>
              <w:t>技术与运营因素</w:t>
            </w:r>
          </w:p>
        </w:tc>
        <w:tc>
          <w:tcPr>
            <w:tcW w:w="2256" w:type="dxa"/>
            <w:noWrap w:val="0"/>
            <w:vAlign w:val="center"/>
          </w:tcPr>
          <w:p w14:paraId="6F0D2A5B">
            <w:pPr>
              <w:jc w:val="center"/>
            </w:pPr>
            <w:r>
              <w:t>17%</w:t>
            </w:r>
          </w:p>
        </w:tc>
        <w:tc>
          <w:tcPr>
            <w:tcW w:w="2256" w:type="dxa"/>
            <w:noWrap w:val="0"/>
            <w:vAlign w:val="center"/>
          </w:tcPr>
          <w:p w14:paraId="793B6B47">
            <w:pPr>
              <w:jc w:val="center"/>
            </w:pPr>
            <w:r>
              <w:rPr>
                <w:rFonts w:ascii="Times New Roman" w:hAnsi="Times New Roman" w:eastAsia="宋体"/>
                <w:b w:val="0"/>
                <w:sz w:val="21"/>
              </w:rPr>
              <w:t>物业协同程度</w:t>
            </w:r>
          </w:p>
        </w:tc>
        <w:tc>
          <w:tcPr>
            <w:tcW w:w="2256" w:type="dxa"/>
            <w:noWrap w:val="0"/>
            <w:vAlign w:val="center"/>
          </w:tcPr>
          <w:p w14:paraId="4C58CCCD">
            <w:pPr>
              <w:jc w:val="center"/>
            </w:pPr>
            <w:r>
              <w:t>8%</w:t>
            </w:r>
          </w:p>
        </w:tc>
      </w:tr>
    </w:tbl>
    <w:p w14:paraId="426522F5">
      <w:pPr>
        <w:snapToGrid/>
        <w:spacing w:beforeAutospacing="0" w:afterAutospacing="0" w:line="360" w:lineRule="auto"/>
        <w:ind w:left="0" w:leftChars="0" w:right="0" w:rightChars="0" w:firstLine="420" w:firstLineChars="200"/>
        <w:jc w:val="both"/>
        <w:rPr>
          <w:rFonts w:ascii="Times New Roman" w:eastAsia="宋体"/>
          <w:sz w:val="24"/>
        </w:rPr>
      </w:pPr>
      <w:r>
        <w:t>注：表中权重统一采用百分比表示，四个一级指标权重合计为100%；完整二级指标及最终权重将在数据清洗和组合赋权计算完成后补充。</w:t>
      </w:r>
    </w:p>
    <w:p w14:paraId="4A019F97">
      <w:pPr>
        <w:snapToGrid/>
        <w:spacing w:beforeAutospacing="0" w:afterAutospacing="0" w:line="360" w:lineRule="auto"/>
        <w:ind w:left="0" w:leftChars="0" w:right="0" w:rightChars="0" w:firstLine="480" w:firstLineChars="200"/>
        <w:jc w:val="both"/>
        <w:rPr>
          <w:rFonts w:ascii="Times New Roman" w:eastAsia="宋体"/>
          <w:sz w:val="24"/>
        </w:rPr>
      </w:pPr>
    </w:p>
    <w:p w14:paraId="43DCC3E8">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第二，形成了安装成本标准化拆解框架。三地阶段性成本结构比较如下：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0"/>
        <w:gridCol w:w="2130"/>
        <w:gridCol w:w="2130"/>
      </w:tblGrid>
      <w:tr w14:paraId="1F57B1C2">
        <w:trPr>
          <w:jc w:val="center"/>
        </w:trPr>
        <w:tc>
          <w:tcPr>
            <w:tcW w:w="2256" w:type="dxa"/>
            <w:shd w:val="clear" w:color="auto" w:fill="D9EAF7"/>
            <w:noWrap w:val="0"/>
            <w:vAlign w:val="center"/>
          </w:tcPr>
          <w:p w14:paraId="2AE95F77">
            <w:pPr>
              <w:jc w:val="center"/>
            </w:pPr>
            <w:r>
              <w:rPr>
                <w:rFonts w:ascii="Times New Roman" w:hAnsi="Times New Roman" w:eastAsia="宋体"/>
                <w:b/>
                <w:sz w:val="21"/>
              </w:rPr>
              <w:t>成本子项</w:t>
            </w:r>
          </w:p>
        </w:tc>
        <w:tc>
          <w:tcPr>
            <w:tcW w:w="2256" w:type="dxa"/>
            <w:shd w:val="clear" w:color="auto" w:fill="D9EAF7"/>
            <w:noWrap w:val="0"/>
            <w:vAlign w:val="center"/>
          </w:tcPr>
          <w:p w14:paraId="3C364B5C">
            <w:pPr>
              <w:jc w:val="center"/>
            </w:pPr>
            <w:r>
              <w:rPr>
                <w:rFonts w:ascii="Times New Roman" w:hAnsi="Times New Roman" w:eastAsia="宋体"/>
                <w:b/>
                <w:sz w:val="21"/>
              </w:rPr>
              <w:t>南京占比</w:t>
            </w:r>
          </w:p>
        </w:tc>
        <w:tc>
          <w:tcPr>
            <w:tcW w:w="2256" w:type="dxa"/>
            <w:shd w:val="clear" w:color="auto" w:fill="D9EAF7"/>
            <w:noWrap w:val="0"/>
            <w:vAlign w:val="center"/>
          </w:tcPr>
          <w:p w14:paraId="2734F89E">
            <w:pPr>
              <w:jc w:val="center"/>
            </w:pPr>
            <w:r>
              <w:rPr>
                <w:rFonts w:ascii="Times New Roman" w:hAnsi="Times New Roman" w:eastAsia="宋体"/>
                <w:b/>
                <w:sz w:val="21"/>
              </w:rPr>
              <w:t>深圳占比</w:t>
            </w:r>
          </w:p>
        </w:tc>
        <w:tc>
          <w:tcPr>
            <w:tcW w:w="2256" w:type="dxa"/>
            <w:shd w:val="clear" w:color="auto" w:fill="D9EAF7"/>
            <w:noWrap w:val="0"/>
            <w:vAlign w:val="center"/>
          </w:tcPr>
          <w:p w14:paraId="08C2B794">
            <w:pPr>
              <w:jc w:val="center"/>
            </w:pPr>
            <w:r>
              <w:rPr>
                <w:rFonts w:ascii="Times New Roman" w:hAnsi="Times New Roman" w:eastAsia="宋体"/>
                <w:b/>
                <w:sz w:val="21"/>
              </w:rPr>
              <w:t>徐州占比</w:t>
            </w:r>
          </w:p>
        </w:tc>
      </w:tr>
      <w:tr w14:paraId="35EDBB7A">
        <w:trPr>
          <w:jc w:val="center"/>
        </w:trPr>
        <w:tc>
          <w:tcPr>
            <w:tcW w:w="2256" w:type="dxa"/>
            <w:noWrap w:val="0"/>
            <w:vAlign w:val="center"/>
          </w:tcPr>
          <w:p w14:paraId="5C87FCD3">
            <w:pPr>
              <w:jc w:val="center"/>
            </w:pPr>
            <w:r>
              <w:rPr>
                <w:rFonts w:ascii="Times New Roman" w:hAnsi="Times New Roman" w:eastAsia="宋体"/>
                <w:b w:val="0"/>
                <w:sz w:val="21"/>
              </w:rPr>
              <w:t>硬件设备采购</w:t>
            </w:r>
          </w:p>
        </w:tc>
        <w:tc>
          <w:tcPr>
            <w:tcW w:w="2256" w:type="dxa"/>
            <w:noWrap w:val="0"/>
            <w:vAlign w:val="center"/>
          </w:tcPr>
          <w:p w14:paraId="25330702">
            <w:pPr>
              <w:jc w:val="center"/>
            </w:pPr>
            <w:r>
              <w:rPr>
                <w:rFonts w:ascii="Times New Roman" w:hAnsi="Times New Roman" w:eastAsia="宋体"/>
                <w:b w:val="0"/>
                <w:sz w:val="21"/>
              </w:rPr>
              <w:t>约40%</w:t>
            </w:r>
          </w:p>
        </w:tc>
        <w:tc>
          <w:tcPr>
            <w:tcW w:w="2256" w:type="dxa"/>
            <w:noWrap w:val="0"/>
            <w:vAlign w:val="center"/>
          </w:tcPr>
          <w:p w14:paraId="70063947">
            <w:pPr>
              <w:jc w:val="center"/>
            </w:pPr>
            <w:r>
              <w:rPr>
                <w:rFonts w:ascii="Times New Roman" w:hAnsi="Times New Roman" w:eastAsia="宋体"/>
                <w:b w:val="0"/>
                <w:sz w:val="21"/>
              </w:rPr>
              <w:t>约35%</w:t>
            </w:r>
          </w:p>
        </w:tc>
        <w:tc>
          <w:tcPr>
            <w:tcW w:w="2256" w:type="dxa"/>
            <w:noWrap w:val="0"/>
            <w:vAlign w:val="center"/>
          </w:tcPr>
          <w:p w14:paraId="10430EBB">
            <w:pPr>
              <w:jc w:val="center"/>
            </w:pPr>
            <w:r>
              <w:rPr>
                <w:rFonts w:ascii="Times New Roman" w:hAnsi="Times New Roman" w:eastAsia="宋体"/>
                <w:b w:val="0"/>
                <w:sz w:val="21"/>
              </w:rPr>
              <w:t>约45%</w:t>
            </w:r>
          </w:p>
        </w:tc>
      </w:tr>
      <w:tr w14:paraId="19EAF6C2">
        <w:trPr>
          <w:jc w:val="center"/>
        </w:trPr>
        <w:tc>
          <w:tcPr>
            <w:tcW w:w="2256" w:type="dxa"/>
            <w:noWrap w:val="0"/>
            <w:vAlign w:val="center"/>
          </w:tcPr>
          <w:p w14:paraId="66845D77">
            <w:pPr>
              <w:jc w:val="center"/>
            </w:pPr>
            <w:r>
              <w:rPr>
                <w:rFonts w:ascii="Times New Roman" w:hAnsi="Times New Roman" w:eastAsia="宋体"/>
                <w:b w:val="0"/>
                <w:sz w:val="21"/>
              </w:rPr>
              <w:t>基础施工（土建与布线）</w:t>
            </w:r>
          </w:p>
        </w:tc>
        <w:tc>
          <w:tcPr>
            <w:tcW w:w="2256" w:type="dxa"/>
            <w:noWrap w:val="0"/>
            <w:vAlign w:val="center"/>
          </w:tcPr>
          <w:p w14:paraId="2586CCAB">
            <w:pPr>
              <w:jc w:val="center"/>
            </w:pPr>
            <w:r>
              <w:rPr>
                <w:rFonts w:ascii="Times New Roman" w:hAnsi="Times New Roman" w:eastAsia="宋体"/>
                <w:b w:val="0"/>
                <w:sz w:val="21"/>
              </w:rPr>
              <w:t>约20%</w:t>
            </w:r>
          </w:p>
        </w:tc>
        <w:tc>
          <w:tcPr>
            <w:tcW w:w="2256" w:type="dxa"/>
            <w:noWrap w:val="0"/>
            <w:vAlign w:val="center"/>
          </w:tcPr>
          <w:p w14:paraId="00E99556">
            <w:pPr>
              <w:jc w:val="center"/>
            </w:pPr>
            <w:r>
              <w:rPr>
                <w:rFonts w:ascii="Times New Roman" w:hAnsi="Times New Roman" w:eastAsia="宋体"/>
                <w:b w:val="0"/>
                <w:sz w:val="21"/>
              </w:rPr>
              <w:t>约25%</w:t>
            </w:r>
          </w:p>
        </w:tc>
        <w:tc>
          <w:tcPr>
            <w:tcW w:w="2256" w:type="dxa"/>
            <w:noWrap w:val="0"/>
            <w:vAlign w:val="center"/>
          </w:tcPr>
          <w:p w14:paraId="2BD94656">
            <w:pPr>
              <w:jc w:val="center"/>
            </w:pPr>
            <w:r>
              <w:rPr>
                <w:rFonts w:ascii="Times New Roman" w:hAnsi="Times New Roman" w:eastAsia="宋体"/>
                <w:b w:val="0"/>
                <w:sz w:val="21"/>
              </w:rPr>
              <w:t>约18%</w:t>
            </w:r>
          </w:p>
        </w:tc>
      </w:tr>
      <w:tr w14:paraId="7D73B1B5">
        <w:trPr>
          <w:jc w:val="center"/>
        </w:trPr>
        <w:tc>
          <w:tcPr>
            <w:tcW w:w="2256" w:type="dxa"/>
            <w:noWrap w:val="0"/>
            <w:vAlign w:val="center"/>
          </w:tcPr>
          <w:p w14:paraId="6CA246F6">
            <w:pPr>
              <w:jc w:val="center"/>
            </w:pPr>
            <w:r>
              <w:rPr>
                <w:rFonts w:ascii="Times New Roman" w:hAnsi="Times New Roman" w:eastAsia="宋体"/>
                <w:b w:val="0"/>
                <w:sz w:val="21"/>
              </w:rPr>
              <w:t>电力接入改造</w:t>
            </w:r>
          </w:p>
        </w:tc>
        <w:tc>
          <w:tcPr>
            <w:tcW w:w="2256" w:type="dxa"/>
            <w:noWrap w:val="0"/>
            <w:vAlign w:val="center"/>
          </w:tcPr>
          <w:p w14:paraId="1940381B">
            <w:pPr>
              <w:jc w:val="center"/>
            </w:pPr>
            <w:r>
              <w:rPr>
                <w:rFonts w:ascii="Times New Roman" w:hAnsi="Times New Roman" w:eastAsia="宋体"/>
                <w:b w:val="0"/>
                <w:sz w:val="21"/>
              </w:rPr>
              <w:t>约18%</w:t>
            </w:r>
          </w:p>
        </w:tc>
        <w:tc>
          <w:tcPr>
            <w:tcW w:w="2256" w:type="dxa"/>
            <w:noWrap w:val="0"/>
            <w:vAlign w:val="center"/>
          </w:tcPr>
          <w:p w14:paraId="2B96CA0B">
            <w:pPr>
              <w:jc w:val="center"/>
            </w:pPr>
            <w:r>
              <w:rPr>
                <w:rFonts w:ascii="Times New Roman" w:hAnsi="Times New Roman" w:eastAsia="宋体"/>
                <w:b w:val="0"/>
                <w:sz w:val="21"/>
              </w:rPr>
              <w:t>约20%</w:t>
            </w:r>
          </w:p>
        </w:tc>
        <w:tc>
          <w:tcPr>
            <w:tcW w:w="2256" w:type="dxa"/>
            <w:noWrap w:val="0"/>
            <w:vAlign w:val="center"/>
          </w:tcPr>
          <w:p w14:paraId="0DB4C6AC">
            <w:pPr>
              <w:jc w:val="center"/>
            </w:pPr>
            <w:r>
              <w:rPr>
                <w:rFonts w:ascii="Times New Roman" w:hAnsi="Times New Roman" w:eastAsia="宋体"/>
                <w:b w:val="0"/>
                <w:sz w:val="21"/>
              </w:rPr>
              <w:t>约15%</w:t>
            </w:r>
          </w:p>
        </w:tc>
      </w:tr>
      <w:tr w14:paraId="2CFA3015">
        <w:trPr>
          <w:jc w:val="center"/>
        </w:trPr>
        <w:tc>
          <w:tcPr>
            <w:tcW w:w="2256" w:type="dxa"/>
            <w:noWrap w:val="0"/>
            <w:vAlign w:val="center"/>
          </w:tcPr>
          <w:p w14:paraId="2BFEE7D6">
            <w:pPr>
              <w:jc w:val="center"/>
            </w:pPr>
            <w:r>
              <w:rPr>
                <w:rFonts w:ascii="Times New Roman" w:hAnsi="Times New Roman" w:eastAsia="宋体"/>
                <w:b w:val="0"/>
                <w:sz w:val="21"/>
              </w:rPr>
              <w:t>通信模块安装</w:t>
            </w:r>
          </w:p>
        </w:tc>
        <w:tc>
          <w:tcPr>
            <w:tcW w:w="2256" w:type="dxa"/>
            <w:noWrap w:val="0"/>
            <w:vAlign w:val="center"/>
          </w:tcPr>
          <w:p w14:paraId="05125254">
            <w:pPr>
              <w:jc w:val="center"/>
            </w:pPr>
            <w:r>
              <w:rPr>
                <w:rFonts w:ascii="Times New Roman" w:hAnsi="Times New Roman" w:eastAsia="宋体"/>
                <w:b w:val="0"/>
                <w:sz w:val="21"/>
              </w:rPr>
              <w:t>约8%</w:t>
            </w:r>
          </w:p>
        </w:tc>
        <w:tc>
          <w:tcPr>
            <w:tcW w:w="2256" w:type="dxa"/>
            <w:noWrap w:val="0"/>
            <w:vAlign w:val="center"/>
          </w:tcPr>
          <w:p w14:paraId="5A30ABD6">
            <w:pPr>
              <w:jc w:val="center"/>
            </w:pPr>
            <w:r>
              <w:rPr>
                <w:rFonts w:ascii="Times New Roman" w:hAnsi="Times New Roman" w:eastAsia="宋体"/>
                <w:b w:val="0"/>
                <w:sz w:val="21"/>
              </w:rPr>
              <w:t>约7%</w:t>
            </w:r>
          </w:p>
        </w:tc>
        <w:tc>
          <w:tcPr>
            <w:tcW w:w="2256" w:type="dxa"/>
            <w:noWrap w:val="0"/>
            <w:vAlign w:val="center"/>
          </w:tcPr>
          <w:p w14:paraId="5E3FC2AE">
            <w:pPr>
              <w:jc w:val="center"/>
            </w:pPr>
            <w:r>
              <w:rPr>
                <w:rFonts w:ascii="Times New Roman" w:hAnsi="Times New Roman" w:eastAsia="宋体"/>
                <w:b w:val="0"/>
                <w:sz w:val="21"/>
              </w:rPr>
              <w:t>约9%</w:t>
            </w:r>
          </w:p>
        </w:tc>
      </w:tr>
      <w:tr w14:paraId="06836272">
        <w:trPr>
          <w:jc w:val="center"/>
        </w:trPr>
        <w:tc>
          <w:tcPr>
            <w:tcW w:w="2256" w:type="dxa"/>
            <w:noWrap w:val="0"/>
            <w:vAlign w:val="center"/>
          </w:tcPr>
          <w:p w14:paraId="32E93BF9">
            <w:pPr>
              <w:jc w:val="center"/>
            </w:pPr>
            <w:r>
              <w:rPr>
                <w:rFonts w:ascii="Times New Roman" w:hAnsi="Times New Roman" w:eastAsia="宋体"/>
                <w:b w:val="0"/>
                <w:sz w:val="21"/>
              </w:rPr>
              <w:t>验收与手续费用</w:t>
            </w:r>
          </w:p>
        </w:tc>
        <w:tc>
          <w:tcPr>
            <w:tcW w:w="2256" w:type="dxa"/>
            <w:noWrap w:val="0"/>
            <w:vAlign w:val="center"/>
          </w:tcPr>
          <w:p w14:paraId="7F16F290">
            <w:pPr>
              <w:jc w:val="center"/>
            </w:pPr>
            <w:r>
              <w:rPr>
                <w:rFonts w:ascii="Times New Roman" w:hAnsi="Times New Roman" w:eastAsia="宋体"/>
                <w:b w:val="0"/>
                <w:sz w:val="21"/>
              </w:rPr>
              <w:t>约5%</w:t>
            </w:r>
          </w:p>
        </w:tc>
        <w:tc>
          <w:tcPr>
            <w:tcW w:w="2256" w:type="dxa"/>
            <w:noWrap w:val="0"/>
            <w:vAlign w:val="center"/>
          </w:tcPr>
          <w:p w14:paraId="763589F7">
            <w:pPr>
              <w:jc w:val="center"/>
            </w:pPr>
            <w:r>
              <w:rPr>
                <w:rFonts w:ascii="Times New Roman" w:hAnsi="Times New Roman" w:eastAsia="宋体"/>
                <w:b w:val="0"/>
                <w:sz w:val="21"/>
              </w:rPr>
              <w:t>约5%</w:t>
            </w:r>
          </w:p>
        </w:tc>
        <w:tc>
          <w:tcPr>
            <w:tcW w:w="2256" w:type="dxa"/>
            <w:noWrap w:val="0"/>
            <w:vAlign w:val="center"/>
          </w:tcPr>
          <w:p w14:paraId="41F2FA08">
            <w:pPr>
              <w:jc w:val="center"/>
            </w:pPr>
            <w:r>
              <w:rPr>
                <w:rFonts w:ascii="Times New Roman" w:hAnsi="Times New Roman" w:eastAsia="宋体"/>
                <w:b w:val="0"/>
                <w:sz w:val="21"/>
              </w:rPr>
              <w:t>约5%</w:t>
            </w:r>
          </w:p>
        </w:tc>
      </w:tr>
      <w:tr w14:paraId="422B8180">
        <w:trPr>
          <w:jc w:val="center"/>
        </w:trPr>
        <w:tc>
          <w:tcPr>
            <w:tcW w:w="2256" w:type="dxa"/>
            <w:noWrap w:val="0"/>
            <w:vAlign w:val="center"/>
          </w:tcPr>
          <w:p w14:paraId="5FE6B72E">
            <w:pPr>
              <w:jc w:val="center"/>
            </w:pPr>
            <w:r>
              <w:rPr>
                <w:rFonts w:ascii="Times New Roman" w:hAnsi="Times New Roman" w:eastAsia="宋体"/>
                <w:b w:val="0"/>
                <w:sz w:val="21"/>
              </w:rPr>
              <w:t>物业协调费用</w:t>
            </w:r>
          </w:p>
        </w:tc>
        <w:tc>
          <w:tcPr>
            <w:tcW w:w="2256" w:type="dxa"/>
            <w:noWrap w:val="0"/>
            <w:vAlign w:val="center"/>
          </w:tcPr>
          <w:p w14:paraId="2EDC41BA">
            <w:pPr>
              <w:jc w:val="center"/>
            </w:pPr>
            <w:r>
              <w:rPr>
                <w:rFonts w:ascii="Times New Roman" w:hAnsi="Times New Roman" w:eastAsia="宋体"/>
                <w:b w:val="0"/>
                <w:sz w:val="21"/>
              </w:rPr>
              <w:t>约9%</w:t>
            </w:r>
          </w:p>
        </w:tc>
        <w:tc>
          <w:tcPr>
            <w:tcW w:w="2256" w:type="dxa"/>
            <w:noWrap w:val="0"/>
            <w:vAlign w:val="center"/>
          </w:tcPr>
          <w:p w14:paraId="0E0DE55B">
            <w:pPr>
              <w:jc w:val="center"/>
            </w:pPr>
            <w:r>
              <w:rPr>
                <w:rFonts w:ascii="Times New Roman" w:hAnsi="Times New Roman" w:eastAsia="宋体"/>
                <w:b w:val="0"/>
                <w:sz w:val="21"/>
              </w:rPr>
              <w:t>约8%</w:t>
            </w:r>
          </w:p>
        </w:tc>
        <w:tc>
          <w:tcPr>
            <w:tcW w:w="2256" w:type="dxa"/>
            <w:noWrap w:val="0"/>
            <w:vAlign w:val="center"/>
          </w:tcPr>
          <w:p w14:paraId="3CADC247">
            <w:pPr>
              <w:jc w:val="center"/>
            </w:pPr>
            <w:r>
              <w:rPr>
                <w:rFonts w:ascii="Times New Roman" w:hAnsi="Times New Roman" w:eastAsia="宋体"/>
                <w:b w:val="0"/>
                <w:sz w:val="21"/>
              </w:rPr>
              <w:t>约8%</w:t>
            </w:r>
          </w:p>
        </w:tc>
      </w:tr>
    </w:tbl>
    <w:p w14:paraId="1E234244">
      <w:pPr>
        <w:snapToGrid/>
        <w:spacing w:beforeAutospacing="0" w:afterAutospacing="0" w:line="360" w:lineRule="auto"/>
        <w:ind w:left="0" w:leftChars="0" w:right="0" w:rightChars="0" w:firstLine="480" w:firstLineChars="200"/>
        <w:jc w:val="both"/>
        <w:rPr>
          <w:rFonts w:ascii="Times New Roman" w:eastAsia="宋体"/>
          <w:sz w:val="24"/>
        </w:rPr>
      </w:pPr>
    </w:p>
    <w:p w14:paraId="103BF5B1">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第三，识别出用户需求密度、电力接入条件和物业协同程度是影响站点成效的关键因素；人工费用、电力改造难度和市政施工条件是造成跨城市安装成本差异的主要驱动因素。</w:t>
      </w:r>
    </w:p>
    <w:p w14:paraId="6745B5A2">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2.4 与开题报告的相符性</w:t>
      </w:r>
    </w:p>
    <w:p w14:paraId="2F562E37">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目前研究对象、研究目标和核心技术路线与开题报告总体一致。开题报告提出的四项主要任务中，选址影响因素体系、安装与维护成本结构分析已按计划推进，综合评价模型正在构建，布局优化建议将在模型验证后完成。</w:t>
      </w:r>
    </w:p>
    <w:p w14:paraId="111C872E">
      <w:pPr>
        <w:snapToGrid/>
        <w:spacing w:beforeAutospacing="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研究过程中进行了两项方法调整：一是考虑维护数据时间跨度有限，将维护成本预测方法由时间序列或随机森林调整为以多元回归和设备老化经验分析为主；二是将外部新城市验证调整为使用三地部分站点进行交叉验证。上述调整未改变研究目标，且更符合当前数据条件。</w:t>
      </w:r>
    </w:p>
    <w:p w14:paraId="1F4C56A2">
      <w:pPr>
        <w:pStyle w:val="2"/>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三、论文提纲</w:t>
      </w:r>
    </w:p>
    <w:p w14:paraId="573B5B8C">
      <w:pPr>
        <w:pStyle w:val="3"/>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第1章 绪论</w:t>
      </w:r>
    </w:p>
    <w:p w14:paraId="1B4EBE23">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1.1 研究背景</w:t>
      </w:r>
    </w:p>
    <w:p w14:paraId="1E777BC2">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1.1.1 行业发展背景</w:t>
      </w:r>
    </w:p>
    <w:p w14:paraId="7DC1B9A1">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1.1.2 政策与安全背景</w:t>
      </w:r>
    </w:p>
    <w:p w14:paraId="21133572">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1.1.3 企业实践背景</w:t>
      </w:r>
    </w:p>
    <w:p w14:paraId="35520E4C">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1.2 研究目的与意义</w:t>
      </w:r>
    </w:p>
    <w:p w14:paraId="7F4B1AC5">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1.2.1 研究目的</w:t>
      </w:r>
    </w:p>
    <w:p w14:paraId="6BFFAAB2">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1.2.2 理论意义</w:t>
      </w:r>
    </w:p>
    <w:p w14:paraId="20424D03">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1.2.3 实践意义</w:t>
      </w:r>
    </w:p>
    <w:p w14:paraId="1BF05221">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1.3 国内外研究现状</w:t>
      </w:r>
    </w:p>
    <w:p w14:paraId="66304242">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1.3.1 充电设施选址研究现状</w:t>
      </w:r>
    </w:p>
    <w:p w14:paraId="715B0877">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1.3.2 成本建模研究现状</w:t>
      </w:r>
    </w:p>
    <w:p w14:paraId="33E374D5">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1.3.3 多城市比较研究现状</w:t>
      </w:r>
    </w:p>
    <w:p w14:paraId="0EB2F159">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1.3.4 研究评述</w:t>
      </w:r>
    </w:p>
    <w:p w14:paraId="3C98EB1D">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1.4 研究内容、方法与技术路线</w:t>
      </w:r>
    </w:p>
    <w:p w14:paraId="25CBBAD9">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1.4.1 研究内容</w:t>
      </w:r>
    </w:p>
    <w:p w14:paraId="6E18951D">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1.4.2 研究方法</w:t>
      </w:r>
    </w:p>
    <w:p w14:paraId="16F008A1">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1.4.3 技术路线</w:t>
      </w:r>
    </w:p>
    <w:p w14:paraId="34812F73">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1.5 研究特色与预期创新</w:t>
      </w:r>
    </w:p>
    <w:p w14:paraId="60C034D6">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1.6 本章小结</w:t>
      </w:r>
    </w:p>
    <w:p w14:paraId="015F46A8">
      <w:pPr>
        <w:pStyle w:val="3"/>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第2章 理论基础与文献综述</w:t>
      </w:r>
    </w:p>
    <w:p w14:paraId="4A39FCED">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2.1 核心概念界定</w:t>
      </w:r>
    </w:p>
    <w:p w14:paraId="7A23DACA">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2.1.1 电动自行车充电桩</w:t>
      </w:r>
    </w:p>
    <w:p w14:paraId="0AB572DB">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2.1.2 选址评价</w:t>
      </w:r>
    </w:p>
    <w:p w14:paraId="27436D3B">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2.1.3 成本结构</w:t>
      </w:r>
    </w:p>
    <w:p w14:paraId="74AFDA73">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2.2 相关理论基础</w:t>
      </w:r>
    </w:p>
    <w:p w14:paraId="3AB59D77">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2.2.1 公共设施选址理论</w:t>
      </w:r>
    </w:p>
    <w:p w14:paraId="1F46091A">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2.2.2 消费者行为理论</w:t>
      </w:r>
    </w:p>
    <w:p w14:paraId="42AA782A">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2.2.3 成本收益理论</w:t>
      </w:r>
    </w:p>
    <w:p w14:paraId="73F4AAC6">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2.2.4 可持续发展理论</w:t>
      </w:r>
    </w:p>
    <w:p w14:paraId="6AA594FE">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2.3 国内外研究综述</w:t>
      </w:r>
    </w:p>
    <w:p w14:paraId="3AEF8E41">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2.3.1 选址影响因素研究</w:t>
      </w:r>
    </w:p>
    <w:p w14:paraId="602B6730">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2.3.2 选址模型与方法研究</w:t>
      </w:r>
    </w:p>
    <w:p w14:paraId="325DAF64">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2.3.3 运营与布局研究</w:t>
      </w:r>
    </w:p>
    <w:p w14:paraId="7D7BAB82">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2.4 文献述评与研究启示</w:t>
      </w:r>
    </w:p>
    <w:p w14:paraId="6BE5E59D">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2.5 本章小结</w:t>
      </w:r>
    </w:p>
    <w:p w14:paraId="72A33047">
      <w:pPr>
        <w:pStyle w:val="3"/>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第3章 C公司充电桩运营现状分析</w:t>
      </w:r>
    </w:p>
    <w:p w14:paraId="133B0485">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3.1 C公司概况</w:t>
      </w:r>
    </w:p>
    <w:p w14:paraId="297AC28C">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3.1.1 公司业务发展概况</w:t>
      </w:r>
    </w:p>
    <w:p w14:paraId="45ED22F1">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3.1.2 公司充电桩业务特点</w:t>
      </w:r>
    </w:p>
    <w:p w14:paraId="1038069C">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3.2 C公司充电桩运营现状</w:t>
      </w:r>
    </w:p>
    <w:p w14:paraId="49DC7B6C">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3.2.1 站点分布与场景特征</w:t>
      </w:r>
    </w:p>
    <w:p w14:paraId="233C11CA">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3.2.2 运营数据与用户反馈特征</w:t>
      </w:r>
    </w:p>
    <w:p w14:paraId="43E4E7D9">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3.3 C公司现有选址策略与流程</w:t>
      </w:r>
    </w:p>
    <w:p w14:paraId="21957B2F">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3.3.1 当前选址依据</w:t>
      </w:r>
    </w:p>
    <w:p w14:paraId="2DD6F84D">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3.3.2 当前操作流程</w:t>
      </w:r>
    </w:p>
    <w:p w14:paraId="13FAA8D1">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3.3.3 现有流程的局限性</w:t>
      </w:r>
    </w:p>
    <w:p w14:paraId="52296684">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3.4 C公司运营中存在的问题与原因</w:t>
      </w:r>
    </w:p>
    <w:p w14:paraId="6521BA56">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3.4.1 选址方面存在的问题</w:t>
      </w:r>
    </w:p>
    <w:p w14:paraId="288EEFD3">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3.4.2 成本管理方面存在的问题</w:t>
      </w:r>
    </w:p>
    <w:p w14:paraId="56597CD6">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3.4.3 扩张复制方面存在的问题</w:t>
      </w:r>
    </w:p>
    <w:p w14:paraId="68B6ECF7">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3.4.4 问题成因分析</w:t>
      </w:r>
    </w:p>
    <w:p w14:paraId="174DA700">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3.5 本章小结</w:t>
      </w:r>
    </w:p>
    <w:p w14:paraId="4FB1037E">
      <w:pPr>
        <w:pStyle w:val="3"/>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第4章 选址影响因素与成本结构分析</w:t>
      </w:r>
    </w:p>
    <w:p w14:paraId="770E088F">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4.1 理论基础下的选址影响因素识别</w:t>
      </w:r>
    </w:p>
    <w:p w14:paraId="68F95C04">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4.1.1 消费者行为理论与需求侧因素</w:t>
      </w:r>
    </w:p>
    <w:p w14:paraId="09E7292C">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4.1.2 公共设施选址理论与供给侧因素</w:t>
      </w:r>
    </w:p>
    <w:p w14:paraId="54C57AE8">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4.1.3 可持续发展理论与环境政策因素</w:t>
      </w:r>
    </w:p>
    <w:p w14:paraId="4EB866DF">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4.1.4 成本收益理论与技术运营因素</w:t>
      </w:r>
    </w:p>
    <w:p w14:paraId="0AB800E2">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4.2 关键因素筛选与权重分析</w:t>
      </w:r>
    </w:p>
    <w:p w14:paraId="75FA252F">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4.2.1 因素筛选逻辑</w:t>
      </w:r>
    </w:p>
    <w:p w14:paraId="4BAC86AD">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4.2.2 组合赋权方法</w:t>
      </w:r>
    </w:p>
    <w:p w14:paraId="6F1DC4ED">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4.2.3 阶段性权重结果</w:t>
      </w:r>
    </w:p>
    <w:p w14:paraId="0EBFB571">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4.3 C公司成本结构分析</w:t>
      </w:r>
    </w:p>
    <w:p w14:paraId="1697A1DB">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4.3.1 安装成本结构分析</w:t>
      </w:r>
    </w:p>
    <w:p w14:paraId="5A1F9252">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4.3.2 维护成本结构分析</w:t>
      </w:r>
    </w:p>
    <w:p w14:paraId="0ACEEAEE">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4.3.3 跨城市成本差异成因</w:t>
      </w:r>
    </w:p>
    <w:p w14:paraId="57A82A45">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4.4 选址对成本与收益的影响机制</w:t>
      </w:r>
    </w:p>
    <w:p w14:paraId="580E3ADF">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4.4.1 选址对安装成本的影响</w:t>
      </w:r>
    </w:p>
    <w:p w14:paraId="3C15CEC9">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4.4.2 选址对维护成本的影响</w:t>
      </w:r>
    </w:p>
    <w:p w14:paraId="43BA08CF">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4.4.3 选址对收益水平的影响</w:t>
      </w:r>
    </w:p>
    <w:p w14:paraId="6B872F27">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4.5 本章小结</w:t>
      </w:r>
    </w:p>
    <w:p w14:paraId="29A61DD2">
      <w:pPr>
        <w:pStyle w:val="3"/>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第5章 综合选址评价模型构建与案例分析</w:t>
      </w:r>
    </w:p>
    <w:p w14:paraId="6E023BA7">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5.1 综合评价指标体系</w:t>
      </w:r>
    </w:p>
    <w:p w14:paraId="470EA56A">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5.1.1 指标体系构建原则</w:t>
      </w:r>
    </w:p>
    <w:p w14:paraId="6A78CEF8">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5.1.2 指标量化与标准化</w:t>
      </w:r>
    </w:p>
    <w:p w14:paraId="66B7F1EA">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5.2 TOPSIS综合评价模型</w:t>
      </w:r>
    </w:p>
    <w:p w14:paraId="4F5158F9">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5.2.1 模型构建与计算步骤</w:t>
      </w:r>
    </w:p>
    <w:p w14:paraId="3725D560">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5.2.2 候选站点排序</w:t>
      </w:r>
    </w:p>
    <w:p w14:paraId="6F6E7B79">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5.3 模型验证与敏感性分析</w:t>
      </w:r>
    </w:p>
    <w:p w14:paraId="4D869CE1">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5.3.1 与实际运营结果比较</w:t>
      </w:r>
    </w:p>
    <w:p w14:paraId="6E64927B">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5.3.2 模型稳健性与适用性</w:t>
      </w:r>
    </w:p>
    <w:p w14:paraId="7012B993">
      <w:pPr>
        <w:pStyle w:val="3"/>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第6章 C公司布局优化与运营管理建议</w:t>
      </w:r>
    </w:p>
    <w:p w14:paraId="7375513B">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6.1 选址流程标准化建议</w:t>
      </w:r>
    </w:p>
    <w:p w14:paraId="148A037B">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6.1.1 候选项目准入标准</w:t>
      </w:r>
    </w:p>
    <w:p w14:paraId="7F9CDEBC">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6.1.2 多城市差异化布局</w:t>
      </w:r>
    </w:p>
    <w:p w14:paraId="66EF6E26">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6.2 成本控制与运营优化建议</w:t>
      </w:r>
    </w:p>
    <w:p w14:paraId="07012B20">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6.2.1 安装和维护成本控制</w:t>
      </w:r>
    </w:p>
    <w:p w14:paraId="65A6FFC9">
      <w:pPr>
        <w:snapToGrid/>
        <w:spacing w:beforeAutospacing="0" w:afterAutospacing="0" w:line="360" w:lineRule="auto"/>
        <w:ind w:left="0" w:leftChars="0" w:right="0" w:rightChars="0" w:firstLine="0" w:firstLineChars="0"/>
        <w:jc w:val="left"/>
        <w:outlineLvl w:val="2"/>
        <w:rPr>
          <w:rFonts w:ascii="Times New Roman" w:eastAsia="楷体"/>
          <w:b w:val="0"/>
          <w:sz w:val="24"/>
        </w:rPr>
      </w:pPr>
      <w:r>
        <w:rPr>
          <w:rFonts w:ascii="Times New Roman" w:eastAsia="楷体"/>
          <w:b w:val="0"/>
          <w:sz w:val="24"/>
        </w:rPr>
        <w:t>6.2.2 数据化运营与风险管理</w:t>
      </w:r>
    </w:p>
    <w:p w14:paraId="0DB94797">
      <w:pPr>
        <w:pStyle w:val="3"/>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第7章 结论与展望</w:t>
      </w:r>
    </w:p>
    <w:p w14:paraId="36473C76">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7.1 主要研究结论</w:t>
      </w:r>
    </w:p>
    <w:p w14:paraId="0AFA0460">
      <w:pPr>
        <w:snapToGrid/>
        <w:spacing w:beforeAutospacing="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7.2 研究不足与展望</w:t>
      </w:r>
    </w:p>
    <w:p w14:paraId="30CB7701">
      <w:pPr>
        <w:pStyle w:val="2"/>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四、下一步论文工作安排</w:t>
      </w:r>
    </w:p>
    <w:p w14:paraId="2109046B">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4.1 重点难点分析及拟解决措施</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41"/>
        <w:gridCol w:w="2855"/>
      </w:tblGrid>
      <w:tr w14:paraId="11A0C620">
        <w:trPr>
          <w:jc w:val="center"/>
        </w:trPr>
        <w:tc>
          <w:tcPr>
            <w:tcW w:w="3009" w:type="dxa"/>
            <w:shd w:val="clear" w:color="auto" w:fill="D9EAF7"/>
            <w:noWrap w:val="0"/>
            <w:vAlign w:val="center"/>
          </w:tcPr>
          <w:p w14:paraId="3737FD62">
            <w:pPr>
              <w:jc w:val="center"/>
            </w:pPr>
            <w:r>
              <w:rPr>
                <w:rFonts w:ascii="Times New Roman" w:hAnsi="Times New Roman" w:eastAsia="宋体"/>
                <w:b/>
                <w:sz w:val="21"/>
              </w:rPr>
              <w:t>重点难点</w:t>
            </w:r>
          </w:p>
        </w:tc>
        <w:tc>
          <w:tcPr>
            <w:tcW w:w="3009" w:type="dxa"/>
            <w:shd w:val="clear" w:color="auto" w:fill="D9EAF7"/>
            <w:noWrap w:val="0"/>
            <w:vAlign w:val="center"/>
          </w:tcPr>
          <w:p w14:paraId="49B83DCE">
            <w:pPr>
              <w:jc w:val="center"/>
            </w:pPr>
            <w:r>
              <w:rPr>
                <w:rFonts w:ascii="Times New Roman" w:hAnsi="Times New Roman" w:eastAsia="宋体"/>
                <w:b/>
                <w:sz w:val="21"/>
              </w:rPr>
              <w:t>具体表现</w:t>
            </w:r>
          </w:p>
        </w:tc>
        <w:tc>
          <w:tcPr>
            <w:tcW w:w="3009" w:type="dxa"/>
            <w:shd w:val="clear" w:color="auto" w:fill="D9EAF7"/>
            <w:noWrap w:val="0"/>
            <w:vAlign w:val="center"/>
          </w:tcPr>
          <w:p w14:paraId="6A7F84D8">
            <w:pPr>
              <w:jc w:val="center"/>
            </w:pPr>
            <w:r>
              <w:rPr>
                <w:rFonts w:ascii="Times New Roman" w:hAnsi="Times New Roman" w:eastAsia="宋体"/>
                <w:b/>
                <w:sz w:val="21"/>
              </w:rPr>
              <w:t>拟解决措施</w:t>
            </w:r>
          </w:p>
        </w:tc>
      </w:tr>
      <w:tr w14:paraId="69D713E5">
        <w:trPr>
          <w:jc w:val="center"/>
        </w:trPr>
        <w:tc>
          <w:tcPr>
            <w:tcW w:w="3009" w:type="dxa"/>
            <w:noWrap w:val="0"/>
            <w:vAlign w:val="center"/>
          </w:tcPr>
          <w:p w14:paraId="0CB6B360">
            <w:pPr>
              <w:jc w:val="center"/>
            </w:pPr>
            <w:r>
              <w:rPr>
                <w:rFonts w:ascii="Times New Roman" w:hAnsi="Times New Roman" w:eastAsia="宋体"/>
                <w:b w:val="0"/>
                <w:sz w:val="21"/>
              </w:rPr>
              <w:t>历史数据缺失与颗粒度不足</w:t>
            </w:r>
          </w:p>
        </w:tc>
        <w:tc>
          <w:tcPr>
            <w:tcW w:w="3009" w:type="dxa"/>
            <w:noWrap w:val="0"/>
            <w:vAlign w:val="center"/>
          </w:tcPr>
          <w:p w14:paraId="77E84E54">
            <w:pPr>
              <w:jc w:val="center"/>
            </w:pPr>
            <w:r>
              <w:rPr>
                <w:rFonts w:ascii="Times New Roman" w:hAnsi="Times New Roman" w:eastAsia="宋体"/>
                <w:b w:val="0"/>
                <w:sz w:val="21"/>
              </w:rPr>
              <w:t>部分早期项目缺少成本明细和维保分类</w:t>
            </w:r>
          </w:p>
        </w:tc>
        <w:tc>
          <w:tcPr>
            <w:tcW w:w="3009" w:type="dxa"/>
            <w:noWrap w:val="0"/>
            <w:vAlign w:val="center"/>
          </w:tcPr>
          <w:p w14:paraId="22536C9D">
            <w:pPr>
              <w:jc w:val="center"/>
            </w:pPr>
            <w:r>
              <w:t>建立统一清洗规则，补充三地站点数、月均充电次数、利用率、投资回收周期及维护成本明细，并按城市和社区类型开展比较</w:t>
            </w:r>
          </w:p>
        </w:tc>
      </w:tr>
      <w:tr w14:paraId="0976CB90">
        <w:trPr>
          <w:jc w:val="center"/>
        </w:trPr>
        <w:tc>
          <w:tcPr>
            <w:tcW w:w="3009" w:type="dxa"/>
            <w:noWrap w:val="0"/>
            <w:vAlign w:val="center"/>
          </w:tcPr>
          <w:p w14:paraId="30FE3218">
            <w:pPr>
              <w:jc w:val="center"/>
            </w:pPr>
            <w:r>
              <w:rPr>
                <w:rFonts w:ascii="Times New Roman" w:hAnsi="Times New Roman" w:eastAsia="宋体"/>
                <w:b w:val="0"/>
                <w:sz w:val="21"/>
              </w:rPr>
              <w:t>专家样本有限</w:t>
            </w:r>
          </w:p>
        </w:tc>
        <w:tc>
          <w:tcPr>
            <w:tcW w:w="3009" w:type="dxa"/>
            <w:noWrap w:val="0"/>
            <w:vAlign w:val="center"/>
          </w:tcPr>
          <w:p w14:paraId="68152A4C">
            <w:pPr>
              <w:jc w:val="center"/>
            </w:pPr>
            <w:r>
              <w:rPr>
                <w:rFonts w:ascii="Times New Roman" w:hAnsi="Times New Roman" w:eastAsia="宋体"/>
                <w:b w:val="0"/>
                <w:sz w:val="21"/>
              </w:rPr>
              <w:t>AHP判断可能存在主观偏差</w:t>
            </w:r>
          </w:p>
        </w:tc>
        <w:tc>
          <w:tcPr>
            <w:tcW w:w="3009" w:type="dxa"/>
            <w:noWrap w:val="0"/>
            <w:vAlign w:val="center"/>
          </w:tcPr>
          <w:p w14:paraId="290B117B">
            <w:pPr>
              <w:jc w:val="center"/>
            </w:pPr>
            <w:r>
              <w:t>扩充并说明专家来源，完整展示判断矩阵、特征向量、CI和CR一致性检验，并使用熵权法校正</w:t>
            </w:r>
          </w:p>
        </w:tc>
      </w:tr>
      <w:tr w14:paraId="7E2565F1">
        <w:trPr>
          <w:jc w:val="center"/>
        </w:trPr>
        <w:tc>
          <w:tcPr>
            <w:tcW w:w="3009" w:type="dxa"/>
            <w:noWrap w:val="0"/>
            <w:vAlign w:val="center"/>
          </w:tcPr>
          <w:p w14:paraId="7D3DDBB8">
            <w:pPr>
              <w:jc w:val="center"/>
            </w:pPr>
            <w:r>
              <w:rPr>
                <w:rFonts w:ascii="Times New Roman" w:hAnsi="Times New Roman" w:eastAsia="宋体"/>
                <w:b w:val="0"/>
                <w:sz w:val="21"/>
              </w:rPr>
              <w:t>跨城市指标可比性不足</w:t>
            </w:r>
          </w:p>
        </w:tc>
        <w:tc>
          <w:tcPr>
            <w:tcW w:w="3009" w:type="dxa"/>
            <w:noWrap w:val="0"/>
            <w:vAlign w:val="center"/>
          </w:tcPr>
          <w:p w14:paraId="0D1983FB">
            <w:pPr>
              <w:jc w:val="center"/>
            </w:pPr>
            <w:r>
              <w:rPr>
                <w:rFonts w:ascii="Times New Roman" w:hAnsi="Times New Roman" w:eastAsia="宋体"/>
                <w:b w:val="0"/>
                <w:sz w:val="21"/>
              </w:rPr>
              <w:t>城市成本、政策和物业模式差异明显</w:t>
            </w:r>
          </w:p>
        </w:tc>
        <w:tc>
          <w:tcPr>
            <w:tcW w:w="3009" w:type="dxa"/>
            <w:noWrap w:val="0"/>
            <w:vAlign w:val="center"/>
          </w:tcPr>
          <w:p w14:paraId="4C4E3B33">
            <w:pPr>
              <w:jc w:val="left"/>
            </w:pPr>
            <w:r>
              <w:rPr>
                <w:rFonts w:ascii="Times New Roman" w:hAnsi="Times New Roman" w:eastAsia="宋体"/>
                <w:b w:val="0"/>
                <w:sz w:val="21"/>
              </w:rPr>
              <w:t>对成本和运营指标标准化，设置城市属性系数并开展敏感性分析</w:t>
            </w:r>
          </w:p>
        </w:tc>
      </w:tr>
      <w:tr w14:paraId="755A0ECA">
        <w:trPr>
          <w:jc w:val="center"/>
        </w:trPr>
        <w:tc>
          <w:tcPr>
            <w:tcW w:w="3009" w:type="dxa"/>
            <w:noWrap w:val="0"/>
            <w:vAlign w:val="center"/>
          </w:tcPr>
          <w:p w14:paraId="1FDFDF94">
            <w:pPr>
              <w:jc w:val="center"/>
            </w:pPr>
            <w:r>
              <w:rPr>
                <w:rFonts w:ascii="Times New Roman" w:hAnsi="Times New Roman" w:eastAsia="宋体"/>
                <w:b w:val="0"/>
                <w:sz w:val="21"/>
              </w:rPr>
              <w:t>模型有效性验证</w:t>
            </w:r>
          </w:p>
        </w:tc>
        <w:tc>
          <w:tcPr>
            <w:tcW w:w="3009" w:type="dxa"/>
            <w:noWrap w:val="0"/>
            <w:vAlign w:val="center"/>
          </w:tcPr>
          <w:p w14:paraId="40B5EBE5">
            <w:pPr>
              <w:jc w:val="center"/>
            </w:pPr>
            <w:r>
              <w:rPr>
                <w:rFonts w:ascii="Times New Roman" w:hAnsi="Times New Roman" w:eastAsia="宋体"/>
                <w:b w:val="0"/>
                <w:sz w:val="21"/>
              </w:rPr>
              <w:t>缺少独立新城市样本</w:t>
            </w:r>
          </w:p>
        </w:tc>
        <w:tc>
          <w:tcPr>
            <w:tcW w:w="3009" w:type="dxa"/>
            <w:noWrap w:val="0"/>
            <w:vAlign w:val="center"/>
          </w:tcPr>
          <w:p w14:paraId="44C8022B">
            <w:pPr>
              <w:jc w:val="center"/>
            </w:pPr>
            <w:r>
              <w:t>补充TOPSIS核心公式和候选社区完整算例，使用三地部分站点开展排序验证与敏感性分析</w:t>
            </w:r>
          </w:p>
        </w:tc>
      </w:tr>
    </w:tbl>
    <w:p w14:paraId="379EBBAA">
      <w:pPr>
        <w:snapToGrid/>
        <w:spacing w:beforeAutospacing="0" w:afterAutospacing="0" w:line="360" w:lineRule="auto"/>
        <w:ind w:left="0" w:leftChars="0" w:right="0" w:rightChars="0" w:firstLine="480" w:firstLineChars="200"/>
        <w:jc w:val="both"/>
        <w:rPr>
          <w:rFonts w:ascii="Times New Roman" w:eastAsia="宋体"/>
          <w:sz w:val="24"/>
        </w:rPr>
      </w:pPr>
    </w:p>
    <w:p w14:paraId="3C1E6F80">
      <w:pPr>
        <w:pStyle w:val="3"/>
        <w:snapToGrid/>
        <w:spacing w:before="0" w:beforeAutospacing="0" w:after="0" w:afterAutospacing="0" w:line="360" w:lineRule="auto"/>
        <w:ind w:left="0" w:leftChars="0" w:right="0" w:rightChars="0" w:firstLine="0" w:firstLineChars="0"/>
        <w:jc w:val="left"/>
        <w:outlineLvl w:val="1"/>
        <w:rPr>
          <w:rFonts w:ascii="Times New Roman" w:eastAsia="楷体"/>
          <w:b w:val="0"/>
          <w:sz w:val="24"/>
        </w:rPr>
      </w:pPr>
      <w:r>
        <w:rPr>
          <w:rFonts w:ascii="Times New Roman" w:eastAsia="楷体"/>
          <w:b w:val="0"/>
          <w:sz w:val="24"/>
        </w:rPr>
        <w:t>4.2 论文写作计划</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4"/>
        <w:gridCol w:w="4268"/>
      </w:tblGrid>
      <w:tr w14:paraId="05BD4A8D">
        <w:trPr>
          <w:jc w:val="center"/>
        </w:trPr>
        <w:tc>
          <w:tcPr>
            <w:tcW w:w="4513" w:type="dxa"/>
            <w:shd w:val="clear" w:color="auto" w:fill="D9EAF7"/>
            <w:noWrap w:val="0"/>
            <w:vAlign w:val="center"/>
          </w:tcPr>
          <w:p w14:paraId="09135380">
            <w:pPr>
              <w:jc w:val="center"/>
            </w:pPr>
            <w:r>
              <w:rPr>
                <w:rFonts w:ascii="Times New Roman" w:hAnsi="Times New Roman" w:eastAsia="宋体"/>
                <w:b/>
                <w:sz w:val="21"/>
              </w:rPr>
              <w:t>时间段</w:t>
            </w:r>
          </w:p>
        </w:tc>
        <w:tc>
          <w:tcPr>
            <w:tcW w:w="4513" w:type="dxa"/>
            <w:shd w:val="clear" w:color="auto" w:fill="D9EAF7"/>
            <w:noWrap w:val="0"/>
            <w:vAlign w:val="center"/>
          </w:tcPr>
          <w:p w14:paraId="61387441">
            <w:pPr>
              <w:jc w:val="center"/>
            </w:pPr>
            <w:r>
              <w:rPr>
                <w:rFonts w:ascii="Times New Roman" w:hAnsi="Times New Roman" w:eastAsia="宋体"/>
                <w:b/>
                <w:sz w:val="21"/>
              </w:rPr>
              <w:t>任务内容</w:t>
            </w:r>
          </w:p>
        </w:tc>
      </w:tr>
      <w:tr w14:paraId="2F2CB9C2">
        <w:trPr>
          <w:jc w:val="center"/>
        </w:trPr>
        <w:tc>
          <w:tcPr>
            <w:tcW w:w="4513" w:type="dxa"/>
            <w:noWrap w:val="0"/>
            <w:vAlign w:val="center"/>
          </w:tcPr>
          <w:p w14:paraId="2E02F822">
            <w:pPr>
              <w:jc w:val="center"/>
            </w:pPr>
            <w:r>
              <w:rPr>
                <w:rFonts w:ascii="Times New Roman" w:hAnsi="Times New Roman" w:eastAsia="宋体"/>
                <w:b w:val="0"/>
                <w:sz w:val="21"/>
              </w:rPr>
              <w:t>2026年</w:t>
            </w:r>
            <w:r>
              <w:rPr>
                <w:rFonts w:hint="eastAsia" w:ascii="Times New Roman" w:hAnsi="Times New Roman" w:eastAsia="宋体"/>
                <w:b w:val="0"/>
                <w:sz w:val="21"/>
                <w:lang w:val="en-US" w:eastAsia="zh-CN"/>
              </w:rPr>
              <w:t>7</w:t>
            </w:r>
            <w:r>
              <w:rPr>
                <w:rFonts w:ascii="Times New Roman" w:hAnsi="Times New Roman" w:eastAsia="宋体"/>
                <w:b w:val="0"/>
                <w:sz w:val="21"/>
              </w:rPr>
              <w:t>月上旬</w:t>
            </w:r>
          </w:p>
        </w:tc>
        <w:tc>
          <w:tcPr>
            <w:tcW w:w="4513" w:type="dxa"/>
            <w:noWrap w:val="0"/>
            <w:vAlign w:val="center"/>
          </w:tcPr>
          <w:p w14:paraId="7294621F">
            <w:pPr>
              <w:jc w:val="center"/>
            </w:pPr>
            <w:r>
              <w:t>完成三地运营数据清洗；补充现有选址流程图、运营指标比较及维护成本拆解；完善AHP和熵权法计算过程</w:t>
            </w:r>
          </w:p>
        </w:tc>
      </w:tr>
      <w:tr w14:paraId="241214C6">
        <w:trPr>
          <w:jc w:val="center"/>
        </w:trPr>
        <w:tc>
          <w:tcPr>
            <w:tcW w:w="4513" w:type="dxa"/>
            <w:noWrap w:val="0"/>
            <w:vAlign w:val="center"/>
          </w:tcPr>
          <w:p w14:paraId="552B8416">
            <w:pPr>
              <w:jc w:val="center"/>
            </w:pPr>
            <w:r>
              <w:rPr>
                <w:rFonts w:ascii="Times New Roman" w:hAnsi="Times New Roman" w:eastAsia="宋体"/>
                <w:b w:val="0"/>
                <w:sz w:val="21"/>
              </w:rPr>
              <w:t>2026年</w:t>
            </w:r>
            <w:r>
              <w:rPr>
                <w:rFonts w:hint="eastAsia" w:ascii="Times New Roman" w:hAnsi="Times New Roman" w:eastAsia="宋体"/>
                <w:b w:val="0"/>
                <w:sz w:val="21"/>
                <w:lang w:val="en-US" w:eastAsia="zh-CN"/>
              </w:rPr>
              <w:t>7</w:t>
            </w:r>
            <w:r>
              <w:rPr>
                <w:rFonts w:ascii="Times New Roman" w:hAnsi="Times New Roman" w:eastAsia="宋体"/>
                <w:b w:val="0"/>
                <w:sz w:val="21"/>
              </w:rPr>
              <w:t>月中旬</w:t>
            </w:r>
          </w:p>
        </w:tc>
        <w:tc>
          <w:tcPr>
            <w:tcW w:w="4513" w:type="dxa"/>
            <w:noWrap w:val="0"/>
            <w:vAlign w:val="center"/>
          </w:tcPr>
          <w:p w14:paraId="24E978FC">
            <w:pPr>
              <w:jc w:val="center"/>
            </w:pPr>
            <w:r>
              <w:t>补充TOPSIS核心公式和完整算例，完成模型验证、敏感性分析和第5章修改</w:t>
            </w:r>
          </w:p>
        </w:tc>
      </w:tr>
      <w:tr w14:paraId="45BB9FB0">
        <w:trPr>
          <w:jc w:val="center"/>
        </w:trPr>
        <w:tc>
          <w:tcPr>
            <w:tcW w:w="4513" w:type="dxa"/>
            <w:noWrap w:val="0"/>
            <w:vAlign w:val="center"/>
          </w:tcPr>
          <w:p w14:paraId="369B37FD">
            <w:pPr>
              <w:jc w:val="center"/>
            </w:pPr>
            <w:r>
              <w:rPr>
                <w:rFonts w:ascii="Times New Roman" w:hAnsi="Times New Roman" w:eastAsia="宋体"/>
                <w:b w:val="0"/>
                <w:sz w:val="21"/>
              </w:rPr>
              <w:t>2026年</w:t>
            </w:r>
            <w:r>
              <w:rPr>
                <w:rFonts w:hint="eastAsia" w:ascii="Times New Roman" w:hAnsi="Times New Roman" w:eastAsia="宋体"/>
                <w:b w:val="0"/>
                <w:sz w:val="21"/>
                <w:lang w:val="en-US" w:eastAsia="zh-CN"/>
              </w:rPr>
              <w:t>7</w:t>
            </w:r>
            <w:r>
              <w:rPr>
                <w:rFonts w:ascii="Times New Roman" w:hAnsi="Times New Roman" w:eastAsia="宋体"/>
                <w:b w:val="0"/>
                <w:sz w:val="21"/>
              </w:rPr>
              <w:t>月下旬</w:t>
            </w:r>
          </w:p>
        </w:tc>
        <w:tc>
          <w:tcPr>
            <w:tcW w:w="4513" w:type="dxa"/>
            <w:noWrap w:val="0"/>
            <w:vAlign w:val="center"/>
          </w:tcPr>
          <w:p w14:paraId="6DD799C3">
            <w:pPr>
              <w:jc w:val="left"/>
            </w:pPr>
            <w:r>
              <w:rPr>
                <w:rFonts w:ascii="Times New Roman" w:hAnsi="Times New Roman" w:eastAsia="宋体"/>
                <w:b w:val="0"/>
                <w:sz w:val="21"/>
              </w:rPr>
              <w:t>完成第6章布局优化建议及第7章结论与展望</w:t>
            </w:r>
          </w:p>
        </w:tc>
      </w:tr>
      <w:tr w14:paraId="7225CC84">
        <w:trPr>
          <w:jc w:val="center"/>
        </w:trPr>
        <w:tc>
          <w:tcPr>
            <w:tcW w:w="4513" w:type="dxa"/>
            <w:noWrap w:val="0"/>
            <w:vAlign w:val="center"/>
          </w:tcPr>
          <w:p w14:paraId="097F2484">
            <w:pPr>
              <w:jc w:val="center"/>
            </w:pPr>
            <w:r>
              <w:rPr>
                <w:rFonts w:ascii="Times New Roman" w:hAnsi="Times New Roman" w:eastAsia="宋体"/>
                <w:b w:val="0"/>
                <w:sz w:val="21"/>
              </w:rPr>
              <w:t>2026年</w:t>
            </w:r>
            <w:r>
              <w:rPr>
                <w:rFonts w:hint="eastAsia" w:ascii="Times New Roman" w:hAnsi="Times New Roman" w:eastAsia="宋体"/>
                <w:b w:val="0"/>
                <w:sz w:val="21"/>
                <w:lang w:val="en-US" w:eastAsia="zh-CN"/>
              </w:rPr>
              <w:t>8</w:t>
            </w:r>
            <w:r>
              <w:rPr>
                <w:rFonts w:ascii="Times New Roman" w:hAnsi="Times New Roman" w:eastAsia="宋体"/>
                <w:b w:val="0"/>
                <w:sz w:val="21"/>
              </w:rPr>
              <w:t>月上旬</w:t>
            </w:r>
          </w:p>
        </w:tc>
        <w:tc>
          <w:tcPr>
            <w:tcW w:w="4513" w:type="dxa"/>
            <w:noWrap w:val="0"/>
            <w:vAlign w:val="center"/>
          </w:tcPr>
          <w:p w14:paraId="29A46F27">
            <w:pPr>
              <w:jc w:val="center"/>
            </w:pPr>
            <w:r>
              <w:t>完成全文通稿，扩充并核验约50篇参考文献，逐一检查正文对应引用和格式规范</w:t>
            </w:r>
          </w:p>
        </w:tc>
      </w:tr>
      <w:tr w14:paraId="1B82B4BB">
        <w:trPr>
          <w:jc w:val="center"/>
        </w:trPr>
        <w:tc>
          <w:tcPr>
            <w:tcW w:w="4513" w:type="dxa"/>
            <w:noWrap w:val="0"/>
            <w:vAlign w:val="center"/>
          </w:tcPr>
          <w:p w14:paraId="20F653F0">
            <w:pPr>
              <w:jc w:val="center"/>
            </w:pPr>
            <w:r>
              <w:rPr>
                <w:rFonts w:ascii="Times New Roman" w:hAnsi="Times New Roman" w:eastAsia="宋体"/>
                <w:b w:val="0"/>
                <w:sz w:val="21"/>
              </w:rPr>
              <w:t>2026年</w:t>
            </w:r>
            <w:r>
              <w:rPr>
                <w:rFonts w:hint="eastAsia" w:ascii="Times New Roman" w:hAnsi="Times New Roman" w:eastAsia="宋体"/>
                <w:b w:val="0"/>
                <w:sz w:val="21"/>
                <w:lang w:val="en-US" w:eastAsia="zh-CN"/>
              </w:rPr>
              <w:t>8</w:t>
            </w:r>
            <w:r>
              <w:rPr>
                <w:rFonts w:ascii="Times New Roman" w:hAnsi="Times New Roman" w:eastAsia="宋体"/>
                <w:b w:val="0"/>
                <w:sz w:val="21"/>
              </w:rPr>
              <w:t>月中旬</w:t>
            </w:r>
          </w:p>
        </w:tc>
        <w:tc>
          <w:tcPr>
            <w:tcW w:w="4513" w:type="dxa"/>
            <w:noWrap w:val="0"/>
            <w:vAlign w:val="center"/>
          </w:tcPr>
          <w:p w14:paraId="77246A78">
            <w:pPr>
              <w:jc w:val="center"/>
            </w:pPr>
            <w:r>
              <w:rPr>
                <w:rFonts w:ascii="Times New Roman" w:hAnsi="Times New Roman" w:eastAsia="宋体"/>
                <w:b w:val="0"/>
                <w:sz w:val="21"/>
              </w:rPr>
              <w:t>根据导师意见修改并形成阶段性定稿</w:t>
            </w:r>
          </w:p>
        </w:tc>
      </w:tr>
    </w:tbl>
    <w:p w14:paraId="1AAC7BE5">
      <w:pPr>
        <w:snapToGrid/>
        <w:spacing w:beforeAutospacing="0" w:afterAutospacing="0" w:line="360" w:lineRule="auto"/>
        <w:ind w:left="0" w:leftChars="0" w:right="0" w:rightChars="0" w:firstLine="480" w:firstLineChars="200"/>
        <w:jc w:val="both"/>
        <w:rPr>
          <w:rFonts w:ascii="Times New Roman" w:eastAsia="宋体"/>
          <w:sz w:val="24"/>
        </w:rPr>
      </w:pPr>
    </w:p>
    <w:p w14:paraId="4E468A8D">
      <w:pPr>
        <w:snapToGrid/>
        <w:spacing w:beforeAutospacing="0" w:afterAutospacing="0" w:line="360" w:lineRule="auto"/>
        <w:ind w:left="0" w:leftChars="0" w:right="0" w:rightChars="0" w:firstLine="480" w:firstLineChars="200"/>
        <w:jc w:val="both"/>
        <w:rPr>
          <w:rFonts w:ascii="Times New Roman" w:eastAsia="宋体"/>
          <w:sz w:val="24"/>
        </w:rPr>
      </w:pPr>
    </w:p>
    <w:p w14:paraId="0F1DD313">
      <w:pPr>
        <w:snapToGrid/>
        <w:spacing w:beforeAutospacing="0" w:afterAutospacing="0" w:line="360" w:lineRule="auto"/>
        <w:ind w:left="0" w:leftChars="0" w:right="0" w:rightChars="0" w:firstLine="480" w:firstLineChars="200"/>
        <w:jc w:val="both"/>
        <w:rPr>
          <w:rFonts w:ascii="Times New Roman" w:eastAsia="宋体"/>
          <w:sz w:val="24"/>
        </w:rPr>
      </w:pPr>
    </w:p>
    <w:p w14:paraId="75D27468">
      <w:pPr>
        <w:pStyle w:val="2"/>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五、参考的中英文文献目录</w:t>
      </w:r>
    </w:p>
    <w:p w14:paraId="32713A96">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 魏冠元，王冠群，阮观梅，等</w:t>
      </w:r>
      <w:r>
        <w:rPr>
          <w:rFonts w:hint="eastAsia" w:ascii="Times New Roman" w:hAnsi="Times New Roman" w:eastAsia="宋体"/>
          <w:lang w:eastAsia="zh-CN"/>
        </w:rPr>
        <w:t>。</w:t>
      </w:r>
      <w:r>
        <w:rPr>
          <w:rFonts w:ascii="Times New Roman" w:hAnsi="Times New Roman" w:eastAsia="宋体"/>
        </w:rPr>
        <w:t>电动汽车充电站选址智能决策与优化研究综述[J]</w:t>
      </w:r>
      <w:r>
        <w:rPr>
          <w:rFonts w:hint="eastAsia" w:ascii="Times New Roman" w:hAnsi="Times New Roman" w:eastAsia="宋体"/>
          <w:lang w:eastAsia="zh-CN"/>
        </w:rPr>
        <w:t>。</w:t>
      </w:r>
      <w:r>
        <w:rPr>
          <w:rFonts w:ascii="Times New Roman" w:hAnsi="Times New Roman" w:eastAsia="宋体"/>
        </w:rPr>
        <w:t>计算机工程与应用，2023，59(21</w:t>
      </w:r>
      <w:r>
        <w:rPr>
          <w:rFonts w:hint="eastAsia" w:ascii="Times New Roman" w:hAnsi="Times New Roman" w:eastAsia="宋体"/>
          <w:lang w:eastAsia="zh-CN"/>
        </w:rPr>
        <w:t>)</w:t>
      </w:r>
      <w:r>
        <w:rPr>
          <w:rFonts w:ascii="Times New Roman" w:hAnsi="Times New Roman" w:eastAsia="宋体"/>
        </w:rPr>
        <w:t>：52-65．</w:t>
      </w:r>
    </w:p>
    <w:p w14:paraId="1A154DDC">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[2] 周筝，龙华，李帅，等</w:t>
      </w:r>
      <w:r>
        <w:rPr>
          <w:rFonts w:hint="eastAsia" w:ascii="Times New Roman" w:hAnsi="Times New Roman" w:eastAsia="宋体"/>
          <w:lang w:eastAsia="zh-CN"/>
        </w:rPr>
        <w:t>。</w:t>
      </w:r>
      <w:r>
        <w:rPr>
          <w:rFonts w:ascii="Times New Roman" w:hAnsi="Times New Roman" w:eastAsia="宋体"/>
        </w:rPr>
        <w:t>时空需求下的电动汽车充电设施选址优化模型[J]</w:t>
      </w:r>
      <w:r>
        <w:rPr>
          <w:rFonts w:hint="eastAsia" w:ascii="Times New Roman" w:hAnsi="Times New Roman" w:eastAsia="宋体"/>
          <w:lang w:eastAsia="zh-CN"/>
        </w:rPr>
        <w:t>。</w:t>
      </w:r>
      <w:r>
        <w:rPr>
          <w:rFonts w:ascii="Times New Roman" w:hAnsi="Times New Roman" w:eastAsia="宋体"/>
        </w:rPr>
        <w:t>计算机应用研究，2023，40(9</w:t>
      </w:r>
      <w:r>
        <w:rPr>
          <w:rFonts w:hint="eastAsia" w:ascii="Times New Roman" w:hAnsi="Times New Roman" w:eastAsia="宋体"/>
          <w:lang w:eastAsia="zh-CN"/>
        </w:rPr>
        <w:t>)</w:t>
      </w:r>
      <w:r>
        <w:rPr>
          <w:rFonts w:ascii="Times New Roman" w:hAnsi="Times New Roman" w:eastAsia="宋体"/>
        </w:rPr>
        <w:t>：2633-2638，2645．</w:t>
      </w:r>
    </w:p>
    <w:p w14:paraId="1AD4F84C">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[3] 刘东林，王育飞，张宇，等</w:t>
      </w:r>
      <w:r>
        <w:rPr>
          <w:rFonts w:hint="eastAsia" w:ascii="Times New Roman" w:hAnsi="Times New Roman" w:eastAsia="宋体"/>
          <w:lang w:eastAsia="zh-CN"/>
        </w:rPr>
        <w:t>。</w:t>
      </w:r>
      <w:r>
        <w:rPr>
          <w:rFonts w:ascii="Times New Roman" w:hAnsi="Times New Roman" w:eastAsia="宋体"/>
        </w:rPr>
        <w:t>基于Huff模型的电动汽车充电站选址定容方法[J]</w:t>
      </w:r>
      <w:r>
        <w:rPr>
          <w:rFonts w:hint="eastAsia" w:ascii="Times New Roman" w:hAnsi="Times New Roman" w:eastAsia="宋体"/>
          <w:lang w:eastAsia="zh-CN"/>
        </w:rPr>
        <w:t>。</w:t>
      </w:r>
      <w:r>
        <w:rPr>
          <w:rFonts w:ascii="Times New Roman" w:hAnsi="Times New Roman" w:eastAsia="宋体"/>
        </w:rPr>
        <w:t>电力自动化设备，2023，43(11</w:t>
      </w:r>
      <w:r>
        <w:rPr>
          <w:rFonts w:hint="eastAsia" w:ascii="Times New Roman" w:hAnsi="Times New Roman" w:eastAsia="宋体"/>
          <w:lang w:eastAsia="zh-CN"/>
        </w:rPr>
        <w:t>)</w:t>
      </w:r>
      <w:r>
        <w:rPr>
          <w:rFonts w:ascii="Times New Roman" w:hAnsi="Times New Roman" w:eastAsia="宋体"/>
        </w:rPr>
        <w:t>：103-110</w:t>
      </w:r>
      <w:bookmarkStart w:id="0" w:name="_GoBack"/>
      <w:bookmarkEnd w:id="0"/>
      <w:r>
        <w:rPr>
          <w:rFonts w:ascii="Times New Roman" w:hAnsi="Times New Roman" w:eastAsia="宋体"/>
        </w:rPr>
        <w:t>．</w:t>
      </w:r>
    </w:p>
    <w:p w14:paraId="0F5C9C19">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[4] 潘含芝，于艾清，王育飞，等</w:t>
      </w:r>
      <w:r>
        <w:rPr>
          <w:rFonts w:hint="eastAsia" w:ascii="Times New Roman" w:hAnsi="Times New Roman" w:eastAsia="宋体"/>
          <w:lang w:eastAsia="zh-CN"/>
        </w:rPr>
        <w:t>。</w:t>
      </w:r>
      <w:r>
        <w:rPr>
          <w:rFonts w:ascii="Times New Roman" w:hAnsi="Times New Roman" w:eastAsia="宋体"/>
        </w:rPr>
        <w:t>均衡不同主体利益的电动汽车充电站选址定容[J]</w:t>
      </w:r>
      <w:r>
        <w:rPr>
          <w:rFonts w:hint="eastAsia" w:ascii="Times New Roman" w:hAnsi="Times New Roman" w:eastAsia="宋体"/>
          <w:lang w:eastAsia="zh-CN"/>
        </w:rPr>
        <w:t>。</w:t>
      </w:r>
      <w:r>
        <w:rPr>
          <w:rFonts w:ascii="Times New Roman" w:hAnsi="Times New Roman" w:eastAsia="宋体"/>
        </w:rPr>
        <w:t>现代电力，2023，40(6</w:t>
      </w:r>
      <w:r>
        <w:rPr>
          <w:rFonts w:hint="eastAsia" w:ascii="Times New Roman" w:hAnsi="Times New Roman" w:eastAsia="宋体"/>
          <w:lang w:eastAsia="zh-CN"/>
        </w:rPr>
        <w:t>)</w:t>
      </w:r>
      <w:r>
        <w:rPr>
          <w:rFonts w:ascii="Times New Roman" w:hAnsi="Times New Roman" w:eastAsia="宋体"/>
        </w:rPr>
        <w:t>：995-1004．</w:t>
      </w:r>
    </w:p>
    <w:p w14:paraId="5ABC702F">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[5] 孙雨乐，漆淘懿，赵宇明，等</w:t>
      </w:r>
      <w:r>
        <w:rPr>
          <w:rFonts w:hint="eastAsia" w:ascii="Times New Roman" w:hAnsi="Times New Roman" w:eastAsia="宋体"/>
          <w:lang w:eastAsia="zh-CN"/>
        </w:rPr>
        <w:t>。</w:t>
      </w:r>
      <w:r>
        <w:rPr>
          <w:rFonts w:ascii="Times New Roman" w:hAnsi="Times New Roman" w:eastAsia="宋体"/>
        </w:rPr>
        <w:t>路网耦合下计及电动汽车V2G潜力的充电站选址定容研究[J]</w:t>
      </w:r>
      <w:r>
        <w:rPr>
          <w:rFonts w:hint="eastAsia" w:ascii="Times New Roman" w:hAnsi="Times New Roman" w:eastAsia="宋体"/>
          <w:lang w:eastAsia="zh-CN"/>
        </w:rPr>
        <w:t>。</w:t>
      </w:r>
      <w:r>
        <w:rPr>
          <w:rFonts w:ascii="Times New Roman" w:hAnsi="Times New Roman" w:eastAsia="宋体"/>
        </w:rPr>
        <w:t>综合智慧能源，2024，46(1</w:t>
      </w:r>
      <w:r>
        <w:rPr>
          <w:rFonts w:hint="eastAsia" w:ascii="Times New Roman" w:hAnsi="Times New Roman" w:eastAsia="宋体"/>
          <w:lang w:eastAsia="zh-CN"/>
        </w:rPr>
        <w:t>)</w:t>
      </w:r>
      <w:r>
        <w:rPr>
          <w:rFonts w:ascii="Times New Roman" w:hAnsi="Times New Roman" w:eastAsia="宋体"/>
        </w:rPr>
        <w:t>：1-10．</w:t>
      </w:r>
    </w:p>
    <w:p w14:paraId="465FC3BD">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[6] 王琼，邹晴，李乐，等</w:t>
      </w:r>
      <w:r>
        <w:rPr>
          <w:rFonts w:hint="eastAsia" w:ascii="Times New Roman" w:hAnsi="Times New Roman" w:eastAsia="宋体"/>
          <w:lang w:eastAsia="zh-CN"/>
        </w:rPr>
        <w:t>。</w:t>
      </w:r>
      <w:r>
        <w:rPr>
          <w:rFonts w:ascii="Times New Roman" w:hAnsi="Times New Roman" w:eastAsia="宋体"/>
        </w:rPr>
        <w:t>考虑用户动态充电需求的充电站选址定容优化[J]</w:t>
      </w:r>
      <w:r>
        <w:rPr>
          <w:rFonts w:hint="eastAsia" w:ascii="Times New Roman" w:hAnsi="Times New Roman" w:eastAsia="宋体"/>
          <w:lang w:eastAsia="zh-CN"/>
        </w:rPr>
        <w:t>。</w:t>
      </w:r>
      <w:r>
        <w:rPr>
          <w:rFonts w:ascii="Times New Roman" w:hAnsi="Times New Roman" w:eastAsia="宋体"/>
        </w:rPr>
        <w:t>浙江电力，2024，43(9</w:t>
      </w:r>
      <w:r>
        <w:rPr>
          <w:rFonts w:hint="eastAsia" w:ascii="Times New Roman" w:hAnsi="Times New Roman" w:eastAsia="宋体"/>
          <w:lang w:eastAsia="zh-CN"/>
        </w:rPr>
        <w:t>)</w:t>
      </w:r>
      <w:r>
        <w:rPr>
          <w:rFonts w:ascii="Times New Roman" w:hAnsi="Times New Roman" w:eastAsia="宋体"/>
        </w:rPr>
        <w:t>：10-18．</w:t>
      </w:r>
    </w:p>
    <w:p w14:paraId="7B818695">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[7] 宣羿，樊立波，孙智卿，等</w:t>
      </w:r>
      <w:r>
        <w:rPr>
          <w:rFonts w:hint="eastAsia" w:ascii="Times New Roman" w:hAnsi="Times New Roman" w:eastAsia="宋体"/>
          <w:lang w:eastAsia="zh-CN"/>
        </w:rPr>
        <w:t>。</w:t>
      </w:r>
      <w:r>
        <w:rPr>
          <w:rFonts w:ascii="Times New Roman" w:hAnsi="Times New Roman" w:eastAsia="宋体"/>
        </w:rPr>
        <w:t>考虑低碳交通的电动汽车充电站优化配置方法[J]</w:t>
      </w:r>
      <w:r>
        <w:rPr>
          <w:rFonts w:hint="eastAsia" w:ascii="Times New Roman" w:hAnsi="Times New Roman" w:eastAsia="宋体"/>
          <w:lang w:eastAsia="zh-CN"/>
        </w:rPr>
        <w:t>。</w:t>
      </w:r>
      <w:r>
        <w:rPr>
          <w:rFonts w:ascii="Times New Roman" w:hAnsi="Times New Roman" w:eastAsia="宋体"/>
        </w:rPr>
        <w:t>浙江电力，2024，43(6</w:t>
      </w:r>
      <w:r>
        <w:rPr>
          <w:rFonts w:hint="eastAsia" w:ascii="Times New Roman" w:hAnsi="Times New Roman" w:eastAsia="宋体"/>
          <w:lang w:eastAsia="zh-CN"/>
        </w:rPr>
        <w:t>)</w:t>
      </w:r>
      <w:r>
        <w:rPr>
          <w:rFonts w:ascii="Times New Roman" w:hAnsi="Times New Roman" w:eastAsia="宋体"/>
        </w:rPr>
        <w:t>：69-79．</w:t>
      </w:r>
    </w:p>
    <w:p w14:paraId="56EC357C">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[8] 肖白，高峰</w:t>
      </w:r>
      <w:r>
        <w:rPr>
          <w:rFonts w:hint="eastAsia" w:ascii="Times New Roman" w:hAnsi="Times New Roman" w:eastAsia="宋体"/>
          <w:lang w:eastAsia="zh-CN"/>
        </w:rPr>
        <w:t>。</w:t>
      </w:r>
      <w:r>
        <w:rPr>
          <w:rFonts w:ascii="Times New Roman" w:hAnsi="Times New Roman" w:eastAsia="宋体"/>
        </w:rPr>
        <w:t>含不同容量充电桩的电动汽车充电站选址定容优化方法[J]</w:t>
      </w:r>
      <w:r>
        <w:rPr>
          <w:rFonts w:hint="eastAsia" w:ascii="Times New Roman" w:hAnsi="Times New Roman" w:eastAsia="宋体"/>
          <w:lang w:eastAsia="zh-CN"/>
        </w:rPr>
        <w:t>。</w:t>
      </w:r>
      <w:r>
        <w:rPr>
          <w:rFonts w:ascii="Times New Roman" w:hAnsi="Times New Roman" w:eastAsia="宋体"/>
        </w:rPr>
        <w:t>电力自动化设备，2022，42(10</w:t>
      </w:r>
      <w:r>
        <w:rPr>
          <w:rFonts w:hint="eastAsia" w:ascii="Times New Roman" w:hAnsi="Times New Roman" w:eastAsia="宋体"/>
          <w:lang w:eastAsia="zh-CN"/>
        </w:rPr>
        <w:t>)</w:t>
      </w:r>
      <w:r>
        <w:rPr>
          <w:rFonts w:ascii="Times New Roman" w:hAnsi="Times New Roman" w:eastAsia="宋体"/>
        </w:rPr>
        <w:t>：157-166．</w:t>
      </w:r>
    </w:p>
    <w:p w14:paraId="5580109F">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[9] 胡晓伟，宋帅，邱振洋，等</w:t>
      </w:r>
      <w:r>
        <w:rPr>
          <w:rFonts w:hint="eastAsia" w:ascii="Times New Roman" w:hAnsi="Times New Roman" w:eastAsia="宋体"/>
          <w:lang w:eastAsia="zh-CN"/>
        </w:rPr>
        <w:t>。</w:t>
      </w:r>
      <w:r>
        <w:rPr>
          <w:rFonts w:ascii="Times New Roman" w:hAnsi="Times New Roman" w:eastAsia="宋体"/>
        </w:rPr>
        <w:t>寒区电动公交充电站选址及定容规划研究[J]</w:t>
      </w:r>
      <w:r>
        <w:rPr>
          <w:rFonts w:hint="eastAsia" w:ascii="Times New Roman" w:hAnsi="Times New Roman" w:eastAsia="宋体"/>
          <w:lang w:eastAsia="zh-CN"/>
        </w:rPr>
        <w:t>。</w:t>
      </w:r>
      <w:r>
        <w:rPr>
          <w:rFonts w:ascii="Times New Roman" w:hAnsi="Times New Roman" w:eastAsia="宋体"/>
        </w:rPr>
        <w:t>交通运输系统工程与信息，2024，24(2</w:t>
      </w:r>
      <w:r>
        <w:rPr>
          <w:rFonts w:hint="eastAsia" w:ascii="Times New Roman" w:hAnsi="Times New Roman" w:eastAsia="宋体"/>
          <w:lang w:eastAsia="zh-CN"/>
        </w:rPr>
        <w:t>)</w:t>
      </w:r>
      <w:r>
        <w:rPr>
          <w:rFonts w:ascii="Times New Roman" w:hAnsi="Times New Roman" w:eastAsia="宋体"/>
        </w:rPr>
        <w:t>：281-292．</w:t>
      </w:r>
    </w:p>
    <w:p w14:paraId="10213182">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[10] 卢慧，谢开贵，邵常政，等</w:t>
      </w:r>
      <w:r>
        <w:rPr>
          <w:rFonts w:hint="eastAsia" w:ascii="Times New Roman" w:hAnsi="Times New Roman" w:eastAsia="宋体"/>
          <w:lang w:eastAsia="zh-CN"/>
        </w:rPr>
        <w:t>。</w:t>
      </w:r>
      <w:r>
        <w:rPr>
          <w:rFonts w:ascii="Times New Roman" w:hAnsi="Times New Roman" w:eastAsia="宋体"/>
        </w:rPr>
        <w:t>考虑燃油车和电动汽车动态混合交通流的电动汽车充电站规划[J]</w:t>
      </w:r>
      <w:r>
        <w:rPr>
          <w:rFonts w:hint="eastAsia" w:ascii="Times New Roman" w:hAnsi="Times New Roman" w:eastAsia="宋体"/>
          <w:lang w:eastAsia="zh-CN"/>
        </w:rPr>
        <w:t>。</w:t>
      </w:r>
      <w:r>
        <w:rPr>
          <w:rFonts w:ascii="Times New Roman" w:hAnsi="Times New Roman" w:eastAsia="宋体"/>
        </w:rPr>
        <w:t>高电压技术，2023，49(3</w:t>
      </w:r>
      <w:r>
        <w:rPr>
          <w:rFonts w:hint="eastAsia" w:ascii="Times New Roman" w:hAnsi="Times New Roman" w:eastAsia="宋体"/>
          <w:lang w:eastAsia="zh-CN"/>
        </w:rPr>
        <w:t>)</w:t>
      </w:r>
      <w:r>
        <w:rPr>
          <w:rFonts w:ascii="Times New Roman" w:hAnsi="Times New Roman" w:eastAsia="宋体"/>
        </w:rPr>
        <w:t>：1150-1160．</w:t>
      </w:r>
    </w:p>
    <w:p w14:paraId="510B992D">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[11] 赵炳耀，陈璟华，郭经韬，等</w:t>
      </w:r>
      <w:r>
        <w:rPr>
          <w:rFonts w:hint="eastAsia" w:ascii="Times New Roman" w:hAnsi="Times New Roman" w:eastAsia="宋体"/>
          <w:lang w:eastAsia="zh-CN"/>
        </w:rPr>
        <w:t>。</w:t>
      </w:r>
      <w:r>
        <w:rPr>
          <w:rFonts w:ascii="Times New Roman" w:hAnsi="Times New Roman" w:eastAsia="宋体"/>
        </w:rPr>
        <w:t>基于Voronoi图和改进引力搜索算法的电动汽车充电站选址定容[J]</w:t>
      </w:r>
      <w:r>
        <w:rPr>
          <w:rFonts w:hint="eastAsia" w:ascii="Times New Roman" w:hAnsi="Times New Roman" w:eastAsia="宋体"/>
          <w:lang w:eastAsia="zh-CN"/>
        </w:rPr>
        <w:t>。</w:t>
      </w:r>
      <w:r>
        <w:rPr>
          <w:rFonts w:ascii="Times New Roman" w:hAnsi="Times New Roman" w:eastAsia="宋体"/>
        </w:rPr>
        <w:t>广东工业大学学报，2021，38(3</w:t>
      </w:r>
      <w:r>
        <w:rPr>
          <w:rFonts w:hint="eastAsia" w:ascii="Times New Roman" w:hAnsi="Times New Roman" w:eastAsia="宋体"/>
          <w:lang w:eastAsia="zh-CN"/>
        </w:rPr>
        <w:t>)</w:t>
      </w:r>
      <w:r>
        <w:rPr>
          <w:rFonts w:ascii="Times New Roman" w:hAnsi="Times New Roman" w:eastAsia="宋体"/>
        </w:rPr>
        <w:t>：72-78．</w:t>
      </w:r>
    </w:p>
    <w:p w14:paraId="3D7EE407">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[12] 何晨可，朱继忠，刘云，等</w:t>
      </w:r>
      <w:r>
        <w:rPr>
          <w:rFonts w:hint="eastAsia" w:ascii="Times New Roman" w:hAnsi="Times New Roman" w:eastAsia="宋体"/>
          <w:lang w:eastAsia="zh-CN"/>
        </w:rPr>
        <w:t>。</w:t>
      </w:r>
      <w:r>
        <w:rPr>
          <w:rFonts w:ascii="Times New Roman" w:hAnsi="Times New Roman" w:eastAsia="宋体"/>
        </w:rPr>
        <w:t>计及碳减排的电动汽车充换储一体站与主动配电网协调规划[J]</w:t>
      </w:r>
      <w:r>
        <w:rPr>
          <w:rFonts w:hint="eastAsia" w:ascii="Times New Roman" w:hAnsi="Times New Roman" w:eastAsia="宋体"/>
          <w:lang w:eastAsia="zh-CN"/>
        </w:rPr>
        <w:t>。</w:t>
      </w:r>
      <w:r>
        <w:rPr>
          <w:rFonts w:ascii="Times New Roman" w:hAnsi="Times New Roman" w:eastAsia="宋体"/>
        </w:rPr>
        <w:t>电工技术学报，2022，37(1</w:t>
      </w:r>
      <w:r>
        <w:rPr>
          <w:rFonts w:hint="eastAsia" w:ascii="Times New Roman" w:hAnsi="Times New Roman" w:eastAsia="宋体"/>
          <w:lang w:eastAsia="zh-CN"/>
        </w:rPr>
        <w:t>)</w:t>
      </w:r>
      <w:r>
        <w:rPr>
          <w:rFonts w:ascii="Times New Roman" w:hAnsi="Times New Roman" w:eastAsia="宋体"/>
        </w:rPr>
        <w:t>：92-111．</w:t>
      </w:r>
    </w:p>
    <w:p w14:paraId="7AB47F2A">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[13] 梁璐，韩飞</w:t>
      </w:r>
      <w:r>
        <w:rPr>
          <w:rFonts w:hint="eastAsia" w:ascii="Times New Roman" w:hAnsi="Times New Roman" w:eastAsia="宋体"/>
          <w:lang w:eastAsia="zh-CN"/>
        </w:rPr>
        <w:t>。</w:t>
      </w:r>
      <w:r>
        <w:rPr>
          <w:rFonts w:ascii="Times New Roman" w:hAnsi="Times New Roman" w:eastAsia="宋体"/>
        </w:rPr>
        <w:t>考虑排队时间和充电成本的电动汽车充电站选址模型[J]</w:t>
      </w:r>
      <w:r>
        <w:rPr>
          <w:rFonts w:hint="eastAsia" w:ascii="Times New Roman" w:hAnsi="Times New Roman" w:eastAsia="宋体"/>
          <w:lang w:eastAsia="zh-CN"/>
        </w:rPr>
        <w:t>。</w:t>
      </w:r>
      <w:r>
        <w:rPr>
          <w:rFonts w:ascii="Times New Roman" w:hAnsi="Times New Roman" w:eastAsia="宋体"/>
        </w:rPr>
        <w:t>交通信息与安全，2023，41(4</w:t>
      </w:r>
      <w:r>
        <w:rPr>
          <w:rFonts w:hint="eastAsia" w:ascii="Times New Roman" w:hAnsi="Times New Roman" w:eastAsia="宋体"/>
          <w:lang w:eastAsia="zh-CN"/>
        </w:rPr>
        <w:t>)</w:t>
      </w:r>
      <w:r>
        <w:rPr>
          <w:rFonts w:ascii="Times New Roman" w:hAnsi="Times New Roman" w:eastAsia="宋体"/>
        </w:rPr>
        <w:t>：154-162．</w:t>
      </w:r>
    </w:p>
    <w:p w14:paraId="50B5A74A">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[14] 蔡海青，代伟，赵静怡，等</w:t>
      </w:r>
      <w:r>
        <w:rPr>
          <w:rFonts w:hint="eastAsia" w:ascii="Times New Roman" w:hAnsi="Times New Roman" w:eastAsia="宋体"/>
          <w:lang w:eastAsia="zh-CN"/>
        </w:rPr>
        <w:t>。</w:t>
      </w:r>
      <w:r>
        <w:rPr>
          <w:rFonts w:ascii="Times New Roman" w:hAnsi="Times New Roman" w:eastAsia="宋体"/>
        </w:rPr>
        <w:t>基于多参数规划的电动汽车充电站有效容量评估方法[J]</w:t>
      </w:r>
      <w:r>
        <w:rPr>
          <w:rFonts w:hint="eastAsia" w:ascii="Times New Roman" w:hAnsi="Times New Roman" w:eastAsia="宋体"/>
          <w:lang w:eastAsia="zh-CN"/>
        </w:rPr>
        <w:t>。</w:t>
      </w:r>
      <w:r>
        <w:rPr>
          <w:rFonts w:ascii="Times New Roman" w:hAnsi="Times New Roman" w:eastAsia="宋体"/>
        </w:rPr>
        <w:t>中国电力，2022，55(11</w:t>
      </w:r>
      <w:r>
        <w:rPr>
          <w:rFonts w:hint="eastAsia" w:ascii="Times New Roman" w:hAnsi="Times New Roman" w:eastAsia="宋体"/>
          <w:lang w:eastAsia="zh-CN"/>
        </w:rPr>
        <w:t>)</w:t>
      </w:r>
      <w:r>
        <w:rPr>
          <w:rFonts w:ascii="Times New Roman" w:hAnsi="Times New Roman" w:eastAsia="宋体"/>
        </w:rPr>
        <w:t>：175-183．</w:t>
      </w:r>
    </w:p>
    <w:p w14:paraId="3F59690C">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[15] 李英量，白博旭，朱琦，等</w:t>
      </w:r>
      <w:r>
        <w:rPr>
          <w:rFonts w:hint="eastAsia" w:ascii="Times New Roman" w:hAnsi="Times New Roman" w:eastAsia="宋体"/>
          <w:lang w:eastAsia="zh-CN"/>
        </w:rPr>
        <w:t>。</w:t>
      </w:r>
      <w:r>
        <w:rPr>
          <w:rFonts w:ascii="Times New Roman" w:hAnsi="Times New Roman" w:eastAsia="宋体"/>
        </w:rPr>
        <w:t>基于电动汽车充电站的不平衡配电网自愈及优化运行[J]</w:t>
      </w:r>
      <w:r>
        <w:rPr>
          <w:rFonts w:hint="eastAsia" w:ascii="Times New Roman" w:hAnsi="Times New Roman" w:eastAsia="宋体"/>
          <w:lang w:eastAsia="zh-CN"/>
        </w:rPr>
        <w:t>。</w:t>
      </w:r>
      <w:r>
        <w:rPr>
          <w:rFonts w:ascii="Times New Roman" w:hAnsi="Times New Roman" w:eastAsia="宋体"/>
        </w:rPr>
        <w:t>电力建设，2024，45(6</w:t>
      </w:r>
      <w:r>
        <w:rPr>
          <w:rFonts w:hint="eastAsia" w:ascii="Times New Roman" w:hAnsi="Times New Roman" w:eastAsia="宋体"/>
          <w:lang w:eastAsia="zh-CN"/>
        </w:rPr>
        <w:t>)</w:t>
      </w:r>
      <w:r>
        <w:rPr>
          <w:rFonts w:ascii="Times New Roman" w:hAnsi="Times New Roman" w:eastAsia="宋体"/>
        </w:rPr>
        <w:t>：37-46．</w:t>
      </w:r>
    </w:p>
    <w:p w14:paraId="73FEC606">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[16] 王伟贤，孙舟，潘鸣宇，等</w:t>
      </w:r>
      <w:r>
        <w:rPr>
          <w:rFonts w:hint="eastAsia" w:ascii="Times New Roman" w:hAnsi="Times New Roman" w:eastAsia="宋体"/>
          <w:lang w:eastAsia="zh-CN"/>
        </w:rPr>
        <w:t>。</w:t>
      </w:r>
      <w:r>
        <w:rPr>
          <w:rFonts w:ascii="Times New Roman" w:hAnsi="Times New Roman" w:eastAsia="宋体"/>
        </w:rPr>
        <w:t>基于模糊层次分析法的电动汽车充电桩信息安全风险评估方法[J]</w:t>
      </w:r>
      <w:r>
        <w:rPr>
          <w:rFonts w:hint="eastAsia" w:ascii="Times New Roman" w:hAnsi="Times New Roman" w:eastAsia="宋体"/>
          <w:lang w:eastAsia="zh-CN"/>
        </w:rPr>
        <w:t>。</w:t>
      </w:r>
      <w:r>
        <w:rPr>
          <w:rFonts w:ascii="Times New Roman" w:hAnsi="Times New Roman" w:eastAsia="宋体"/>
        </w:rPr>
        <w:t>中国电力，2021，54(1</w:t>
      </w:r>
      <w:r>
        <w:rPr>
          <w:rFonts w:hint="eastAsia" w:ascii="Times New Roman" w:hAnsi="Times New Roman" w:eastAsia="宋体"/>
          <w:lang w:eastAsia="zh-CN"/>
        </w:rPr>
        <w:t>)</w:t>
      </w:r>
      <w:r>
        <w:rPr>
          <w:rFonts w:ascii="Times New Roman" w:hAnsi="Times New Roman" w:eastAsia="宋体"/>
        </w:rPr>
        <w:t>：96-103．</w:t>
      </w:r>
    </w:p>
    <w:p w14:paraId="1AE5B68D">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[17] 张良，孙成龙，蔡国伟，等</w:t>
      </w:r>
      <w:r>
        <w:rPr>
          <w:rFonts w:hint="eastAsia" w:ascii="Times New Roman" w:hAnsi="Times New Roman" w:eastAsia="宋体"/>
          <w:lang w:eastAsia="zh-CN"/>
        </w:rPr>
        <w:t>。</w:t>
      </w:r>
      <w:r>
        <w:rPr>
          <w:rFonts w:ascii="Times New Roman" w:hAnsi="Times New Roman" w:eastAsia="宋体"/>
        </w:rPr>
        <w:t>基于PSO算法的电动汽车有序充放电两阶段优化策略[J]</w:t>
      </w:r>
      <w:r>
        <w:rPr>
          <w:rFonts w:hint="eastAsia" w:ascii="Times New Roman" w:hAnsi="Times New Roman" w:eastAsia="宋体"/>
          <w:lang w:eastAsia="zh-CN"/>
        </w:rPr>
        <w:t>。</w:t>
      </w:r>
      <w:r>
        <w:rPr>
          <w:rFonts w:ascii="Times New Roman" w:hAnsi="Times New Roman" w:eastAsia="宋体"/>
        </w:rPr>
        <w:t>中国电机工程学报，2022，42(5</w:t>
      </w:r>
      <w:r>
        <w:rPr>
          <w:rFonts w:hint="eastAsia" w:ascii="Times New Roman" w:hAnsi="Times New Roman" w:eastAsia="宋体"/>
          <w:lang w:eastAsia="zh-CN"/>
        </w:rPr>
        <w:t>)</w:t>
      </w:r>
      <w:r>
        <w:rPr>
          <w:rFonts w:ascii="Times New Roman" w:hAnsi="Times New Roman" w:eastAsia="宋体"/>
        </w:rPr>
        <w:t>：1837-1852．</w:t>
      </w:r>
    </w:p>
    <w:p w14:paraId="60CFDD9E">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[18] 林楷东，杨景旭，张勇军，等</w:t>
      </w:r>
      <w:r>
        <w:rPr>
          <w:rFonts w:hint="eastAsia" w:ascii="Times New Roman" w:hAnsi="Times New Roman" w:eastAsia="宋体"/>
          <w:lang w:eastAsia="zh-CN"/>
        </w:rPr>
        <w:t>。</w:t>
      </w:r>
      <w:r>
        <w:rPr>
          <w:rFonts w:ascii="Times New Roman" w:hAnsi="Times New Roman" w:eastAsia="宋体"/>
        </w:rPr>
        <w:t>双电源供电充电站的需求响应优化模型[J]</w:t>
      </w:r>
      <w:r>
        <w:rPr>
          <w:rFonts w:hint="eastAsia" w:ascii="Times New Roman" w:hAnsi="Times New Roman" w:eastAsia="宋体"/>
          <w:lang w:eastAsia="zh-CN"/>
        </w:rPr>
        <w:t>。</w:t>
      </w:r>
      <w:r>
        <w:rPr>
          <w:rFonts w:ascii="Times New Roman" w:hAnsi="Times New Roman" w:eastAsia="宋体"/>
        </w:rPr>
        <w:t>电力系统保护与控制，2022，50(17</w:t>
      </w:r>
      <w:r>
        <w:rPr>
          <w:rFonts w:hint="eastAsia" w:ascii="Times New Roman" w:hAnsi="Times New Roman" w:eastAsia="宋体"/>
          <w:lang w:eastAsia="zh-CN"/>
        </w:rPr>
        <w:t>)</w:t>
      </w:r>
      <w:r>
        <w:rPr>
          <w:rFonts w:ascii="Times New Roman" w:hAnsi="Times New Roman" w:eastAsia="宋体"/>
        </w:rPr>
        <w:t>：68-75．</w:t>
      </w:r>
    </w:p>
    <w:p w14:paraId="34A1EBE2">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[19] 李永竞，裴文卉</w:t>
      </w:r>
      <w:r>
        <w:rPr>
          <w:rFonts w:hint="eastAsia" w:ascii="Times New Roman" w:hAnsi="Times New Roman" w:eastAsia="宋体"/>
          <w:lang w:eastAsia="zh-CN"/>
        </w:rPr>
        <w:t>。</w:t>
      </w:r>
      <w:r>
        <w:rPr>
          <w:rFonts w:ascii="Times New Roman" w:hAnsi="Times New Roman" w:eastAsia="宋体"/>
        </w:rPr>
        <w:t>基于多源数据的充电站三阶段选址优化决策[J]</w:t>
      </w:r>
      <w:r>
        <w:rPr>
          <w:rFonts w:hint="eastAsia" w:ascii="Times New Roman" w:hAnsi="Times New Roman" w:eastAsia="宋体"/>
          <w:lang w:eastAsia="zh-CN"/>
        </w:rPr>
        <w:t>。</w:t>
      </w:r>
      <w:r>
        <w:rPr>
          <w:rFonts w:ascii="Times New Roman" w:hAnsi="Times New Roman" w:eastAsia="宋体"/>
        </w:rPr>
        <w:t>控制工程，2023，30(9</w:t>
      </w:r>
      <w:r>
        <w:rPr>
          <w:rFonts w:hint="eastAsia" w:ascii="Times New Roman" w:hAnsi="Times New Roman" w:eastAsia="宋体"/>
          <w:lang w:eastAsia="zh-CN"/>
        </w:rPr>
        <w:t>)</w:t>
      </w:r>
      <w:r>
        <w:rPr>
          <w:rFonts w:ascii="Times New Roman" w:hAnsi="Times New Roman" w:eastAsia="宋体"/>
        </w:rPr>
        <w:t>：1648-1657．</w:t>
      </w:r>
    </w:p>
    <w:p w14:paraId="5DB01A2D">
      <w:pPr>
        <w:snapToGrid/>
        <w:spacing w:beforeAutospacing="0" w:afterAutospacing="0" w:line="360" w:lineRule="auto"/>
        <w:ind w:left="0" w:leftChars="0" w:right="0" w:rightChars="0" w:firstLine="420" w:firstLineChars="200"/>
        <w:jc w:val="both"/>
        <w:rPr>
          <w:rFonts w:ascii="Times New Roman" w:eastAsia="宋体"/>
          <w:sz w:val="24"/>
        </w:rPr>
      </w:pPr>
      <w:r>
        <w:rPr>
          <w:rFonts w:ascii="Times New Roman" w:hAnsi="Times New Roman" w:eastAsia="宋体"/>
        </w:rPr>
        <w:t>[20] 赵峰，李建霞，高锋阳</w:t>
      </w:r>
      <w:r>
        <w:rPr>
          <w:rFonts w:hint="eastAsia" w:ascii="Times New Roman" w:hAnsi="Times New Roman" w:eastAsia="宋体"/>
          <w:lang w:eastAsia="zh-CN"/>
        </w:rPr>
        <w:t>。</w:t>
      </w:r>
      <w:r>
        <w:rPr>
          <w:rFonts w:ascii="Times New Roman" w:hAnsi="Times New Roman" w:eastAsia="宋体"/>
        </w:rPr>
        <w:t>考虑不确定性的高速公路光储充电站选址定容[J]</w:t>
      </w:r>
      <w:r>
        <w:rPr>
          <w:rFonts w:hint="eastAsia" w:ascii="Times New Roman" w:hAnsi="Times New Roman" w:eastAsia="宋体"/>
          <w:lang w:eastAsia="zh-CN"/>
        </w:rPr>
        <w:t>。</w:t>
      </w:r>
      <w:r>
        <w:rPr>
          <w:rFonts w:ascii="Times New Roman" w:hAnsi="Times New Roman" w:eastAsia="宋体"/>
        </w:rPr>
        <w:t>电力自动化设备，2021，41(8</w:t>
      </w:r>
      <w:r>
        <w:rPr>
          <w:rFonts w:hint="eastAsia" w:ascii="Times New Roman" w:hAnsi="Times New Roman" w:eastAsia="宋体"/>
          <w:lang w:eastAsia="zh-CN"/>
        </w:rPr>
        <w:t>)</w:t>
      </w:r>
      <w:r>
        <w:rPr>
          <w:rFonts w:ascii="Times New Roman" w:hAnsi="Times New Roman" w:eastAsia="宋体"/>
        </w:rPr>
        <w:t>：111．</w:t>
      </w:r>
    </w:p>
    <w:p w14:paraId="1E955F3E">
      <w:pPr>
        <w:snapToGrid/>
        <w:spacing w:beforeAutospacing="0" w:afterAutospacing="0" w:line="360" w:lineRule="auto"/>
        <w:ind w:left="0" w:leftChars="0" w:right="0" w:rightChars="0" w:firstLine="420" w:firstLineChars="200"/>
        <w:jc w:val="both"/>
        <w:rPr>
          <w:rFonts w:ascii="Times New Roman" w:eastAsia="宋体"/>
          <w:sz w:val="24"/>
        </w:rPr>
      </w:pPr>
      <w:r>
        <w:t>[21] MA H, PEI W, ZHANG Q, et al. Location of electric vehicle charging stations based on game theory[J]. World Electric Vehicle Journal, 2023, 14(5): 128.</w:t>
      </w:r>
    </w:p>
    <w:p w14:paraId="5477EA98">
      <w:pPr>
        <w:snapToGrid/>
        <w:spacing w:beforeAutospacing="0" w:afterAutospacing="0" w:line="360" w:lineRule="auto"/>
        <w:ind w:left="0" w:leftChars="0" w:right="0" w:rightChars="0" w:firstLine="420" w:firstLineChars="200"/>
        <w:jc w:val="both"/>
        <w:rPr>
          <w:rFonts w:ascii="Times New Roman" w:eastAsia="宋体"/>
          <w:sz w:val="24"/>
        </w:rPr>
      </w:pPr>
      <w:r>
        <w:t>[22] ZHAO H, GAO J, CHENG X. Electric vehicle solar charging station siting study based on GIS and multi-criteria decision-making: A case study of China[J]. Sustainability, 2023, 15(14): 10967.</w:t>
      </w:r>
    </w:p>
    <w:p w14:paraId="53A2CDA1">
      <w:pPr>
        <w:snapToGrid/>
        <w:spacing w:beforeAutospacing="0" w:afterAutospacing="0" w:line="360" w:lineRule="auto"/>
        <w:ind w:left="0" w:leftChars="0" w:right="0" w:rightChars="0" w:firstLine="420" w:firstLineChars="200"/>
        <w:jc w:val="both"/>
        <w:rPr>
          <w:rFonts w:ascii="Times New Roman" w:eastAsia="宋体"/>
          <w:sz w:val="24"/>
        </w:rPr>
      </w:pPr>
      <w:r>
        <w:t>[23] AHMAD F, IQBAL A, ASHRAF I, et al. Optimal location of electric vehicle charging station and its impact on distribution network: A review[J]. Energy Reports, 2022, 8: 2314-2333.</w:t>
      </w:r>
    </w:p>
    <w:p w14:paraId="4194955D">
      <w:pPr>
        <w:snapToGrid/>
        <w:spacing w:beforeAutospacing="0" w:afterAutospacing="0" w:line="360" w:lineRule="auto"/>
        <w:ind w:left="0" w:leftChars="0" w:right="0" w:rightChars="0" w:firstLine="420" w:firstLineChars="200"/>
        <w:jc w:val="both"/>
        <w:rPr>
          <w:rFonts w:ascii="Times New Roman" w:eastAsia="宋体"/>
          <w:sz w:val="24"/>
        </w:rPr>
      </w:pPr>
      <w:r>
        <w:t>[24] KCHAOU-BOUJELBEN M. Charging station location problem: A comprehensive review on models and solution approaches[J]. Transportation Research Part C: Emerging Technologies, 2021, 132: 103376.</w:t>
      </w:r>
    </w:p>
    <w:p w14:paraId="0C2E9CB5">
      <w:pPr>
        <w:snapToGrid/>
        <w:spacing w:beforeAutospacing="0" w:afterAutospacing="0" w:line="360" w:lineRule="auto"/>
        <w:ind w:left="0" w:leftChars="0" w:right="0" w:rightChars="0" w:firstLine="420" w:firstLineChars="200"/>
        <w:jc w:val="both"/>
        <w:rPr>
          <w:rFonts w:ascii="Times New Roman" w:eastAsia="宋体"/>
          <w:sz w:val="24"/>
        </w:rPr>
      </w:pPr>
      <w:r>
        <w:t>[25] UNTERLUGGAUER T, RICH J, ANDERSEN P B, et al. Electric vehicle charging infrastructure planning for integrated transportation and power distribution networks: A review[J]. eTransportation, 2022, 12: 100163.</w:t>
      </w:r>
    </w:p>
    <w:p w14:paraId="45B47C3F">
      <w:pPr>
        <w:snapToGrid/>
        <w:spacing w:beforeAutospacing="0" w:afterAutospacing="0" w:line="360" w:lineRule="auto"/>
        <w:ind w:left="0" w:leftChars="0" w:right="0" w:rightChars="0" w:firstLine="420" w:firstLineChars="200"/>
        <w:jc w:val="both"/>
        <w:rPr>
          <w:rFonts w:ascii="Times New Roman" w:eastAsia="宋体"/>
          <w:sz w:val="24"/>
        </w:rPr>
      </w:pPr>
      <w:r>
        <w:t>[26] ZHOU G, ZHU Z, LUO S. Location optimization of electric vehicle charging stations: Based on cost model and genetic algorithm[J]. Energy, 2022, 247: 123437.</w:t>
      </w:r>
    </w:p>
    <w:p w14:paraId="24CA3F1C">
      <w:pPr>
        <w:snapToGrid/>
        <w:spacing w:beforeAutospacing="0" w:afterAutospacing="0" w:line="360" w:lineRule="auto"/>
        <w:ind w:left="0" w:leftChars="0" w:right="0" w:rightChars="0" w:firstLine="420" w:firstLineChars="200"/>
        <w:jc w:val="both"/>
        <w:rPr>
          <w:rFonts w:ascii="Times New Roman" w:eastAsia="宋体"/>
          <w:sz w:val="24"/>
        </w:rPr>
      </w:pPr>
      <w:r>
        <w:t>[27] LI Y, PEI W, ZHANG Q, et al. Optimal layout of electric vehicle charging station locations considering dynamic charging demand[J]. Electronics, 2023, 12(8): 1818.</w:t>
      </w:r>
    </w:p>
    <w:p w14:paraId="1B152991">
      <w:pPr>
        <w:snapToGrid/>
        <w:spacing w:beforeAutospacing="0" w:afterAutospacing="0" w:line="360" w:lineRule="auto"/>
        <w:ind w:left="0" w:leftChars="0" w:right="0" w:rightChars="0" w:firstLine="420" w:firstLineChars="200"/>
        <w:jc w:val="both"/>
        <w:rPr>
          <w:rFonts w:ascii="Times New Roman" w:eastAsia="宋体"/>
          <w:sz w:val="24"/>
        </w:rPr>
      </w:pPr>
      <w:r>
        <w:t>[28] HU D, CAI S, LIU Z W, et al. Electric vehicle charging infrastructure location optimization with mixed and forecasted charging requirements[J]. Complexity, 2023: 9567183.</w:t>
      </w:r>
    </w:p>
    <w:p w14:paraId="591E771D">
      <w:pPr>
        <w:snapToGrid/>
        <w:spacing w:beforeAutospacing="0" w:afterAutospacing="0" w:line="360" w:lineRule="auto"/>
        <w:ind w:left="0" w:leftChars="0" w:right="0" w:rightChars="0" w:firstLine="420" w:firstLineChars="200"/>
        <w:jc w:val="both"/>
        <w:rPr>
          <w:rFonts w:ascii="Times New Roman" w:eastAsia="宋体"/>
          <w:sz w:val="24"/>
        </w:rPr>
      </w:pPr>
      <w:r>
        <w:t>[29] YU Z, WU Z, LI Q, et al. A map matching-based method for electric vehicle charging station placement at directional road segment level[J]. Sustainable Cities and Society, 2022, 84: 103987.</w:t>
      </w:r>
    </w:p>
    <w:p w14:paraId="7EA08A8D">
      <w:pPr>
        <w:snapToGrid/>
        <w:spacing w:beforeAutospacing="0" w:afterAutospacing="0" w:line="360" w:lineRule="auto"/>
        <w:ind w:left="0" w:leftChars="0" w:right="0" w:rightChars="0" w:firstLine="420" w:firstLineChars="200"/>
        <w:jc w:val="both"/>
        <w:rPr>
          <w:rFonts w:ascii="Times New Roman" w:eastAsia="宋体"/>
          <w:sz w:val="24"/>
        </w:rPr>
      </w:pPr>
      <w:r>
        <w:t>[30] MOHAMMED A, SAIF O, ABO-ADMA M A, et al. Multiobjective optimization for sizing and placing electric vehicle charging stations considering comprehensive uncertainties[J]. Energy Informatics, 2024, 7: 131.</w:t>
      </w:r>
    </w:p>
    <w:p w14:paraId="5C6CE964">
      <w:pPr>
        <w:snapToGrid/>
        <w:spacing w:beforeAutospacing="0" w:afterAutospacing="0" w:line="360" w:lineRule="auto"/>
        <w:ind w:left="0" w:leftChars="0" w:right="0" w:rightChars="0" w:firstLine="480" w:firstLineChars="200"/>
        <w:jc w:val="both"/>
        <w:rPr>
          <w:rFonts w:ascii="Times New Roman" w:hAnsi="宋体" w:eastAsia="宋体" w:cs="AdobeSongStd-Light"/>
          <w:b/>
          <w:kern w:val="0"/>
          <w:sz w:val="24"/>
          <w:szCs w:val="28"/>
        </w:rPr>
      </w:pPr>
    </w:p>
    <w:p w14:paraId="13A3196B">
      <w:pPr>
        <w:snapToGrid/>
        <w:spacing w:beforeAutospacing="0" w:afterAutospacing="0" w:line="360" w:lineRule="auto"/>
        <w:ind w:left="0" w:leftChars="0" w:right="0" w:rightChars="0" w:firstLine="480" w:firstLineChars="200"/>
        <w:jc w:val="both"/>
        <w:rPr>
          <w:rFonts w:ascii="Times New Roman" w:hAnsi="宋体" w:eastAsia="宋体" w:cs="AdobeSongStd-Light"/>
          <w:b/>
          <w:kern w:val="0"/>
          <w:sz w:val="24"/>
          <w:szCs w:val="28"/>
        </w:rPr>
      </w:pPr>
    </w:p>
    <w:p w14:paraId="5E1C3FDD">
      <w:pPr>
        <w:snapToGrid/>
        <w:spacing w:beforeAutospacing="0" w:afterAutospacing="0" w:line="360" w:lineRule="auto"/>
        <w:ind w:left="0" w:leftChars="0" w:right="0" w:rightChars="0" w:firstLine="480" w:firstLineChars="200"/>
        <w:jc w:val="both"/>
        <w:rPr>
          <w:rFonts w:ascii="Times New Roman" w:hAnsi="宋体" w:eastAsia="宋体" w:cs="AdobeSongStd-Light"/>
          <w:b/>
          <w:kern w:val="0"/>
          <w:sz w:val="24"/>
          <w:szCs w:val="28"/>
        </w:rPr>
      </w:pPr>
    </w:p>
    <w:p w14:paraId="3EE867C8">
      <w:pPr>
        <w:jc w:val="center"/>
        <w:rPr>
          <w:rFonts w:ascii="宋体" w:hAnsi="宋体" w:eastAsia="宋体" w:cs="AdobeSongStd-Light"/>
          <w:b/>
          <w:kern w:val="0"/>
          <w:sz w:val="28"/>
          <w:szCs w:val="28"/>
        </w:rPr>
      </w:pPr>
      <w:r>
        <w:rPr>
          <w:rFonts w:hint="eastAsia" w:ascii="宋体" w:hAnsi="宋体" w:eastAsia="宋体" w:cs="AdobeSongStd-Light"/>
          <w:b/>
          <w:kern w:val="0"/>
          <w:sz w:val="28"/>
          <w:szCs w:val="28"/>
        </w:rPr>
        <w:t>南京大学工程管理学院</w:t>
      </w:r>
    </w:p>
    <w:p w14:paraId="2FBC7DD6">
      <w:pPr>
        <w:jc w:val="center"/>
        <w:rPr>
          <w:rFonts w:ascii="AdobeSongStd-Light" w:eastAsia="AdobeSongStd-Light" w:cs="AdobeSongStd-Light"/>
          <w:kern w:val="0"/>
          <w:sz w:val="34"/>
          <w:szCs w:val="34"/>
        </w:rPr>
      </w:pPr>
      <w:r>
        <w:rPr>
          <w:rFonts w:hint="eastAsia" w:ascii="宋体" w:hAnsi="宋体" w:eastAsia="宋体" w:cs="AdobeSongStd-Light"/>
          <w:b/>
          <w:kern w:val="0"/>
          <w:sz w:val="28"/>
          <w:szCs w:val="28"/>
        </w:rPr>
        <w:t>工程管理专业学位论文</w:t>
      </w:r>
      <w:r>
        <w:rPr>
          <w:rFonts w:ascii="宋体" w:hAnsi="宋体" w:eastAsia="宋体" w:cs="AdobeSongStd-Light"/>
          <w:b/>
          <w:kern w:val="0"/>
          <w:sz w:val="28"/>
          <w:szCs w:val="28"/>
        </w:rPr>
        <w:t>中期</w:t>
      </w:r>
      <w:r>
        <w:rPr>
          <w:rFonts w:hint="eastAsia" w:ascii="宋体" w:hAnsi="宋体" w:eastAsia="宋体" w:cs="AdobeSongStd-Light"/>
          <w:b/>
          <w:kern w:val="0"/>
          <w:sz w:val="28"/>
          <w:szCs w:val="28"/>
        </w:rPr>
        <w:t>报告初稿审查表</w:t>
      </w:r>
    </w:p>
    <w:tbl>
      <w:tblPr>
        <w:tblStyle w:val="7"/>
        <w:tblW w:w="9832" w:type="dxa"/>
        <w:tblInd w:w="-8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1476"/>
        <w:gridCol w:w="688"/>
        <w:gridCol w:w="408"/>
        <w:gridCol w:w="673"/>
        <w:gridCol w:w="1928"/>
        <w:gridCol w:w="831"/>
        <w:gridCol w:w="472"/>
        <w:gridCol w:w="740"/>
        <w:gridCol w:w="1391"/>
      </w:tblGrid>
      <w:tr w14:paraId="7AB2F723">
        <w:tc>
          <w:tcPr>
            <w:tcW w:w="1225" w:type="dxa"/>
            <w:noWrap w:val="0"/>
            <w:vAlign w:val="top"/>
          </w:tcPr>
          <w:p w14:paraId="7D7BC684">
            <w:pPr>
              <w:spacing w:line="360" w:lineRule="exact"/>
              <w:jc w:val="center"/>
              <w:rPr>
                <w:rFonts w:hint="eastAsia" w:ascii="宋体" w:hAnsi="宋体" w:eastAsia="宋体"/>
                <w:szCs w:val="21"/>
              </w:rPr>
            </w:pPr>
            <w:r>
              <w:rPr>
                <w:rFonts w:hint="eastAsia" w:ascii="宋体" w:hAnsi="宋体" w:eastAsia="宋体"/>
                <w:szCs w:val="21"/>
              </w:rPr>
              <w:t>学号</w:t>
            </w:r>
          </w:p>
        </w:tc>
        <w:tc>
          <w:tcPr>
            <w:tcW w:w="1476" w:type="dxa"/>
            <w:noWrap w:val="0"/>
            <w:vAlign w:val="top"/>
          </w:tcPr>
          <w:p w14:paraId="25117B22">
            <w:pPr>
              <w:spacing w:line="360" w:lineRule="exact"/>
              <w:jc w:val="center"/>
              <w:rPr>
                <w:rFonts w:hint="eastAsia" w:ascii="宋体" w:hAnsi="宋体" w:eastAsia="宋体"/>
                <w:szCs w:val="21"/>
              </w:rPr>
            </w:pPr>
            <w:r>
              <w:rPr>
                <w:rFonts w:hint="eastAsia" w:ascii="宋体" w:hAnsi="宋体" w:eastAsia="宋体"/>
                <w:szCs w:val="21"/>
              </w:rPr>
              <w:t>532024150155</w:t>
            </w:r>
          </w:p>
        </w:tc>
        <w:tc>
          <w:tcPr>
            <w:tcW w:w="688" w:type="dxa"/>
            <w:noWrap w:val="0"/>
            <w:vAlign w:val="top"/>
          </w:tcPr>
          <w:p w14:paraId="32FE4527">
            <w:pPr>
              <w:spacing w:line="360" w:lineRule="exact"/>
              <w:jc w:val="center"/>
              <w:rPr>
                <w:rFonts w:hint="eastAsia" w:ascii="宋体" w:hAnsi="宋体" w:eastAsia="宋体"/>
                <w:szCs w:val="21"/>
              </w:rPr>
            </w:pPr>
            <w:r>
              <w:rPr>
                <w:rFonts w:hint="eastAsia" w:ascii="宋体" w:hAnsi="宋体" w:eastAsia="宋体"/>
                <w:szCs w:val="21"/>
              </w:rPr>
              <w:t>姓名</w:t>
            </w:r>
          </w:p>
        </w:tc>
        <w:tc>
          <w:tcPr>
            <w:tcW w:w="1081" w:type="dxa"/>
            <w:gridSpan w:val="2"/>
            <w:noWrap w:val="0"/>
            <w:vAlign w:val="top"/>
          </w:tcPr>
          <w:p w14:paraId="0BA300FC">
            <w:pPr>
              <w:spacing w:line="360" w:lineRule="exact"/>
              <w:jc w:val="center"/>
              <w:rPr>
                <w:rFonts w:hint="eastAsia" w:ascii="宋体" w:hAnsi="宋体" w:eastAsia="宋体"/>
                <w:szCs w:val="21"/>
                <w:lang w:val="en-US" w:eastAsia="zh-CN"/>
              </w:rPr>
            </w:pPr>
            <w:r>
              <w:rPr>
                <w:rFonts w:hint="eastAsia" w:ascii="宋体" w:hAnsi="宋体" w:eastAsia="宋体"/>
                <w:szCs w:val="21"/>
                <w:lang w:val="en-US" w:eastAsia="zh-CN"/>
              </w:rPr>
              <w:t>于琮源</w:t>
            </w:r>
          </w:p>
        </w:tc>
        <w:tc>
          <w:tcPr>
            <w:tcW w:w="1928" w:type="dxa"/>
            <w:noWrap w:val="0"/>
            <w:vAlign w:val="top"/>
          </w:tcPr>
          <w:p w14:paraId="2407ADF3">
            <w:pPr>
              <w:spacing w:line="360" w:lineRule="exact"/>
              <w:jc w:val="center"/>
              <w:rPr>
                <w:rFonts w:hint="eastAsia" w:ascii="宋体" w:hAnsi="宋体" w:eastAsia="宋体"/>
                <w:szCs w:val="21"/>
              </w:rPr>
            </w:pPr>
            <w:r>
              <w:rPr>
                <w:rFonts w:hint="eastAsia" w:ascii="宋体" w:hAnsi="宋体" w:eastAsia="宋体"/>
                <w:szCs w:val="21"/>
              </w:rPr>
              <w:t>班级</w:t>
            </w:r>
          </w:p>
        </w:tc>
        <w:tc>
          <w:tcPr>
            <w:tcW w:w="831" w:type="dxa"/>
            <w:noWrap w:val="0"/>
            <w:vAlign w:val="top"/>
          </w:tcPr>
          <w:p w14:paraId="0C01BC1A">
            <w:pPr>
              <w:spacing w:line="360" w:lineRule="exact"/>
              <w:jc w:val="center"/>
              <w:rPr>
                <w:rFonts w:hint="default" w:ascii="宋体" w:hAnsi="宋体" w:eastAsia="宋体"/>
                <w:szCs w:val="21"/>
                <w:lang w:val="en-US" w:eastAsia="zh-CN"/>
              </w:rPr>
            </w:pPr>
            <w:r>
              <w:rPr>
                <w:rFonts w:hint="eastAsia" w:ascii="宋体" w:hAnsi="宋体" w:eastAsia="宋体"/>
                <w:szCs w:val="21"/>
                <w:lang w:val="en-US" w:eastAsia="zh-CN"/>
              </w:rPr>
              <w:t>南京一班</w:t>
            </w:r>
          </w:p>
        </w:tc>
        <w:tc>
          <w:tcPr>
            <w:tcW w:w="1212" w:type="dxa"/>
            <w:gridSpan w:val="2"/>
            <w:noWrap w:val="0"/>
            <w:vAlign w:val="top"/>
          </w:tcPr>
          <w:p w14:paraId="3D47D3E7">
            <w:pPr>
              <w:spacing w:line="360" w:lineRule="exact"/>
              <w:jc w:val="center"/>
              <w:rPr>
                <w:rFonts w:hint="eastAsia" w:ascii="宋体" w:hAnsi="宋体" w:eastAsia="宋体"/>
                <w:szCs w:val="21"/>
              </w:rPr>
            </w:pPr>
            <w:r>
              <w:rPr>
                <w:rFonts w:hint="eastAsia" w:ascii="宋体" w:hAnsi="宋体" w:eastAsia="宋体"/>
                <w:szCs w:val="21"/>
              </w:rPr>
              <w:t>联系方式</w:t>
            </w:r>
          </w:p>
        </w:tc>
        <w:tc>
          <w:tcPr>
            <w:tcW w:w="1391" w:type="dxa"/>
            <w:noWrap w:val="0"/>
            <w:vAlign w:val="top"/>
          </w:tcPr>
          <w:p w14:paraId="2E5C35E4">
            <w:pPr>
              <w:spacing w:line="360" w:lineRule="exact"/>
              <w:jc w:val="center"/>
              <w:rPr>
                <w:rFonts w:hint="default" w:ascii="宋体" w:hAnsi="宋体" w:eastAsia="宋体"/>
                <w:szCs w:val="21"/>
                <w:lang w:val="en-US" w:eastAsia="zh-CN"/>
              </w:rPr>
            </w:pPr>
            <w:r>
              <w:rPr>
                <w:rFonts w:hint="eastAsia" w:ascii="宋体" w:hAnsi="宋体" w:eastAsia="宋体"/>
                <w:szCs w:val="21"/>
                <w:lang w:val="en-US" w:eastAsia="zh-CN"/>
              </w:rPr>
              <w:t>15150540418</w:t>
            </w:r>
          </w:p>
        </w:tc>
      </w:tr>
      <w:tr w14:paraId="0BBB2D0E">
        <w:tc>
          <w:tcPr>
            <w:tcW w:w="1225" w:type="dxa"/>
            <w:noWrap w:val="0"/>
            <w:vAlign w:val="top"/>
          </w:tcPr>
          <w:p w14:paraId="0388BC41">
            <w:pPr>
              <w:spacing w:line="360" w:lineRule="exact"/>
              <w:jc w:val="center"/>
              <w:rPr>
                <w:rFonts w:hint="eastAsia" w:ascii="宋体" w:hAnsi="宋体" w:eastAsia="宋体"/>
                <w:szCs w:val="21"/>
              </w:rPr>
            </w:pPr>
            <w:r>
              <w:rPr>
                <w:rFonts w:hint="eastAsia" w:ascii="宋体" w:hAnsi="宋体" w:eastAsia="宋体"/>
                <w:szCs w:val="21"/>
              </w:rPr>
              <w:t>现工作单位</w:t>
            </w:r>
          </w:p>
        </w:tc>
        <w:tc>
          <w:tcPr>
            <w:tcW w:w="3245" w:type="dxa"/>
            <w:gridSpan w:val="4"/>
            <w:noWrap w:val="0"/>
            <w:vAlign w:val="top"/>
          </w:tcPr>
          <w:p w14:paraId="214766EA">
            <w:pPr>
              <w:spacing w:line="360" w:lineRule="exact"/>
              <w:jc w:val="center"/>
              <w:rPr>
                <w:rFonts w:hint="default" w:ascii="宋体" w:hAnsi="宋体" w:eastAsia="宋体"/>
                <w:szCs w:val="21"/>
                <w:lang w:val="en-US" w:eastAsia="zh-CN"/>
              </w:rPr>
            </w:pPr>
            <w:r>
              <w:rPr>
                <w:rFonts w:hint="eastAsia" w:ascii="宋体" w:hAnsi="宋体"/>
                <w:szCs w:val="21"/>
              </w:rPr>
              <w:t>南京市琮琳信息科技有限公司</w:t>
            </w:r>
          </w:p>
        </w:tc>
        <w:tc>
          <w:tcPr>
            <w:tcW w:w="1928" w:type="dxa"/>
            <w:noWrap w:val="0"/>
            <w:vAlign w:val="top"/>
          </w:tcPr>
          <w:p w14:paraId="44B9360F">
            <w:pPr>
              <w:spacing w:line="360" w:lineRule="exact"/>
              <w:jc w:val="center"/>
              <w:rPr>
                <w:rFonts w:hint="eastAsia" w:ascii="宋体" w:hAnsi="宋体" w:eastAsia="宋体"/>
                <w:szCs w:val="21"/>
              </w:rPr>
            </w:pPr>
            <w:r>
              <w:rPr>
                <w:rFonts w:hint="eastAsia" w:ascii="宋体" w:hAnsi="宋体" w:eastAsia="宋体"/>
                <w:szCs w:val="21"/>
              </w:rPr>
              <w:t>职称/职务</w:t>
            </w:r>
          </w:p>
        </w:tc>
        <w:tc>
          <w:tcPr>
            <w:tcW w:w="3434" w:type="dxa"/>
            <w:gridSpan w:val="4"/>
            <w:noWrap w:val="0"/>
            <w:vAlign w:val="top"/>
          </w:tcPr>
          <w:p w14:paraId="29FA4677">
            <w:pPr>
              <w:spacing w:line="360" w:lineRule="exact"/>
              <w:jc w:val="center"/>
              <w:rPr>
                <w:rFonts w:hint="default" w:ascii="宋体" w:hAnsi="宋体" w:eastAsia="宋体"/>
                <w:szCs w:val="21"/>
                <w:lang w:val="en-US" w:eastAsia="zh-CN"/>
              </w:rPr>
            </w:pPr>
            <w:r>
              <w:rPr>
                <w:rFonts w:hint="default" w:ascii="宋体" w:hAnsi="宋体"/>
                <w:szCs w:val="21"/>
                <w:lang w:val="en-US"/>
              </w:rPr>
              <w:t>副</w:t>
            </w:r>
            <w:r>
              <w:rPr>
                <w:rFonts w:hint="eastAsia" w:ascii="宋体" w:hAnsi="宋体"/>
                <w:szCs w:val="21"/>
              </w:rPr>
              <w:t>总经理</w:t>
            </w:r>
          </w:p>
        </w:tc>
      </w:tr>
      <w:tr w14:paraId="22D28D80">
        <w:tc>
          <w:tcPr>
            <w:tcW w:w="1225" w:type="dxa"/>
            <w:noWrap w:val="0"/>
            <w:vAlign w:val="top"/>
          </w:tcPr>
          <w:p w14:paraId="6D93A8B5">
            <w:pPr>
              <w:spacing w:line="360" w:lineRule="exact"/>
              <w:jc w:val="center"/>
              <w:rPr>
                <w:rFonts w:hint="eastAsia" w:ascii="宋体" w:hAnsi="宋体" w:eastAsia="宋体"/>
                <w:szCs w:val="21"/>
              </w:rPr>
            </w:pPr>
            <w:r>
              <w:rPr>
                <w:rFonts w:hint="eastAsia" w:ascii="宋体" w:hAnsi="宋体" w:eastAsia="宋体"/>
                <w:szCs w:val="21"/>
              </w:rPr>
              <w:t>工作性质</w:t>
            </w:r>
          </w:p>
        </w:tc>
        <w:tc>
          <w:tcPr>
            <w:tcW w:w="3245" w:type="dxa"/>
            <w:gridSpan w:val="4"/>
            <w:noWrap w:val="0"/>
            <w:vAlign w:val="top"/>
          </w:tcPr>
          <w:p w14:paraId="0A4FA595">
            <w:pPr>
              <w:spacing w:line="360" w:lineRule="exact"/>
              <w:jc w:val="center"/>
              <w:rPr>
                <w:rFonts w:hint="default" w:ascii="宋体" w:hAnsi="宋体" w:eastAsia="宋体"/>
                <w:szCs w:val="21"/>
                <w:lang w:val="en-US" w:eastAsia="zh-CN"/>
              </w:rPr>
            </w:pPr>
            <w:r>
              <w:rPr>
                <w:rFonts w:hint="eastAsia" w:ascii="宋体" w:hAnsi="宋体"/>
                <w:szCs w:val="21"/>
              </w:rPr>
              <w:t>项目管理</w:t>
            </w:r>
          </w:p>
        </w:tc>
        <w:tc>
          <w:tcPr>
            <w:tcW w:w="1928" w:type="dxa"/>
            <w:noWrap w:val="0"/>
            <w:vAlign w:val="top"/>
          </w:tcPr>
          <w:p w14:paraId="1D55EE3D">
            <w:pPr>
              <w:spacing w:line="360" w:lineRule="exact"/>
              <w:jc w:val="center"/>
              <w:rPr>
                <w:rFonts w:hint="eastAsia" w:ascii="宋体" w:hAnsi="宋体" w:eastAsia="宋体"/>
                <w:szCs w:val="21"/>
              </w:rPr>
            </w:pPr>
            <w:r>
              <w:rPr>
                <w:rFonts w:hint="eastAsia" w:ascii="宋体" w:hAnsi="宋体" w:eastAsia="宋体"/>
                <w:szCs w:val="21"/>
              </w:rPr>
              <w:t>最后学位/学历</w:t>
            </w:r>
          </w:p>
        </w:tc>
        <w:tc>
          <w:tcPr>
            <w:tcW w:w="3434" w:type="dxa"/>
            <w:gridSpan w:val="4"/>
            <w:noWrap w:val="0"/>
            <w:vAlign w:val="top"/>
          </w:tcPr>
          <w:p w14:paraId="1FC4A0F9">
            <w:pPr>
              <w:spacing w:line="360" w:lineRule="exact"/>
              <w:ind w:firstLine="1470" w:firstLineChars="700"/>
              <w:jc w:val="left"/>
              <w:rPr>
                <w:rFonts w:hint="eastAsia" w:ascii="宋体" w:hAnsi="宋体" w:eastAsia="宋体"/>
                <w:szCs w:val="21"/>
                <w:lang w:val="en-US" w:eastAsia="zh-CN"/>
              </w:rPr>
            </w:pPr>
            <w:r>
              <w:rPr>
                <w:rFonts w:hint="eastAsia" w:ascii="宋体" w:hAnsi="宋体" w:eastAsia="宋体"/>
                <w:szCs w:val="21"/>
                <w:lang w:val="en-US" w:eastAsia="zh-CN"/>
              </w:rPr>
              <w:t>本科</w:t>
            </w:r>
          </w:p>
        </w:tc>
      </w:tr>
      <w:tr w14:paraId="16215CE9">
        <w:tc>
          <w:tcPr>
            <w:tcW w:w="1225" w:type="dxa"/>
            <w:noWrap w:val="0"/>
            <w:vAlign w:val="top"/>
          </w:tcPr>
          <w:p w14:paraId="6A97B84B">
            <w:pPr>
              <w:spacing w:line="360" w:lineRule="exact"/>
              <w:jc w:val="center"/>
              <w:rPr>
                <w:rFonts w:hint="eastAsia" w:ascii="宋体" w:hAnsi="宋体" w:eastAsia="宋体"/>
                <w:szCs w:val="21"/>
              </w:rPr>
            </w:pPr>
            <w:r>
              <w:rPr>
                <w:rFonts w:hint="eastAsia" w:ascii="宋体" w:hAnsi="宋体" w:eastAsia="宋体"/>
                <w:szCs w:val="21"/>
              </w:rPr>
              <w:t>研究方向</w:t>
            </w:r>
          </w:p>
        </w:tc>
        <w:tc>
          <w:tcPr>
            <w:tcW w:w="3245" w:type="dxa"/>
            <w:gridSpan w:val="4"/>
            <w:noWrap w:val="0"/>
            <w:vAlign w:val="top"/>
          </w:tcPr>
          <w:p w14:paraId="58AA7333">
            <w:pPr>
              <w:spacing w:line="360" w:lineRule="exact"/>
              <w:jc w:val="center"/>
              <w:rPr>
                <w:rFonts w:hint="eastAsia" w:ascii="宋体" w:hAnsi="宋体" w:eastAsia="宋体"/>
                <w:szCs w:val="21"/>
              </w:rPr>
            </w:pPr>
            <w:r>
              <w:rPr>
                <w:rFonts w:hint="eastAsia" w:ascii="宋体" w:hAnsi="宋体"/>
                <w:szCs w:val="21"/>
                <w:lang w:val="en-US" w:eastAsia="zh-CN"/>
              </w:rPr>
              <w:t>运营管理</w:t>
            </w:r>
          </w:p>
        </w:tc>
        <w:tc>
          <w:tcPr>
            <w:tcW w:w="1928" w:type="dxa"/>
            <w:noWrap w:val="0"/>
            <w:vAlign w:val="top"/>
          </w:tcPr>
          <w:p w14:paraId="30B13482">
            <w:pPr>
              <w:spacing w:line="360" w:lineRule="exact"/>
              <w:jc w:val="center"/>
              <w:rPr>
                <w:rFonts w:hint="eastAsia" w:ascii="宋体" w:hAnsi="宋体" w:eastAsia="宋体"/>
                <w:szCs w:val="21"/>
              </w:rPr>
            </w:pPr>
            <w:r>
              <w:rPr>
                <w:rFonts w:hint="eastAsia" w:ascii="宋体" w:hAnsi="宋体" w:eastAsia="宋体"/>
                <w:szCs w:val="21"/>
              </w:rPr>
              <w:t>所在行业领域</w:t>
            </w:r>
          </w:p>
        </w:tc>
        <w:tc>
          <w:tcPr>
            <w:tcW w:w="3434" w:type="dxa"/>
            <w:gridSpan w:val="4"/>
            <w:noWrap w:val="0"/>
            <w:vAlign w:val="top"/>
          </w:tcPr>
          <w:p w14:paraId="3AE98048">
            <w:pPr>
              <w:spacing w:line="360" w:lineRule="exact"/>
              <w:jc w:val="center"/>
              <w:rPr>
                <w:rFonts w:hint="eastAsia" w:ascii="宋体" w:hAnsi="宋体" w:eastAsia="宋体"/>
                <w:szCs w:val="21"/>
              </w:rPr>
            </w:pPr>
            <w:r>
              <w:rPr>
                <w:rFonts w:hint="eastAsia" w:ascii="宋体" w:hAnsi="宋体"/>
                <w:szCs w:val="21"/>
              </w:rPr>
              <w:t>学士学位</w:t>
            </w:r>
          </w:p>
        </w:tc>
      </w:tr>
      <w:tr w14:paraId="08DE956B">
        <w:tc>
          <w:tcPr>
            <w:tcW w:w="1225" w:type="dxa"/>
            <w:noWrap w:val="0"/>
            <w:vAlign w:val="top"/>
          </w:tcPr>
          <w:p w14:paraId="7232F46E">
            <w:pPr>
              <w:spacing w:line="360" w:lineRule="exact"/>
              <w:jc w:val="center"/>
              <w:rPr>
                <w:rFonts w:hint="eastAsia" w:ascii="宋体" w:hAnsi="宋体" w:eastAsia="宋体"/>
                <w:szCs w:val="21"/>
              </w:rPr>
            </w:pPr>
            <w:r>
              <w:rPr>
                <w:rFonts w:hint="eastAsia" w:ascii="宋体" w:hAnsi="宋体" w:eastAsia="宋体"/>
                <w:szCs w:val="21"/>
              </w:rPr>
              <w:t>校内导师</w:t>
            </w:r>
          </w:p>
        </w:tc>
        <w:tc>
          <w:tcPr>
            <w:tcW w:w="3245" w:type="dxa"/>
            <w:gridSpan w:val="4"/>
            <w:noWrap w:val="0"/>
            <w:vAlign w:val="top"/>
          </w:tcPr>
          <w:p w14:paraId="42D92B56">
            <w:pPr>
              <w:spacing w:line="360" w:lineRule="exact"/>
              <w:jc w:val="center"/>
              <w:rPr>
                <w:rFonts w:hint="eastAsia" w:ascii="宋体" w:hAnsi="宋体" w:eastAsia="宋体"/>
                <w:szCs w:val="21"/>
              </w:rPr>
            </w:pPr>
            <w:r>
              <w:rPr>
                <w:rFonts w:hint="eastAsia" w:ascii="宋体" w:hAnsi="宋体"/>
                <w:szCs w:val="21"/>
              </w:rPr>
              <w:t>赵佳宝</w:t>
            </w:r>
          </w:p>
        </w:tc>
        <w:tc>
          <w:tcPr>
            <w:tcW w:w="1928" w:type="dxa"/>
            <w:noWrap w:val="0"/>
            <w:vAlign w:val="top"/>
          </w:tcPr>
          <w:p w14:paraId="6BDBE40F">
            <w:pPr>
              <w:spacing w:line="360" w:lineRule="exact"/>
              <w:jc w:val="center"/>
              <w:rPr>
                <w:rFonts w:hint="eastAsia" w:ascii="宋体" w:hAnsi="宋体" w:eastAsia="宋体"/>
                <w:szCs w:val="21"/>
              </w:rPr>
            </w:pPr>
            <w:r>
              <w:rPr>
                <w:rFonts w:hint="eastAsia" w:ascii="宋体" w:hAnsi="宋体" w:eastAsia="宋体"/>
                <w:szCs w:val="21"/>
              </w:rPr>
              <w:t>联系方式</w:t>
            </w:r>
          </w:p>
        </w:tc>
        <w:tc>
          <w:tcPr>
            <w:tcW w:w="3434" w:type="dxa"/>
            <w:gridSpan w:val="4"/>
            <w:noWrap w:val="0"/>
            <w:vAlign w:val="top"/>
          </w:tcPr>
          <w:p w14:paraId="4DBFFACE">
            <w:pPr>
              <w:spacing w:line="360" w:lineRule="exact"/>
              <w:jc w:val="center"/>
              <w:rPr>
                <w:rFonts w:hint="eastAsia" w:ascii="宋体" w:hAnsi="宋体" w:eastAsia="宋体"/>
                <w:szCs w:val="21"/>
              </w:rPr>
            </w:pPr>
          </w:p>
        </w:tc>
      </w:tr>
      <w:tr w14:paraId="0F4E1136">
        <w:tc>
          <w:tcPr>
            <w:tcW w:w="1225" w:type="dxa"/>
            <w:noWrap w:val="0"/>
            <w:vAlign w:val="top"/>
          </w:tcPr>
          <w:p w14:paraId="680C5551">
            <w:pPr>
              <w:spacing w:line="360" w:lineRule="exact"/>
              <w:jc w:val="center"/>
              <w:rPr>
                <w:rFonts w:hint="eastAsia" w:ascii="宋体" w:hAnsi="宋体" w:eastAsia="宋体"/>
                <w:szCs w:val="21"/>
              </w:rPr>
            </w:pPr>
            <w:r>
              <w:rPr>
                <w:rFonts w:hint="eastAsia" w:ascii="宋体" w:hAnsi="宋体" w:eastAsia="宋体"/>
                <w:szCs w:val="21"/>
              </w:rPr>
              <w:t>企业导师</w:t>
            </w:r>
          </w:p>
        </w:tc>
        <w:tc>
          <w:tcPr>
            <w:tcW w:w="1476" w:type="dxa"/>
            <w:noWrap w:val="0"/>
            <w:vAlign w:val="top"/>
          </w:tcPr>
          <w:p w14:paraId="1F6ABED7">
            <w:pPr>
              <w:spacing w:line="360" w:lineRule="exact"/>
              <w:jc w:val="center"/>
              <w:rPr>
                <w:rFonts w:hint="eastAsia" w:ascii="宋体" w:hAnsi="宋体" w:eastAsia="宋体"/>
                <w:szCs w:val="21"/>
              </w:rPr>
            </w:pPr>
            <w:r>
              <w:rPr>
                <w:rFonts w:hint="eastAsia" w:ascii="宋体" w:hAnsi="宋体"/>
                <w:szCs w:val="21"/>
              </w:rPr>
              <w:t>于亮</w:t>
            </w:r>
          </w:p>
        </w:tc>
        <w:tc>
          <w:tcPr>
            <w:tcW w:w="1096" w:type="dxa"/>
            <w:gridSpan w:val="2"/>
            <w:noWrap w:val="0"/>
            <w:vAlign w:val="top"/>
          </w:tcPr>
          <w:p w14:paraId="5E121862">
            <w:pPr>
              <w:spacing w:line="360" w:lineRule="exact"/>
              <w:jc w:val="center"/>
              <w:rPr>
                <w:rFonts w:hint="eastAsia" w:ascii="宋体" w:hAnsi="宋体" w:eastAsia="宋体"/>
                <w:szCs w:val="21"/>
              </w:rPr>
            </w:pPr>
            <w:r>
              <w:rPr>
                <w:rFonts w:hint="eastAsia" w:ascii="宋体" w:hAnsi="宋体" w:eastAsia="宋体"/>
                <w:szCs w:val="21"/>
              </w:rPr>
              <w:t>所在单位</w:t>
            </w:r>
          </w:p>
        </w:tc>
        <w:tc>
          <w:tcPr>
            <w:tcW w:w="2601" w:type="dxa"/>
            <w:gridSpan w:val="2"/>
            <w:noWrap w:val="0"/>
            <w:vAlign w:val="top"/>
          </w:tcPr>
          <w:p w14:paraId="130CF70C">
            <w:pPr>
              <w:spacing w:line="360" w:lineRule="exact"/>
              <w:jc w:val="center"/>
              <w:rPr>
                <w:rFonts w:hint="eastAsia" w:ascii="宋体" w:hAnsi="宋体" w:eastAsia="宋体"/>
                <w:szCs w:val="21"/>
              </w:rPr>
            </w:pPr>
            <w:r>
              <w:rPr>
                <w:rFonts w:hint="eastAsia" w:ascii="宋体" w:hAnsi="宋体"/>
                <w:sz w:val="18"/>
                <w:szCs w:val="18"/>
              </w:rPr>
              <w:t>南京市琮琳信息科技有限公司</w:t>
            </w:r>
          </w:p>
        </w:tc>
        <w:tc>
          <w:tcPr>
            <w:tcW w:w="1303" w:type="dxa"/>
            <w:gridSpan w:val="2"/>
            <w:noWrap w:val="0"/>
            <w:vAlign w:val="top"/>
          </w:tcPr>
          <w:p w14:paraId="234C6849">
            <w:pPr>
              <w:spacing w:line="360" w:lineRule="exact"/>
              <w:jc w:val="center"/>
              <w:rPr>
                <w:rFonts w:ascii="宋体" w:hAnsi="宋体" w:eastAsia="宋体"/>
                <w:szCs w:val="21"/>
              </w:rPr>
            </w:pPr>
            <w:r>
              <w:rPr>
                <w:rFonts w:hint="eastAsia" w:ascii="宋体" w:hAnsi="宋体" w:eastAsia="宋体"/>
                <w:szCs w:val="21"/>
              </w:rPr>
              <w:t>联系方式</w:t>
            </w:r>
          </w:p>
        </w:tc>
        <w:tc>
          <w:tcPr>
            <w:tcW w:w="2131" w:type="dxa"/>
            <w:gridSpan w:val="2"/>
            <w:noWrap w:val="0"/>
            <w:vAlign w:val="top"/>
          </w:tcPr>
          <w:p w14:paraId="70BEF3CC">
            <w:pPr>
              <w:spacing w:line="360" w:lineRule="exact"/>
              <w:jc w:val="center"/>
              <w:rPr>
                <w:rFonts w:hint="eastAsia" w:ascii="宋体" w:hAnsi="宋体" w:eastAsia="宋体"/>
                <w:szCs w:val="21"/>
              </w:rPr>
            </w:pPr>
            <w:r>
              <w:rPr>
                <w:rFonts w:hint="eastAsia" w:ascii="宋体" w:hAnsi="宋体"/>
                <w:szCs w:val="21"/>
              </w:rPr>
              <w:t>1</w:t>
            </w:r>
            <w:r>
              <w:rPr>
                <w:rFonts w:ascii="宋体" w:hAnsi="宋体"/>
                <w:szCs w:val="21"/>
              </w:rPr>
              <w:t>3851769737</w:t>
            </w:r>
          </w:p>
        </w:tc>
      </w:tr>
      <w:tr w14:paraId="60FFB3EB">
        <w:tc>
          <w:tcPr>
            <w:tcW w:w="1225" w:type="dxa"/>
            <w:noWrap w:val="0"/>
            <w:vAlign w:val="top"/>
          </w:tcPr>
          <w:p w14:paraId="73E1893D">
            <w:pPr>
              <w:spacing w:line="360" w:lineRule="exact"/>
              <w:jc w:val="center"/>
              <w:rPr>
                <w:rFonts w:hint="eastAsia" w:ascii="宋体" w:hAnsi="宋体" w:eastAsia="宋体"/>
                <w:szCs w:val="21"/>
              </w:rPr>
            </w:pPr>
            <w:r>
              <w:rPr>
                <w:rFonts w:hint="eastAsia" w:ascii="宋体" w:hAnsi="宋体" w:eastAsia="宋体"/>
                <w:szCs w:val="21"/>
              </w:rPr>
              <w:t>论文题目</w:t>
            </w:r>
          </w:p>
        </w:tc>
        <w:tc>
          <w:tcPr>
            <w:tcW w:w="8607" w:type="dxa"/>
            <w:gridSpan w:val="9"/>
            <w:noWrap w:val="0"/>
            <w:vAlign w:val="top"/>
          </w:tcPr>
          <w:p w14:paraId="40D2EA29">
            <w:pPr>
              <w:pStyle w:val="4"/>
              <w:spacing w:line="240" w:lineRule="auto"/>
              <w:jc w:val="left"/>
              <w:rPr>
                <w:rFonts w:hint="eastAsia" w:asciiTheme="minorEastAsia" w:hAnsiTheme="minorEastAsia" w:eastAsiaTheme="minorEastAsia" w:cstheme="minorEastAsia"/>
                <w:b w:val="0"/>
                <w:sz w:val="21"/>
                <w:szCs w:val="21"/>
              </w:rPr>
            </w:pPr>
            <w:r>
              <w:rPr>
                <w:rFonts w:hint="eastAsia" w:asciiTheme="minorEastAsia" w:hAnsiTheme="minorEastAsia" w:eastAsiaTheme="minorEastAsia" w:cstheme="minorEastAsia"/>
                <w:b/>
                <w:sz w:val="21"/>
                <w:szCs w:val="21"/>
              </w:rPr>
              <w:t>企业困境：</w:t>
            </w:r>
            <w:r>
              <w:rPr>
                <w:rFonts w:hint="eastAsia" w:asciiTheme="minorEastAsia" w:hAnsiTheme="minorEastAsia" w:eastAsiaTheme="minorEastAsia" w:cstheme="minorEastAsia"/>
                <w:b w:val="0"/>
                <w:sz w:val="21"/>
                <w:szCs w:val="21"/>
              </w:rPr>
              <w:t>C公司于南京、深圳、徐州三地进行社区充电桩布局时，因选址工作完全依托经验判断，缺乏系统化、科学化的方法体系支撑，引发了三大核心问题：其一，安装成本因选址差异而出现显著波动，难以达成成本的精准管控；其二，运营效率欠佳，基于经验的选址可能无法实现用户需求与场地条件的最优匹配，对设备利用率和服务质量产生不利影响；其三，投资回收周期延长，成本的不可控与运营效率的低下共同作用，直接致使投资回报速度减缓，对企业的扩张进程和盈利能力形成制约。</w:t>
            </w:r>
          </w:p>
          <w:p w14:paraId="07C9B917">
            <w:pPr>
              <w:spacing w:line="240" w:lineRule="auto"/>
              <w:ind w:firstLine="420" w:firstLineChars="200"/>
              <w:jc w:val="left"/>
              <w:rPr>
                <w:rFonts w:hint="eastAsia" w:ascii="宋体" w:hAnsi="宋体" w:eastAsia="宋体"/>
                <w:szCs w:val="21"/>
              </w:rPr>
            </w:pPr>
            <w:r>
              <w:rPr>
                <w:rFonts w:hint="eastAsia" w:asciiTheme="minorEastAsia" w:hAnsiTheme="minorEastAsia" w:eastAsiaTheme="minorEastAsia" w:cstheme="minorEastAsia"/>
                <w:b/>
                <w:sz w:val="21"/>
                <w:szCs w:val="21"/>
              </w:rPr>
              <w:t>宏观环境：</w:t>
            </w:r>
            <w:r>
              <w:rPr>
                <w:rFonts w:hint="eastAsia" w:asciiTheme="minorEastAsia" w:hAnsiTheme="minorEastAsia" w:eastAsiaTheme="minorEastAsia" w:cstheme="minorEastAsia"/>
                <w:b w:val="0"/>
                <w:sz w:val="21"/>
                <w:szCs w:val="21"/>
              </w:rPr>
              <w:t>随着我国城市化推进，城市人口密度增大，居民短途出行需求强，电动自行车因经济、便捷、灵活，成为日常出行重要工具，保有量快速增长，充电设施需求迫切。但当前城市社区充电设施配套滞后，居民“私拉乱接”充电引发火灾频发，威胁公共安全。国家及地方政府高度关注，出台政策加强和规范充电基础设施规划建设，将其纳入公共安全治理和民生工程。同时，低空经济等发展推动城市基础设施升级，为社区充电设施优化营造有利条件。在此背景下，科学规划和建设社区电动自行车充电设施，是满足民生、响应政策、保障安全、推动城市可持续发展的重要举措。</w:t>
            </w:r>
          </w:p>
        </w:tc>
      </w:tr>
      <w:tr w14:paraId="1FC50762">
        <w:tc>
          <w:tcPr>
            <w:tcW w:w="1225" w:type="dxa"/>
            <w:noWrap w:val="0"/>
            <w:vAlign w:val="top"/>
          </w:tcPr>
          <w:p w14:paraId="153B4D23">
            <w:pPr>
              <w:spacing w:line="360" w:lineRule="exact"/>
              <w:jc w:val="center"/>
              <w:rPr>
                <w:rFonts w:hint="eastAsia" w:ascii="宋体" w:hAnsi="宋体" w:eastAsia="宋体"/>
                <w:szCs w:val="21"/>
              </w:rPr>
            </w:pPr>
            <w:r>
              <w:rPr>
                <w:rFonts w:hint="eastAsia" w:ascii="宋体" w:hAnsi="宋体" w:eastAsia="宋体"/>
                <w:szCs w:val="21"/>
              </w:rPr>
              <w:t>题目来源</w:t>
            </w:r>
          </w:p>
        </w:tc>
        <w:tc>
          <w:tcPr>
            <w:tcW w:w="8607" w:type="dxa"/>
            <w:gridSpan w:val="9"/>
            <w:noWrap w:val="0"/>
            <w:vAlign w:val="top"/>
          </w:tcPr>
          <w:p w14:paraId="78BB23C0">
            <w:pPr>
              <w:spacing w:line="360" w:lineRule="exact"/>
              <w:jc w:val="center"/>
              <w:rPr>
                <w:rFonts w:hint="eastAsia" w:ascii="宋体" w:hAnsi="宋体" w:eastAsia="宋体"/>
                <w:szCs w:val="21"/>
              </w:rPr>
            </w:pPr>
            <w:r>
              <w:rPr>
                <w:rFonts w:hint="eastAsia" w:ascii="宋体" w:hAnsi="宋体"/>
                <w:szCs w:val="21"/>
              </w:rPr>
              <w:t>应用研究 + 模型构建</w:t>
            </w:r>
          </w:p>
        </w:tc>
      </w:tr>
      <w:tr w14:paraId="331D4CE0">
        <w:tc>
          <w:tcPr>
            <w:tcW w:w="1225" w:type="dxa"/>
            <w:noWrap w:val="0"/>
            <w:vAlign w:val="top"/>
          </w:tcPr>
          <w:p w14:paraId="16C67373">
            <w:pPr>
              <w:spacing w:line="360" w:lineRule="exact"/>
              <w:jc w:val="center"/>
              <w:rPr>
                <w:rFonts w:hint="eastAsia" w:ascii="宋体" w:hAnsi="宋体" w:eastAsia="宋体"/>
                <w:szCs w:val="21"/>
              </w:rPr>
            </w:pPr>
            <w:r>
              <w:rPr>
                <w:rFonts w:hint="eastAsia" w:ascii="宋体" w:hAnsi="宋体" w:eastAsia="宋体"/>
                <w:szCs w:val="21"/>
              </w:rPr>
              <w:t>论文形式</w:t>
            </w:r>
          </w:p>
        </w:tc>
        <w:tc>
          <w:tcPr>
            <w:tcW w:w="8607" w:type="dxa"/>
            <w:gridSpan w:val="9"/>
            <w:noWrap w:val="0"/>
            <w:vAlign w:val="top"/>
          </w:tcPr>
          <w:p w14:paraId="44ED608B">
            <w:pPr>
              <w:spacing w:line="360" w:lineRule="exact"/>
              <w:jc w:val="center"/>
              <w:rPr>
                <w:rFonts w:hint="eastAsia" w:ascii="宋体" w:hAnsi="宋体" w:eastAsia="宋体"/>
                <w:szCs w:val="21"/>
              </w:rPr>
            </w:pPr>
            <w:r>
              <w:rPr>
                <w:rFonts w:hint="eastAsia" w:ascii="宋体" w:hAnsi="宋体"/>
                <w:szCs w:val="21"/>
              </w:rPr>
              <w:t>应用研究 + 模型构建</w:t>
            </w:r>
          </w:p>
        </w:tc>
      </w:tr>
      <w:tr w14:paraId="0BCFDF19">
        <w:tc>
          <w:tcPr>
            <w:tcW w:w="1225" w:type="dxa"/>
            <w:noWrap w:val="0"/>
            <w:vAlign w:val="top"/>
          </w:tcPr>
          <w:p w14:paraId="6DAA7106">
            <w:pPr>
              <w:jc w:val="center"/>
              <w:rPr>
                <w:rFonts w:ascii="宋体" w:hAnsi="宋体" w:eastAsia="宋体"/>
                <w:szCs w:val="21"/>
              </w:rPr>
            </w:pPr>
            <w:r>
              <w:rPr>
                <w:rFonts w:hint="eastAsia" w:ascii="宋体" w:hAnsi="宋体" w:eastAsia="宋体"/>
                <w:szCs w:val="21"/>
              </w:rPr>
              <w:t>目前论文初稿进度</w:t>
            </w:r>
          </w:p>
        </w:tc>
        <w:tc>
          <w:tcPr>
            <w:tcW w:w="8607" w:type="dxa"/>
            <w:gridSpan w:val="9"/>
            <w:noWrap w:val="0"/>
            <w:vAlign w:val="top"/>
          </w:tcPr>
          <w:p w14:paraId="4C8CEC72">
            <w:pPr>
              <w:spacing w:line="360" w:lineRule="auto"/>
              <w:jc w:val="left"/>
              <w:rPr>
                <w:rFonts w:ascii="宋体" w:hAnsi="宋体" w:eastAsia="宋体" w:cs="AdobeSongStd-Light"/>
                <w:kern w:val="0"/>
                <w:szCs w:val="21"/>
              </w:rPr>
            </w:pPr>
            <w:r>
              <w:rPr>
                <w:rFonts w:hint="eastAsia" w:ascii="宋体" w:hAnsi="宋体" w:eastAsia="宋体" w:cs="AdobeSongStd-Light"/>
                <w:kern w:val="0"/>
                <w:szCs w:val="21"/>
              </w:rPr>
              <w:sym w:font="Wingdings 2" w:char="00A3"/>
            </w:r>
            <w:r>
              <w:rPr>
                <w:rFonts w:hint="eastAsia" w:ascii="宋体" w:hAnsi="宋体" w:eastAsia="宋体" w:cs="AdobeSongStd-Light"/>
                <w:kern w:val="0"/>
                <w:szCs w:val="21"/>
              </w:rPr>
              <w:t>完成20%</w:t>
            </w:r>
            <w:r>
              <w:rPr>
                <w:rFonts w:hint="eastAsia" w:ascii="AdobeSongStd-Light" w:eastAsia="AdobeSongStd-Light" w:cs="AdobeSongStd-Light"/>
                <w:kern w:val="0"/>
                <w:sz w:val="20"/>
                <w:szCs w:val="20"/>
              </w:rPr>
              <w:t xml:space="preserve">   </w:t>
            </w:r>
            <w:r>
              <w:rPr>
                <w:rFonts w:hint="eastAsia" w:ascii="AdobeSongStd-Light" w:eastAsia="AdobeSongStd-Light" w:cs="AdobeSongStd-Light"/>
                <w:kern w:val="0"/>
                <w:sz w:val="20"/>
                <w:szCs w:val="20"/>
                <w:lang w:eastAsia="zh-CN"/>
              </w:rPr>
              <w:t>☑</w:t>
            </w:r>
            <w:r>
              <w:rPr>
                <w:rFonts w:ascii="AdobeSongStd-Light" w:eastAsia="AdobeSongStd-Light" w:cs="AdobeSongStd-Light"/>
                <w:kern w:val="0"/>
                <w:sz w:val="20"/>
                <w:szCs w:val="20"/>
              </w:rPr>
              <w:t xml:space="preserve"> </w:t>
            </w:r>
            <w:r>
              <w:rPr>
                <w:rFonts w:hint="eastAsia" w:ascii="宋体" w:hAnsi="宋体" w:eastAsia="宋体" w:cs="AdobeSongStd-Light"/>
                <w:kern w:val="0"/>
                <w:szCs w:val="21"/>
              </w:rPr>
              <w:t xml:space="preserve">完成50%    □完成80%     </w:t>
            </w:r>
            <w:r>
              <w:rPr>
                <w:rFonts w:hint="eastAsia" w:ascii="宋体" w:hAnsi="宋体" w:eastAsia="宋体" w:cs="AdobeSongStd-Light"/>
                <w:kern w:val="0"/>
                <w:szCs w:val="21"/>
              </w:rPr>
              <w:sym w:font="Wingdings 2" w:char="00A3"/>
            </w:r>
            <w:r>
              <w:rPr>
                <w:rFonts w:hint="eastAsia" w:ascii="宋体" w:hAnsi="宋体" w:eastAsia="宋体" w:cs="AdobeSongStd-Light"/>
                <w:kern w:val="0"/>
                <w:szCs w:val="21"/>
              </w:rPr>
              <w:t>完成100%</w:t>
            </w:r>
          </w:p>
          <w:p w14:paraId="228DA5E7">
            <w:pPr>
              <w:jc w:val="center"/>
              <w:rPr>
                <w:rFonts w:hint="eastAsia" w:ascii="宋体" w:hAnsi="宋体" w:eastAsia="宋体"/>
                <w:szCs w:val="21"/>
              </w:rPr>
            </w:pPr>
          </w:p>
        </w:tc>
      </w:tr>
      <w:tr w14:paraId="354FB283">
        <w:tc>
          <w:tcPr>
            <w:tcW w:w="1225" w:type="dxa"/>
            <w:noWrap w:val="0"/>
            <w:vAlign w:val="top"/>
          </w:tcPr>
          <w:p w14:paraId="602EB78A">
            <w:pPr>
              <w:jc w:val="center"/>
              <w:rPr>
                <w:rFonts w:hint="eastAsia" w:ascii="宋体" w:hAnsi="宋体" w:eastAsia="宋体"/>
                <w:szCs w:val="21"/>
              </w:rPr>
            </w:pPr>
            <w:r>
              <w:rPr>
                <w:rFonts w:hint="eastAsia" w:ascii="宋体" w:hAnsi="宋体" w:eastAsia="宋体"/>
                <w:szCs w:val="21"/>
              </w:rPr>
              <w:t>摘要</w:t>
            </w:r>
          </w:p>
        </w:tc>
        <w:tc>
          <w:tcPr>
            <w:tcW w:w="8607" w:type="dxa"/>
            <w:gridSpan w:val="9"/>
            <w:noWrap w:val="0"/>
            <w:vAlign w:val="top"/>
          </w:tcPr>
          <w:p w14:paraId="13878FD0">
            <w:pPr>
              <w:spacing w:line="240" w:lineRule="auto"/>
              <w:ind w:firstLine="420" w:firstLineChars="200"/>
              <w:jc w:val="both"/>
              <w:rPr>
                <w:rFonts w:hint="eastAsia" w:ascii="宋体" w:hAnsi="宋体" w:eastAsia="宋体"/>
                <w:szCs w:val="21"/>
                <w:lang w:eastAsia="zh-CN"/>
              </w:rPr>
            </w:pPr>
            <w:r>
              <w:rPr>
                <w:rFonts w:hint="eastAsia" w:ascii="宋体" w:hAnsi="宋体"/>
                <w:szCs w:val="21"/>
              </w:rPr>
              <w:t>随着城市电动自行车数量的迅速增加，社区充电安全和设施规划成为物业管理的重要议题。当前充电桩建设在选址合理性、成本控制、运行效率及投诉处理等方面仍存在显著不足。本研究拟基于近一年实际充电桩运营数据、居民投诉记录及设备维护信息，构建包含选址因素、成本结构和运行效率的综合评价模型。研究将采用 AHP、熵权法、回归分析、多目标规划等方法对影响因素进行提取、权重分配与模型验证，以形成适用于社区场景的优化策略和决策依据。本研究预期为物业提升充电设施管理效率、降低建设与运维成本提供科学参考。</w:t>
            </w:r>
          </w:p>
        </w:tc>
      </w:tr>
      <w:tr w14:paraId="67B28528">
        <w:tc>
          <w:tcPr>
            <w:tcW w:w="1225" w:type="dxa"/>
            <w:noWrap w:val="0"/>
            <w:vAlign w:val="top"/>
          </w:tcPr>
          <w:p w14:paraId="66996AA8">
            <w:pPr>
              <w:jc w:val="left"/>
              <w:rPr>
                <w:rFonts w:ascii="宋体" w:hAnsi="宋体" w:eastAsia="宋体"/>
                <w:szCs w:val="21"/>
              </w:rPr>
            </w:pPr>
          </w:p>
          <w:p w14:paraId="1881B629">
            <w:pPr>
              <w:jc w:val="center"/>
              <w:rPr>
                <w:rFonts w:ascii="宋体" w:hAnsi="宋体" w:eastAsia="宋体"/>
                <w:szCs w:val="21"/>
              </w:rPr>
            </w:pPr>
          </w:p>
          <w:p w14:paraId="178DAF8B">
            <w:pPr>
              <w:jc w:val="center"/>
              <w:rPr>
                <w:rFonts w:ascii="宋体" w:hAnsi="宋体" w:eastAsia="宋体"/>
                <w:szCs w:val="21"/>
              </w:rPr>
            </w:pPr>
          </w:p>
          <w:p w14:paraId="2568C161">
            <w:pPr>
              <w:jc w:val="center"/>
              <w:rPr>
                <w:rFonts w:ascii="宋体" w:hAnsi="宋体" w:eastAsia="宋体"/>
                <w:szCs w:val="21"/>
              </w:rPr>
            </w:pPr>
            <w:r>
              <w:rPr>
                <w:rFonts w:hint="eastAsia" w:ascii="宋体" w:hAnsi="宋体" w:eastAsia="宋体"/>
                <w:szCs w:val="21"/>
              </w:rPr>
              <w:t>校内</w:t>
            </w:r>
          </w:p>
          <w:p w14:paraId="44C9342A">
            <w:pPr>
              <w:jc w:val="center"/>
              <w:rPr>
                <w:rFonts w:ascii="宋体" w:hAnsi="宋体" w:eastAsia="宋体"/>
                <w:szCs w:val="21"/>
              </w:rPr>
            </w:pPr>
            <w:r>
              <w:rPr>
                <w:rFonts w:hint="eastAsia" w:ascii="宋体" w:hAnsi="宋体" w:eastAsia="宋体"/>
                <w:szCs w:val="21"/>
              </w:rPr>
              <w:t>导师</w:t>
            </w:r>
          </w:p>
          <w:p w14:paraId="3ED3BEB9">
            <w:pPr>
              <w:jc w:val="center"/>
              <w:rPr>
                <w:rFonts w:hint="eastAsia" w:ascii="宋体" w:hAnsi="宋体" w:eastAsia="宋体"/>
                <w:szCs w:val="21"/>
              </w:rPr>
            </w:pPr>
            <w:r>
              <w:rPr>
                <w:rFonts w:hint="eastAsia" w:ascii="宋体" w:hAnsi="宋体" w:eastAsia="宋体"/>
                <w:szCs w:val="21"/>
              </w:rPr>
              <w:t>意见</w:t>
            </w:r>
          </w:p>
        </w:tc>
        <w:tc>
          <w:tcPr>
            <w:tcW w:w="8607" w:type="dxa"/>
            <w:gridSpan w:val="9"/>
            <w:noWrap w:val="0"/>
            <w:vAlign w:val="top"/>
          </w:tcPr>
          <w:p w14:paraId="2A48FA05">
            <w:pPr>
              <w:spacing w:line="360" w:lineRule="auto"/>
              <w:jc w:val="left"/>
              <w:rPr>
                <w:rFonts w:ascii="AdobeSongStd-Light" w:eastAsia="AdobeSongStd-Light" w:cs="AdobeSongStd-Light"/>
                <w:kern w:val="0"/>
                <w:sz w:val="20"/>
                <w:szCs w:val="20"/>
              </w:rPr>
            </w:pPr>
            <w:r>
              <w:rPr>
                <w:rFonts w:hint="eastAsia" w:ascii="宋体" w:hAnsi="宋体" w:eastAsia="宋体" w:cs="AdobeSongStd-Light"/>
                <w:kern w:val="0"/>
                <w:szCs w:val="21"/>
              </w:rPr>
              <w:sym w:font="Wingdings 2" w:char="00A3"/>
            </w:r>
            <w:r>
              <w:rPr>
                <w:rFonts w:hint="eastAsia" w:ascii="宋体" w:hAnsi="宋体" w:eastAsia="宋体" w:cs="AdobeSongStd-Light"/>
                <w:kern w:val="0"/>
                <w:szCs w:val="21"/>
              </w:rPr>
              <w:t>同意中期报告初稿</w:t>
            </w:r>
            <w:r>
              <w:rPr>
                <w:rFonts w:hint="eastAsia" w:ascii="AdobeSongStd-Light" w:eastAsia="AdobeSongStd-Light" w:cs="AdobeSongStd-Light"/>
                <w:kern w:val="0"/>
                <w:sz w:val="20"/>
                <w:szCs w:val="20"/>
              </w:rPr>
              <w:t xml:space="preserve">          □</w:t>
            </w:r>
            <w:r>
              <w:rPr>
                <w:rFonts w:ascii="AdobeSongStd-Light" w:eastAsia="AdobeSongStd-Light" w:cs="AdobeSongStd-Light"/>
                <w:kern w:val="0"/>
                <w:sz w:val="20"/>
                <w:szCs w:val="20"/>
              </w:rPr>
              <w:t xml:space="preserve"> </w:t>
            </w:r>
            <w:r>
              <w:rPr>
                <w:rFonts w:hint="eastAsia" w:ascii="宋体" w:hAnsi="宋体" w:eastAsia="宋体" w:cs="AdobeSongStd-Light"/>
                <w:kern w:val="0"/>
                <w:szCs w:val="21"/>
              </w:rPr>
              <w:t>不同意中期报告初稿</w:t>
            </w:r>
          </w:p>
          <w:p w14:paraId="254C80D7">
            <w:pPr>
              <w:spacing w:line="360" w:lineRule="auto"/>
              <w:jc w:val="left"/>
              <w:rPr>
                <w:rFonts w:ascii="宋体" w:hAnsi="宋体" w:eastAsia="宋体" w:cs="AdobeSongStd-Light"/>
                <w:kern w:val="0"/>
                <w:szCs w:val="21"/>
              </w:rPr>
            </w:pPr>
            <w:r>
              <w:rPr>
                <w:rFonts w:hint="eastAsia" w:ascii="宋体" w:hAnsi="宋体" w:eastAsia="宋体" w:cs="AdobeSongStd-Light"/>
                <w:kern w:val="0"/>
                <w:szCs w:val="21"/>
              </w:rPr>
              <w:t>□具体意见</w:t>
            </w:r>
          </w:p>
          <w:p w14:paraId="03DE6118">
            <w:pPr>
              <w:jc w:val="left"/>
              <w:rPr>
                <w:rFonts w:ascii="宋体" w:hAnsi="宋体" w:eastAsia="宋体" w:cs="AdobeSongStd-Light"/>
                <w:kern w:val="0"/>
                <w:szCs w:val="21"/>
              </w:rPr>
            </w:pPr>
          </w:p>
          <w:p w14:paraId="57835637">
            <w:pPr>
              <w:jc w:val="left"/>
              <w:rPr>
                <w:rFonts w:hint="eastAsia" w:ascii="宋体" w:hAnsi="宋体" w:eastAsia="宋体" w:cs="AdobeSongStd-Light"/>
                <w:kern w:val="0"/>
                <w:szCs w:val="21"/>
              </w:rPr>
            </w:pPr>
          </w:p>
          <w:p w14:paraId="3A8D69DA">
            <w:pPr>
              <w:jc w:val="left"/>
              <w:rPr>
                <w:rFonts w:hint="eastAsia" w:ascii="宋体" w:hAnsi="宋体" w:eastAsia="宋体"/>
                <w:szCs w:val="21"/>
              </w:rPr>
            </w:pPr>
            <w:r>
              <w:rPr>
                <w:rFonts w:hint="eastAsia" w:ascii="宋体" w:hAnsi="宋体" w:eastAsia="宋体" w:cs="AdobeSongStd-Light"/>
                <w:kern w:val="0"/>
                <w:szCs w:val="21"/>
              </w:rPr>
              <w:t>签名：                              日期：</w:t>
            </w:r>
          </w:p>
        </w:tc>
      </w:tr>
      <w:tr w14:paraId="2CF6ED3F">
        <w:tc>
          <w:tcPr>
            <w:tcW w:w="1225" w:type="dxa"/>
            <w:noWrap w:val="0"/>
            <w:vAlign w:val="top"/>
          </w:tcPr>
          <w:p w14:paraId="68BC05E4">
            <w:pPr>
              <w:jc w:val="center"/>
              <w:rPr>
                <w:rFonts w:ascii="宋体" w:hAnsi="宋体" w:eastAsia="宋体"/>
                <w:szCs w:val="21"/>
              </w:rPr>
            </w:pPr>
          </w:p>
          <w:p w14:paraId="0213AE1D">
            <w:pPr>
              <w:jc w:val="center"/>
              <w:rPr>
                <w:rFonts w:ascii="宋体" w:hAnsi="宋体" w:eastAsia="宋体"/>
                <w:szCs w:val="21"/>
              </w:rPr>
            </w:pPr>
          </w:p>
          <w:p w14:paraId="5EB3513B">
            <w:pPr>
              <w:jc w:val="center"/>
              <w:rPr>
                <w:rFonts w:ascii="宋体" w:hAnsi="宋体" w:eastAsia="宋体"/>
                <w:szCs w:val="21"/>
              </w:rPr>
            </w:pPr>
          </w:p>
          <w:p w14:paraId="2D2F1975">
            <w:pPr>
              <w:jc w:val="center"/>
              <w:rPr>
                <w:rFonts w:ascii="宋体" w:hAnsi="宋体" w:eastAsia="宋体"/>
                <w:szCs w:val="21"/>
              </w:rPr>
            </w:pPr>
            <w:r>
              <w:rPr>
                <w:rFonts w:hint="eastAsia" w:ascii="宋体" w:hAnsi="宋体" w:eastAsia="宋体"/>
                <w:szCs w:val="21"/>
              </w:rPr>
              <w:t>企业</w:t>
            </w:r>
          </w:p>
          <w:p w14:paraId="35FD79FA">
            <w:pPr>
              <w:jc w:val="center"/>
              <w:rPr>
                <w:rFonts w:ascii="宋体" w:hAnsi="宋体" w:eastAsia="宋体"/>
                <w:szCs w:val="21"/>
              </w:rPr>
            </w:pPr>
            <w:r>
              <w:rPr>
                <w:rFonts w:hint="eastAsia" w:ascii="宋体" w:hAnsi="宋体" w:eastAsia="宋体"/>
                <w:szCs w:val="21"/>
              </w:rPr>
              <w:t>导师</w:t>
            </w:r>
          </w:p>
          <w:p w14:paraId="1C5F0D72">
            <w:pPr>
              <w:jc w:val="center"/>
              <w:rPr>
                <w:rFonts w:hint="eastAsia" w:ascii="宋体" w:hAnsi="宋体" w:eastAsia="宋体"/>
                <w:szCs w:val="21"/>
              </w:rPr>
            </w:pPr>
            <w:r>
              <w:rPr>
                <w:rFonts w:hint="eastAsia" w:ascii="宋体" w:hAnsi="宋体" w:eastAsia="宋体"/>
                <w:szCs w:val="21"/>
              </w:rPr>
              <w:t>意见</w:t>
            </w:r>
          </w:p>
        </w:tc>
        <w:tc>
          <w:tcPr>
            <w:tcW w:w="8607" w:type="dxa"/>
            <w:gridSpan w:val="9"/>
            <w:noWrap w:val="0"/>
            <w:vAlign w:val="top"/>
          </w:tcPr>
          <w:p w14:paraId="2E636F74">
            <w:pPr>
              <w:spacing w:line="360" w:lineRule="auto"/>
              <w:jc w:val="left"/>
              <w:rPr>
                <w:rFonts w:ascii="AdobeSongStd-Light" w:eastAsia="AdobeSongStd-Light" w:cs="AdobeSongStd-Light"/>
                <w:kern w:val="0"/>
                <w:sz w:val="20"/>
                <w:szCs w:val="20"/>
              </w:rPr>
            </w:pPr>
            <w:r>
              <w:rPr>
                <w:rFonts w:hint="eastAsia" w:ascii="宋体" w:hAnsi="宋体" w:eastAsia="宋体" w:cs="AdobeSongStd-Light"/>
                <w:kern w:val="0"/>
                <w:szCs w:val="21"/>
              </w:rPr>
              <w:t>□同意中期报告初稿</w:t>
            </w:r>
            <w:r>
              <w:rPr>
                <w:rFonts w:hint="eastAsia" w:ascii="AdobeSongStd-Light" w:eastAsia="AdobeSongStd-Light" w:cs="AdobeSongStd-Light"/>
                <w:kern w:val="0"/>
                <w:sz w:val="20"/>
                <w:szCs w:val="20"/>
              </w:rPr>
              <w:t xml:space="preserve">          □</w:t>
            </w:r>
            <w:r>
              <w:rPr>
                <w:rFonts w:ascii="AdobeSongStd-Light" w:eastAsia="AdobeSongStd-Light" w:cs="AdobeSongStd-Light"/>
                <w:kern w:val="0"/>
                <w:sz w:val="20"/>
                <w:szCs w:val="20"/>
              </w:rPr>
              <w:t xml:space="preserve"> </w:t>
            </w:r>
            <w:r>
              <w:rPr>
                <w:rFonts w:hint="eastAsia" w:ascii="宋体" w:hAnsi="宋体" w:eastAsia="宋体" w:cs="AdobeSongStd-Light"/>
                <w:kern w:val="0"/>
                <w:szCs w:val="21"/>
              </w:rPr>
              <w:t>不同意中期报告初稿</w:t>
            </w:r>
          </w:p>
          <w:p w14:paraId="2BC575E8">
            <w:pPr>
              <w:spacing w:line="360" w:lineRule="auto"/>
              <w:jc w:val="left"/>
              <w:rPr>
                <w:rFonts w:ascii="宋体" w:hAnsi="宋体" w:eastAsia="宋体" w:cs="AdobeSongStd-Light"/>
                <w:kern w:val="0"/>
                <w:szCs w:val="21"/>
              </w:rPr>
            </w:pPr>
            <w:r>
              <w:rPr>
                <w:rFonts w:hint="eastAsia" w:ascii="宋体" w:hAnsi="宋体" w:eastAsia="宋体" w:cs="AdobeSongStd-Light"/>
                <w:kern w:val="0"/>
                <w:szCs w:val="21"/>
              </w:rPr>
              <w:t>□具体意见</w:t>
            </w:r>
          </w:p>
          <w:p w14:paraId="2CF2B232">
            <w:pPr>
              <w:jc w:val="left"/>
              <w:rPr>
                <w:rFonts w:ascii="宋体" w:hAnsi="宋体" w:eastAsia="宋体" w:cs="AdobeSongStd-Light"/>
                <w:kern w:val="0"/>
                <w:szCs w:val="21"/>
              </w:rPr>
            </w:pPr>
          </w:p>
          <w:p w14:paraId="68103377">
            <w:pPr>
              <w:jc w:val="left"/>
              <w:rPr>
                <w:rFonts w:ascii="宋体" w:hAnsi="宋体" w:eastAsia="宋体" w:cs="AdobeSongStd-Light"/>
                <w:kern w:val="0"/>
                <w:szCs w:val="21"/>
              </w:rPr>
            </w:pPr>
          </w:p>
          <w:p w14:paraId="47F3807B">
            <w:pPr>
              <w:jc w:val="left"/>
              <w:rPr>
                <w:rFonts w:hint="eastAsia" w:ascii="宋体" w:hAnsi="宋体" w:eastAsia="宋体" w:cs="AdobeSongStd-Light"/>
                <w:kern w:val="0"/>
                <w:szCs w:val="21"/>
              </w:rPr>
            </w:pPr>
            <w:r>
              <w:rPr>
                <w:rFonts w:hint="eastAsia" w:ascii="宋体" w:hAnsi="宋体" w:eastAsia="宋体" w:cs="AdobeSongStd-Light"/>
                <w:kern w:val="0"/>
                <w:szCs w:val="21"/>
              </w:rPr>
              <w:t>签名：</w:t>
            </w:r>
          </w:p>
        </w:tc>
      </w:tr>
      <w:tr w14:paraId="28BDBB29">
        <w:tc>
          <w:tcPr>
            <w:tcW w:w="1225" w:type="dxa"/>
            <w:noWrap w:val="0"/>
            <w:vAlign w:val="top"/>
          </w:tcPr>
          <w:p w14:paraId="2E8D6961">
            <w:pPr>
              <w:rPr>
                <w:rFonts w:hint="eastAsia" w:ascii="宋体" w:hAnsi="宋体" w:eastAsia="宋体"/>
                <w:szCs w:val="21"/>
              </w:rPr>
            </w:pPr>
          </w:p>
          <w:p w14:paraId="6FE43CBB">
            <w:pPr>
              <w:jc w:val="center"/>
              <w:rPr>
                <w:rFonts w:ascii="宋体" w:hAnsi="宋体" w:eastAsia="宋体"/>
                <w:szCs w:val="21"/>
              </w:rPr>
            </w:pPr>
            <w:r>
              <w:rPr>
                <w:rFonts w:hint="eastAsia" w:ascii="宋体" w:hAnsi="宋体" w:eastAsia="宋体"/>
                <w:szCs w:val="21"/>
              </w:rPr>
              <w:t>MEM</w:t>
            </w:r>
          </w:p>
          <w:p w14:paraId="2F499036">
            <w:pPr>
              <w:jc w:val="center"/>
              <w:rPr>
                <w:rFonts w:ascii="宋体" w:hAnsi="宋体" w:eastAsia="宋体"/>
                <w:szCs w:val="21"/>
              </w:rPr>
            </w:pPr>
            <w:r>
              <w:rPr>
                <w:rFonts w:hint="eastAsia" w:ascii="宋体" w:hAnsi="宋体" w:eastAsia="宋体"/>
                <w:szCs w:val="21"/>
              </w:rPr>
              <w:t>中心</w:t>
            </w:r>
          </w:p>
          <w:p w14:paraId="4A53B688">
            <w:pPr>
              <w:jc w:val="center"/>
              <w:rPr>
                <w:rFonts w:hint="eastAsia" w:ascii="宋体" w:hAnsi="宋体" w:eastAsia="宋体"/>
                <w:szCs w:val="21"/>
              </w:rPr>
            </w:pPr>
            <w:r>
              <w:rPr>
                <w:rFonts w:hint="eastAsia" w:ascii="宋体" w:hAnsi="宋体" w:eastAsia="宋体"/>
                <w:szCs w:val="21"/>
              </w:rPr>
              <w:t>意见</w:t>
            </w:r>
          </w:p>
        </w:tc>
        <w:tc>
          <w:tcPr>
            <w:tcW w:w="8607" w:type="dxa"/>
            <w:gridSpan w:val="9"/>
            <w:noWrap w:val="0"/>
            <w:vAlign w:val="top"/>
          </w:tcPr>
          <w:p w14:paraId="55DAAC30">
            <w:pPr>
              <w:jc w:val="left"/>
              <w:rPr>
                <w:rFonts w:ascii="宋体" w:hAnsi="宋体" w:eastAsia="宋体" w:cs="AdobeSongStd-Light"/>
                <w:kern w:val="0"/>
                <w:szCs w:val="21"/>
              </w:rPr>
            </w:pPr>
          </w:p>
          <w:p w14:paraId="7314CCFC">
            <w:pPr>
              <w:jc w:val="left"/>
              <w:rPr>
                <w:rFonts w:hint="eastAsia" w:ascii="宋体" w:hAnsi="宋体" w:eastAsia="宋体" w:cs="AdobeSongStd-Light"/>
                <w:kern w:val="0"/>
                <w:szCs w:val="21"/>
              </w:rPr>
            </w:pPr>
          </w:p>
          <w:p w14:paraId="61170D15">
            <w:pPr>
              <w:jc w:val="left"/>
              <w:rPr>
                <w:rFonts w:hint="eastAsia" w:ascii="宋体" w:hAnsi="宋体" w:eastAsia="宋体" w:cs="AdobeSongStd-Light"/>
                <w:kern w:val="0"/>
                <w:szCs w:val="21"/>
              </w:rPr>
            </w:pPr>
          </w:p>
          <w:p w14:paraId="7B12F585">
            <w:pPr>
              <w:jc w:val="left"/>
              <w:rPr>
                <w:rFonts w:hint="eastAsia" w:ascii="宋体" w:hAnsi="宋体" w:eastAsia="宋体" w:cs="AdobeSongStd-Light"/>
                <w:kern w:val="0"/>
                <w:szCs w:val="21"/>
              </w:rPr>
            </w:pPr>
            <w:r>
              <w:rPr>
                <w:rFonts w:hint="eastAsia" w:ascii="宋体" w:hAnsi="宋体" w:eastAsia="宋体" w:cs="AdobeSongStd-Light"/>
                <w:kern w:val="0"/>
                <w:szCs w:val="21"/>
              </w:rPr>
              <w:t>签名：</w:t>
            </w:r>
          </w:p>
        </w:tc>
      </w:tr>
    </w:tbl>
    <w:p w14:paraId="2E71284B"/>
    <w:p w14:paraId="037F3EBF"/>
    <w:p w14:paraId="27798B9A"/>
    <w:p w14:paraId="48E07168"/>
    <w:p w14:paraId="352AF7B0"/>
    <w:p w14:paraId="3C099904"/>
    <w:p w14:paraId="004015FD"/>
    <w:p w14:paraId="14EFF5A6"/>
    <w:p w14:paraId="08694479"/>
    <w:p w14:paraId="27988451"/>
    <w:p w14:paraId="0BE1C064"/>
    <w:p w14:paraId="44B6FA0A"/>
    <w:p w14:paraId="17FF4A7E"/>
    <w:p w14:paraId="2743ABB5"/>
    <w:p w14:paraId="111632C1"/>
    <w:p w14:paraId="1FBEB9C9"/>
    <w:p w14:paraId="6441D6DA"/>
    <w:p w14:paraId="4E8B88B7"/>
    <w:p w14:paraId="5F7B5205"/>
    <w:p w14:paraId="3E04FA25"/>
    <w:p w14:paraId="0E9F5482"/>
    <w:p w14:paraId="253B2D6F"/>
    <w:p w14:paraId="0010C134"/>
    <w:p w14:paraId="21F6B627"/>
    <w:p w14:paraId="45290A35"/>
    <w:p w14:paraId="0BEDC309"/>
    <w:p w14:paraId="321A5F0B"/>
    <w:p w14:paraId="41E34521"/>
    <w:p w14:paraId="2D83C283"/>
    <w:p w14:paraId="0671A916"/>
    <w:p w14:paraId="13C420D7"/>
    <w:p w14:paraId="50AEC6D1"/>
    <w:p w14:paraId="38095CFA"/>
    <w:p w14:paraId="5F88C5F6"/>
    <w:p w14:paraId="36047F68">
      <w:pPr>
        <w:pStyle w:val="3"/>
        <w:spacing w:before="0" w:after="0" w:line="415" w:lineRule="auto"/>
        <w:jc w:val="center"/>
        <w:rPr>
          <w:rFonts w:ascii="Times New Roman" w:hAnsi="Times New Roman" w:eastAsia="微软雅黑" w:cs="Times New Roman"/>
        </w:rPr>
      </w:pPr>
      <w:r>
        <w:rPr>
          <w:rFonts w:hint="eastAsia" w:ascii="Times New Roman" w:hAnsi="Times New Roman" w:eastAsia="微软雅黑" w:cs="Times New Roman"/>
        </w:rPr>
        <w:t>南京</w:t>
      </w:r>
      <w:r>
        <w:rPr>
          <w:rFonts w:ascii="Times New Roman" w:hAnsi="Times New Roman" w:eastAsia="微软雅黑" w:cs="Times New Roman"/>
        </w:rPr>
        <w:t>大学工程管理专业</w:t>
      </w:r>
      <w:r>
        <w:rPr>
          <w:rFonts w:hint="eastAsia" w:ascii="Times New Roman" w:hAnsi="Times New Roman" w:eastAsia="微软雅黑" w:cs="Times New Roman"/>
        </w:rPr>
        <w:t>学位</w:t>
      </w:r>
      <w:r>
        <w:rPr>
          <w:rFonts w:ascii="Times New Roman" w:hAnsi="Times New Roman" w:eastAsia="微软雅黑" w:cs="Times New Roman"/>
        </w:rPr>
        <w:t>论文</w:t>
      </w:r>
      <w:r>
        <w:rPr>
          <w:rFonts w:hint="eastAsia" w:ascii="Times New Roman" w:hAnsi="Times New Roman" w:eastAsia="微软雅黑" w:cs="Times New Roman"/>
        </w:rPr>
        <w:t>中期报告评审表</w:t>
      </w:r>
    </w:p>
    <w:p w14:paraId="3B12E3B1"/>
    <w:tbl>
      <w:tblPr>
        <w:tblStyle w:val="7"/>
        <w:tblpPr w:leftFromText="180" w:rightFromText="180" w:vertAnchor="page" w:horzAnchor="margin" w:tblpY="2184"/>
        <w:tblW w:w="92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332"/>
        <w:gridCol w:w="763"/>
        <w:gridCol w:w="1278"/>
        <w:gridCol w:w="709"/>
        <w:gridCol w:w="992"/>
        <w:gridCol w:w="851"/>
        <w:gridCol w:w="2098"/>
      </w:tblGrid>
      <w:tr w14:paraId="4AD5C065">
        <w:trPr>
          <w:trHeight w:val="557" w:hRule="atLeast"/>
        </w:trPr>
        <w:tc>
          <w:tcPr>
            <w:tcW w:w="1271" w:type="dxa"/>
            <w:noWrap w:val="0"/>
            <w:vAlign w:val="center"/>
          </w:tcPr>
          <w:p w14:paraId="6BC21981">
            <w:pPr>
              <w:jc w:val="center"/>
              <w:rPr>
                <w:rFonts w:ascii="Times New Roman" w:hAnsi="Times New Roman" w:eastAsia="仿宋" w:cs="Times New Roman"/>
              </w:rPr>
            </w:pPr>
            <w:r>
              <w:rPr>
                <w:rFonts w:ascii="Times New Roman" w:hAnsi="Times New Roman" w:eastAsia="仿宋" w:cs="Times New Roman"/>
              </w:rPr>
              <w:t>学号</w:t>
            </w:r>
          </w:p>
        </w:tc>
        <w:tc>
          <w:tcPr>
            <w:tcW w:w="1332" w:type="dxa"/>
            <w:noWrap w:val="0"/>
            <w:vAlign w:val="center"/>
          </w:tcPr>
          <w:p w14:paraId="2675883D">
            <w:pPr>
              <w:jc w:val="center"/>
              <w:rPr>
                <w:rFonts w:ascii="Times New Roman" w:hAnsi="Times New Roman" w:eastAsia="仿宋" w:cs="Times New Roman"/>
              </w:rPr>
            </w:pPr>
            <w:r>
              <w:rPr>
                <w:rFonts w:hint="eastAsia" w:ascii="宋体" w:hAnsi="宋体"/>
                <w:szCs w:val="21"/>
              </w:rPr>
              <w:t>5</w:t>
            </w:r>
            <w:r>
              <w:rPr>
                <w:rFonts w:ascii="宋体" w:hAnsi="宋体"/>
                <w:szCs w:val="21"/>
              </w:rPr>
              <w:t>32024150155</w:t>
            </w:r>
          </w:p>
        </w:tc>
        <w:tc>
          <w:tcPr>
            <w:tcW w:w="763" w:type="dxa"/>
            <w:noWrap w:val="0"/>
            <w:vAlign w:val="center"/>
          </w:tcPr>
          <w:p w14:paraId="7E03F913">
            <w:pPr>
              <w:rPr>
                <w:rFonts w:ascii="Times New Roman" w:hAnsi="Times New Roman" w:eastAsia="仿宋" w:cs="Times New Roman"/>
              </w:rPr>
            </w:pPr>
            <w:r>
              <w:rPr>
                <w:rFonts w:ascii="Times New Roman" w:hAnsi="Times New Roman" w:eastAsia="仿宋" w:cs="Times New Roman"/>
              </w:rPr>
              <w:t>姓名</w:t>
            </w:r>
          </w:p>
        </w:tc>
        <w:tc>
          <w:tcPr>
            <w:tcW w:w="1278" w:type="dxa"/>
            <w:noWrap w:val="0"/>
            <w:vAlign w:val="center"/>
          </w:tcPr>
          <w:p w14:paraId="550B0ADB">
            <w:pPr>
              <w:jc w:val="center"/>
              <w:rPr>
                <w:rFonts w:ascii="Times New Roman" w:hAnsi="Times New Roman" w:eastAsia="仿宋" w:cs="Times New Roman"/>
              </w:rPr>
            </w:pPr>
            <w:r>
              <w:rPr>
                <w:rFonts w:hint="eastAsia" w:ascii="宋体" w:hAnsi="宋体"/>
                <w:szCs w:val="21"/>
              </w:rPr>
              <w:t>于琮源</w:t>
            </w:r>
          </w:p>
        </w:tc>
        <w:tc>
          <w:tcPr>
            <w:tcW w:w="709" w:type="dxa"/>
            <w:noWrap w:val="0"/>
            <w:vAlign w:val="center"/>
          </w:tcPr>
          <w:p w14:paraId="1AB4F3F0">
            <w:pPr>
              <w:jc w:val="center"/>
              <w:rPr>
                <w:rFonts w:ascii="Times New Roman" w:hAnsi="Times New Roman" w:eastAsia="仿宋" w:cs="Times New Roman"/>
              </w:rPr>
            </w:pPr>
            <w:r>
              <w:rPr>
                <w:rFonts w:ascii="Times New Roman" w:hAnsi="Times New Roman" w:eastAsia="仿宋" w:cs="Times New Roman"/>
              </w:rPr>
              <w:t>班级</w:t>
            </w:r>
          </w:p>
        </w:tc>
        <w:tc>
          <w:tcPr>
            <w:tcW w:w="992" w:type="dxa"/>
            <w:noWrap w:val="0"/>
            <w:vAlign w:val="center"/>
          </w:tcPr>
          <w:p w14:paraId="4466034E">
            <w:pPr>
              <w:jc w:val="center"/>
              <w:rPr>
                <w:rFonts w:ascii="Times New Roman" w:hAnsi="Times New Roman" w:eastAsia="仿宋" w:cs="Times New Roman"/>
              </w:rPr>
            </w:pPr>
            <w:r>
              <w:rPr>
                <w:rFonts w:hint="eastAsia" w:ascii="宋体" w:hAnsi="宋体"/>
                <w:szCs w:val="21"/>
              </w:rPr>
              <w:t>南京一班</w:t>
            </w:r>
          </w:p>
        </w:tc>
        <w:tc>
          <w:tcPr>
            <w:tcW w:w="851" w:type="dxa"/>
            <w:noWrap w:val="0"/>
            <w:vAlign w:val="center"/>
          </w:tcPr>
          <w:p w14:paraId="6F14D320">
            <w:pPr>
              <w:jc w:val="center"/>
              <w:rPr>
                <w:rFonts w:ascii="Times New Roman" w:hAnsi="Times New Roman" w:eastAsia="仿宋" w:cs="Times New Roman"/>
              </w:rPr>
            </w:pPr>
            <w:r>
              <w:rPr>
                <w:rFonts w:ascii="Times New Roman" w:hAnsi="Times New Roman" w:eastAsia="仿宋" w:cs="Times New Roman"/>
              </w:rPr>
              <w:t>联系方式</w:t>
            </w:r>
          </w:p>
        </w:tc>
        <w:tc>
          <w:tcPr>
            <w:tcW w:w="2098" w:type="dxa"/>
            <w:noWrap w:val="0"/>
            <w:vAlign w:val="center"/>
          </w:tcPr>
          <w:p w14:paraId="179BF404">
            <w:pPr>
              <w:jc w:val="center"/>
              <w:rPr>
                <w:rFonts w:ascii="Times New Roman" w:hAnsi="Times New Roman" w:eastAsia="仿宋" w:cs="Times New Roman"/>
              </w:rPr>
            </w:pPr>
            <w:r>
              <w:rPr>
                <w:rFonts w:hint="eastAsia" w:ascii="宋体" w:hAnsi="宋体"/>
                <w:szCs w:val="21"/>
              </w:rPr>
              <w:t>1</w:t>
            </w:r>
            <w:r>
              <w:rPr>
                <w:rFonts w:ascii="宋体" w:hAnsi="宋体"/>
                <w:szCs w:val="21"/>
              </w:rPr>
              <w:t>5150540418</w:t>
            </w:r>
          </w:p>
        </w:tc>
      </w:tr>
      <w:tr w14:paraId="4C4799F5">
        <w:trPr>
          <w:trHeight w:val="567" w:hRule="atLeast"/>
        </w:trPr>
        <w:tc>
          <w:tcPr>
            <w:tcW w:w="1271" w:type="dxa"/>
            <w:noWrap w:val="0"/>
            <w:vAlign w:val="center"/>
          </w:tcPr>
          <w:p w14:paraId="09B032BF">
            <w:pPr>
              <w:jc w:val="center"/>
              <w:rPr>
                <w:rFonts w:ascii="Times New Roman" w:hAnsi="Times New Roman" w:eastAsia="仿宋" w:cs="Times New Roman"/>
              </w:rPr>
            </w:pPr>
            <w:r>
              <w:rPr>
                <w:rFonts w:ascii="Times New Roman" w:hAnsi="Times New Roman" w:eastAsia="仿宋" w:cs="Times New Roman"/>
              </w:rPr>
              <w:t>校内</w:t>
            </w:r>
          </w:p>
          <w:p w14:paraId="4029887C">
            <w:pPr>
              <w:jc w:val="center"/>
              <w:rPr>
                <w:rFonts w:ascii="Times New Roman" w:hAnsi="Times New Roman" w:eastAsia="仿宋" w:cs="Times New Roman"/>
              </w:rPr>
            </w:pPr>
            <w:r>
              <w:rPr>
                <w:rFonts w:ascii="Times New Roman" w:hAnsi="Times New Roman" w:eastAsia="仿宋" w:cs="Times New Roman"/>
              </w:rPr>
              <w:t>导师</w:t>
            </w:r>
          </w:p>
        </w:tc>
        <w:tc>
          <w:tcPr>
            <w:tcW w:w="3373" w:type="dxa"/>
            <w:gridSpan w:val="3"/>
            <w:noWrap w:val="0"/>
            <w:vAlign w:val="center"/>
          </w:tcPr>
          <w:p w14:paraId="03CF97DE">
            <w:pPr>
              <w:jc w:val="center"/>
              <w:rPr>
                <w:rFonts w:ascii="Times New Roman" w:hAnsi="Times New Roman" w:eastAsia="仿宋" w:cs="Times New Roman"/>
              </w:rPr>
            </w:pPr>
            <w:r>
              <w:rPr>
                <w:rFonts w:hint="eastAsia" w:ascii="宋体" w:hAnsi="宋体" w:eastAsia="宋体"/>
                <w:szCs w:val="21"/>
              </w:rPr>
              <w:t>赵佳宝</w:t>
            </w:r>
          </w:p>
        </w:tc>
        <w:tc>
          <w:tcPr>
            <w:tcW w:w="709" w:type="dxa"/>
            <w:noWrap w:val="0"/>
            <w:vAlign w:val="center"/>
          </w:tcPr>
          <w:p w14:paraId="2BA9CB0E">
            <w:pPr>
              <w:jc w:val="center"/>
              <w:rPr>
                <w:rFonts w:ascii="Times New Roman" w:hAnsi="Times New Roman" w:eastAsia="仿宋" w:cs="Times New Roman"/>
              </w:rPr>
            </w:pPr>
            <w:r>
              <w:rPr>
                <w:rFonts w:hint="eastAsia" w:ascii="Times New Roman" w:hAnsi="Times New Roman" w:eastAsia="仿宋" w:cs="Times New Roman"/>
              </w:rPr>
              <w:t>企业</w:t>
            </w:r>
            <w:r>
              <w:rPr>
                <w:rFonts w:ascii="Times New Roman" w:hAnsi="Times New Roman" w:eastAsia="仿宋" w:cs="Times New Roman"/>
              </w:rPr>
              <w:t>导师</w:t>
            </w:r>
          </w:p>
        </w:tc>
        <w:tc>
          <w:tcPr>
            <w:tcW w:w="3941" w:type="dxa"/>
            <w:gridSpan w:val="3"/>
            <w:noWrap w:val="0"/>
            <w:vAlign w:val="center"/>
          </w:tcPr>
          <w:p w14:paraId="6755E3D7">
            <w:pPr>
              <w:jc w:val="center"/>
              <w:rPr>
                <w:rFonts w:ascii="Times New Roman" w:hAnsi="Times New Roman" w:eastAsia="仿宋" w:cs="Times New Roman"/>
              </w:rPr>
            </w:pPr>
            <w:r>
              <w:rPr>
                <w:rFonts w:hint="eastAsia" w:ascii="宋体" w:hAnsi="宋体" w:eastAsia="宋体"/>
                <w:szCs w:val="21"/>
              </w:rPr>
              <w:t>于亮</w:t>
            </w:r>
          </w:p>
        </w:tc>
      </w:tr>
      <w:tr w14:paraId="73ACBC11">
        <w:trPr>
          <w:trHeight w:val="549" w:hRule="atLeast"/>
        </w:trPr>
        <w:tc>
          <w:tcPr>
            <w:tcW w:w="1271" w:type="dxa"/>
            <w:noWrap w:val="0"/>
            <w:vAlign w:val="center"/>
          </w:tcPr>
          <w:p w14:paraId="24043EC1">
            <w:pPr>
              <w:jc w:val="center"/>
              <w:rPr>
                <w:rFonts w:ascii="Times New Roman" w:hAnsi="Times New Roman" w:eastAsia="仿宋" w:cs="Times New Roman"/>
              </w:rPr>
            </w:pPr>
            <w:r>
              <w:rPr>
                <w:rFonts w:hint="eastAsia" w:ascii="Times New Roman" w:hAnsi="Times New Roman" w:eastAsia="仿宋" w:cs="Times New Roman"/>
              </w:rPr>
              <w:t>论文</w:t>
            </w:r>
          </w:p>
          <w:p w14:paraId="0BAB21DB">
            <w:pPr>
              <w:jc w:val="center"/>
              <w:rPr>
                <w:rFonts w:ascii="Times New Roman" w:hAnsi="Times New Roman" w:eastAsia="仿宋" w:cs="Times New Roman"/>
              </w:rPr>
            </w:pPr>
            <w:r>
              <w:rPr>
                <w:rFonts w:hint="eastAsia" w:ascii="Times New Roman" w:hAnsi="Times New Roman" w:eastAsia="仿宋" w:cs="Times New Roman"/>
              </w:rPr>
              <w:t>题目</w:t>
            </w:r>
          </w:p>
        </w:tc>
        <w:tc>
          <w:tcPr>
            <w:tcW w:w="8023" w:type="dxa"/>
            <w:gridSpan w:val="7"/>
            <w:noWrap w:val="0"/>
            <w:vAlign w:val="center"/>
          </w:tcPr>
          <w:p w14:paraId="6E52170C">
            <w:pPr>
              <w:jc w:val="center"/>
              <w:rPr>
                <w:rFonts w:ascii="Times New Roman" w:hAnsi="Times New Roman" w:eastAsia="仿宋" w:cs="Times New Roman"/>
              </w:rPr>
            </w:pPr>
            <w:r>
              <w:rPr>
                <w:rFonts w:hint="eastAsia" w:ascii="宋体" w:hAnsi="宋体" w:eastAsia="宋体"/>
                <w:szCs w:val="21"/>
              </w:rPr>
              <w:t>C公司充电桩</w:t>
            </w:r>
            <w:r>
              <w:rPr>
                <w:rFonts w:hint="eastAsia" w:ascii="宋体" w:hAnsi="宋体" w:eastAsia="宋体"/>
                <w:szCs w:val="21"/>
                <w:lang w:val="en-US" w:eastAsia="zh-CN"/>
              </w:rPr>
              <w:t>选址问题研究</w:t>
            </w:r>
          </w:p>
        </w:tc>
      </w:tr>
      <w:tr w14:paraId="5E2E3D22">
        <w:trPr>
          <w:trHeight w:val="923" w:hRule="atLeast"/>
        </w:trPr>
        <w:tc>
          <w:tcPr>
            <w:tcW w:w="1271" w:type="dxa"/>
            <w:vMerge w:val="restart"/>
            <w:noWrap w:val="0"/>
            <w:vAlign w:val="center"/>
          </w:tcPr>
          <w:p w14:paraId="02838388">
            <w:pPr>
              <w:jc w:val="center"/>
              <w:rPr>
                <w:rFonts w:ascii="Times New Roman" w:hAnsi="Times New Roman" w:eastAsia="仿宋" w:cs="Times New Roman"/>
                <w:b/>
                <w:sz w:val="28"/>
                <w:szCs w:val="28"/>
              </w:rPr>
            </w:pPr>
            <w:r>
              <w:rPr>
                <w:rFonts w:hint="eastAsia" w:ascii="Times New Roman" w:hAnsi="Times New Roman" w:eastAsia="仿宋" w:cs="Times New Roman"/>
                <w:b/>
                <w:sz w:val="28"/>
                <w:szCs w:val="28"/>
              </w:rPr>
              <w:t>中期报告结果</w:t>
            </w:r>
          </w:p>
        </w:tc>
        <w:tc>
          <w:tcPr>
            <w:tcW w:w="8023" w:type="dxa"/>
            <w:gridSpan w:val="7"/>
            <w:noWrap w:val="0"/>
            <w:vAlign w:val="center"/>
          </w:tcPr>
          <w:p w14:paraId="00D08DDF">
            <w:pPr>
              <w:pStyle w:val="12"/>
              <w:numPr>
                <w:ilvl w:val="0"/>
                <w:numId w:val="1"/>
              </w:numPr>
              <w:ind w:firstLineChars="0"/>
              <w:jc w:val="left"/>
              <w:rPr>
                <w:rFonts w:ascii="Times New Roman" w:hAnsi="Times New Roman" w:eastAsia="仿宋" w:cs="Times New Roman"/>
                <w:sz w:val="28"/>
              </w:rPr>
            </w:pPr>
            <w:r>
              <w:rPr>
                <w:rFonts w:hint="eastAsia" w:ascii="Times New Roman" w:hAnsi="Times New Roman" w:eastAsia="仿宋" w:cs="Times New Roman"/>
                <w:sz w:val="28"/>
              </w:rPr>
              <w:t>同意通过，</w:t>
            </w:r>
            <w:r>
              <w:rPr>
                <w:rFonts w:hint="eastAsia" w:ascii="Times New Roman" w:hAnsi="Times New Roman" w:eastAsia="仿宋" w:cs="Times New Roman"/>
              </w:rPr>
              <w:t>请列出尚需进一步修改完善的内容（请在参考问题清单中勾选）</w:t>
            </w:r>
          </w:p>
        </w:tc>
      </w:tr>
      <w:tr w14:paraId="285658FD">
        <w:trPr>
          <w:trHeight w:val="1970" w:hRule="atLeast"/>
        </w:trPr>
        <w:tc>
          <w:tcPr>
            <w:tcW w:w="1271" w:type="dxa"/>
            <w:vMerge w:val="continue"/>
            <w:noWrap w:val="0"/>
            <w:vAlign w:val="center"/>
          </w:tcPr>
          <w:p w14:paraId="3D58F1D8">
            <w:pPr>
              <w:jc w:val="center"/>
              <w:rPr>
                <w:rFonts w:ascii="Times New Roman" w:hAnsi="Times New Roman" w:eastAsia="仿宋" w:cs="Times New Roman"/>
                <w:b/>
                <w:sz w:val="28"/>
                <w:szCs w:val="28"/>
              </w:rPr>
            </w:pPr>
          </w:p>
        </w:tc>
        <w:tc>
          <w:tcPr>
            <w:tcW w:w="8023" w:type="dxa"/>
            <w:gridSpan w:val="7"/>
            <w:noWrap w:val="0"/>
            <w:vAlign w:val="center"/>
          </w:tcPr>
          <w:p w14:paraId="27F66945">
            <w:pPr>
              <w:pStyle w:val="12"/>
              <w:numPr>
                <w:ilvl w:val="0"/>
                <w:numId w:val="1"/>
              </w:numPr>
              <w:ind w:firstLineChars="0"/>
              <w:jc w:val="left"/>
              <w:rPr>
                <w:rFonts w:ascii="Times New Roman" w:hAnsi="Times New Roman" w:eastAsia="仿宋" w:cs="Times New Roman"/>
                <w:sz w:val="28"/>
              </w:rPr>
            </w:pPr>
            <w:r>
              <w:rPr>
                <w:rFonts w:hint="eastAsia" w:ascii="Times New Roman" w:hAnsi="Times New Roman" w:eastAsia="仿宋" w:cs="Times New Roman"/>
                <w:sz w:val="28"/>
              </w:rPr>
              <w:t>不同意通过，</w:t>
            </w:r>
            <w:r>
              <w:rPr>
                <w:rFonts w:hint="eastAsia" w:ascii="Times New Roman" w:hAnsi="Times New Roman" w:eastAsia="仿宋" w:cs="Times New Roman"/>
              </w:rPr>
              <w:t>请列出需要重点明确和改进的内容（必填）</w:t>
            </w:r>
          </w:p>
          <w:p w14:paraId="618A29B6">
            <w:pPr>
              <w:pStyle w:val="12"/>
              <w:ind w:left="360" w:firstLine="0" w:firstLineChars="0"/>
              <w:jc w:val="left"/>
              <w:rPr>
                <w:rFonts w:ascii="Times New Roman" w:hAnsi="Times New Roman" w:eastAsia="仿宋" w:cs="Times New Roman"/>
              </w:rPr>
            </w:pPr>
          </w:p>
          <w:p w14:paraId="4EFD796B">
            <w:pPr>
              <w:pStyle w:val="12"/>
              <w:ind w:left="360" w:firstLine="0" w:firstLineChars="0"/>
              <w:jc w:val="left"/>
              <w:rPr>
                <w:rFonts w:ascii="Times New Roman" w:hAnsi="Times New Roman" w:eastAsia="仿宋" w:cs="Times New Roman"/>
              </w:rPr>
            </w:pPr>
          </w:p>
          <w:p w14:paraId="6610AC59">
            <w:pPr>
              <w:pStyle w:val="12"/>
              <w:ind w:left="360" w:firstLine="0" w:firstLineChars="0"/>
              <w:jc w:val="left"/>
              <w:rPr>
                <w:rFonts w:ascii="Times New Roman" w:hAnsi="Times New Roman" w:eastAsia="仿宋" w:cs="Times New Roman"/>
                <w:sz w:val="28"/>
              </w:rPr>
            </w:pPr>
          </w:p>
          <w:p w14:paraId="4A2E2FF7">
            <w:pPr>
              <w:pStyle w:val="12"/>
              <w:ind w:left="360" w:firstLine="0" w:firstLineChars="0"/>
              <w:jc w:val="left"/>
              <w:rPr>
                <w:rFonts w:ascii="Times New Roman" w:hAnsi="Times New Roman" w:eastAsia="仿宋" w:cs="Times New Roman"/>
                <w:sz w:val="28"/>
              </w:rPr>
            </w:pPr>
          </w:p>
        </w:tc>
      </w:tr>
      <w:tr w14:paraId="7B689B2E">
        <w:trPr>
          <w:trHeight w:val="5563" w:hRule="atLeast"/>
        </w:trPr>
        <w:tc>
          <w:tcPr>
            <w:tcW w:w="1271" w:type="dxa"/>
            <w:noWrap w:val="0"/>
            <w:vAlign w:val="center"/>
          </w:tcPr>
          <w:p w14:paraId="336ACEBA">
            <w:pPr>
              <w:jc w:val="center"/>
              <w:rPr>
                <w:rFonts w:ascii="Times New Roman" w:hAnsi="Times New Roman" w:eastAsia="仿宋" w:cs="Times New Roman"/>
                <w:b/>
                <w:sz w:val="28"/>
                <w:szCs w:val="28"/>
              </w:rPr>
            </w:pPr>
            <w:r>
              <w:rPr>
                <w:rFonts w:hint="eastAsia" w:ascii="Times New Roman" w:hAnsi="Times New Roman" w:eastAsia="仿宋" w:cs="Times New Roman"/>
                <w:b/>
                <w:sz w:val="28"/>
                <w:szCs w:val="28"/>
              </w:rPr>
              <w:t>参考问题清单</w:t>
            </w:r>
          </w:p>
          <w:p w14:paraId="3C0F5843">
            <w:pPr>
              <w:jc w:val="center"/>
              <w:rPr>
                <w:rFonts w:ascii="Times New Roman" w:hAnsi="Times New Roman" w:eastAsia="仿宋" w:cs="Times New Roman"/>
                <w:b/>
                <w:sz w:val="28"/>
                <w:szCs w:val="28"/>
              </w:rPr>
            </w:pPr>
          </w:p>
        </w:tc>
        <w:tc>
          <w:tcPr>
            <w:tcW w:w="8023" w:type="dxa"/>
            <w:gridSpan w:val="7"/>
            <w:noWrap w:val="0"/>
            <w:vAlign w:val="center"/>
          </w:tcPr>
          <w:p w14:paraId="4A413506">
            <w:pPr>
              <w:spacing w:line="520" w:lineRule="exact"/>
              <w:ind w:firstLine="210" w:firstLineChars="100"/>
              <w:jc w:val="left"/>
              <w:rPr>
                <w:rFonts w:ascii="Times New Roman" w:hAnsi="Times New Roman" w:eastAsia="仿宋" w:cs="Times New Roman"/>
              </w:rPr>
            </w:pPr>
            <w:r>
              <w:rPr>
                <w:rFonts w:hint="eastAsia" w:ascii="Times New Roman" w:hAnsi="Times New Roman" w:eastAsia="仿宋" w:cs="Times New Roman"/>
              </w:rPr>
              <w:t xml:space="preserve">□ </w:t>
            </w:r>
            <w:r>
              <w:rPr>
                <w:rFonts w:ascii="Times New Roman" w:hAnsi="Times New Roman" w:eastAsia="仿宋" w:cs="Times New Roman"/>
              </w:rPr>
              <w:t>1</w:t>
            </w:r>
            <w:r>
              <w:rPr>
                <w:rFonts w:hint="eastAsia" w:ascii="Times New Roman" w:hAnsi="Times New Roman" w:eastAsia="仿宋" w:cs="Times New Roman"/>
              </w:rPr>
              <w:t>）课程</w:t>
            </w:r>
            <w:r>
              <w:rPr>
                <w:rFonts w:ascii="Times New Roman" w:hAnsi="Times New Roman" w:eastAsia="仿宋" w:cs="Times New Roman"/>
              </w:rPr>
              <w:t>学分、</w:t>
            </w:r>
            <w:r>
              <w:rPr>
                <w:rFonts w:hint="eastAsia" w:ascii="Times New Roman" w:hAnsi="Times New Roman" w:eastAsia="仿宋" w:cs="Times New Roman"/>
              </w:rPr>
              <w:t>文献阅读报告</w:t>
            </w:r>
            <w:r>
              <w:rPr>
                <w:rFonts w:ascii="Times New Roman" w:hAnsi="Times New Roman" w:eastAsia="仿宋" w:cs="Times New Roman"/>
              </w:rPr>
              <w:t>等在答辩前不可能达到要求</w:t>
            </w:r>
            <w:r>
              <w:rPr>
                <w:rFonts w:hint="eastAsia" w:ascii="Times New Roman" w:hAnsi="Times New Roman" w:eastAsia="仿宋" w:cs="Times New Roman"/>
              </w:rPr>
              <w:t>；</w:t>
            </w:r>
          </w:p>
          <w:p w14:paraId="4146B635">
            <w:pPr>
              <w:spacing w:line="520" w:lineRule="exact"/>
              <w:ind w:firstLine="210" w:firstLineChars="100"/>
              <w:jc w:val="left"/>
              <w:rPr>
                <w:rFonts w:ascii="Times New Roman" w:hAnsi="Times New Roman" w:eastAsia="仿宋" w:cs="Times New Roman"/>
              </w:rPr>
            </w:pPr>
            <w:r>
              <w:rPr>
                <w:rFonts w:hint="eastAsia" w:ascii="Times New Roman" w:hAnsi="Times New Roman" w:eastAsia="仿宋" w:cs="Times New Roman"/>
              </w:rPr>
              <w:t xml:space="preserve">□ </w:t>
            </w:r>
            <w:r>
              <w:rPr>
                <w:rFonts w:ascii="Times New Roman" w:hAnsi="Times New Roman" w:eastAsia="仿宋" w:cs="Times New Roman"/>
              </w:rPr>
              <w:t>2</w:t>
            </w:r>
            <w:r>
              <w:rPr>
                <w:rFonts w:hint="eastAsia" w:ascii="Times New Roman" w:hAnsi="Times New Roman" w:eastAsia="仿宋" w:cs="Times New Roman"/>
              </w:rPr>
              <w:t>）没有完整的论文章节，已完成的论文部分没有</w:t>
            </w:r>
            <w:r>
              <w:rPr>
                <w:rFonts w:ascii="Times New Roman" w:hAnsi="Times New Roman" w:eastAsia="仿宋" w:cs="Times New Roman"/>
              </w:rPr>
              <w:t>实质性的</w:t>
            </w:r>
            <w:r>
              <w:rPr>
                <w:rFonts w:hint="eastAsia" w:ascii="Times New Roman" w:hAnsi="Times New Roman" w:eastAsia="仿宋" w:cs="Times New Roman"/>
              </w:rPr>
              <w:t>研究</w:t>
            </w:r>
            <w:r>
              <w:rPr>
                <w:rFonts w:ascii="Times New Roman" w:hAnsi="Times New Roman" w:eastAsia="仿宋" w:cs="Times New Roman"/>
              </w:rPr>
              <w:t>内容；</w:t>
            </w:r>
          </w:p>
          <w:p w14:paraId="358515A2">
            <w:pPr>
              <w:spacing w:line="520" w:lineRule="exact"/>
              <w:ind w:firstLine="210" w:firstLineChars="100"/>
              <w:jc w:val="left"/>
              <w:rPr>
                <w:rFonts w:ascii="Times New Roman" w:hAnsi="Times New Roman" w:eastAsia="仿宋" w:cs="Times New Roman"/>
              </w:rPr>
            </w:pPr>
            <w:r>
              <w:rPr>
                <w:rFonts w:hint="eastAsia" w:ascii="Times New Roman" w:hAnsi="Times New Roman" w:eastAsia="仿宋" w:cs="Times New Roman"/>
              </w:rPr>
              <w:t xml:space="preserve">□ </w:t>
            </w:r>
            <w:r>
              <w:rPr>
                <w:rFonts w:ascii="Times New Roman" w:hAnsi="Times New Roman" w:eastAsia="仿宋" w:cs="Times New Roman"/>
              </w:rPr>
              <w:t>3</w:t>
            </w:r>
            <w:r>
              <w:rPr>
                <w:rFonts w:hint="eastAsia" w:ascii="Times New Roman" w:hAnsi="Times New Roman" w:eastAsia="仿宋" w:cs="Times New Roman"/>
              </w:rPr>
              <w:t>）论文</w:t>
            </w:r>
            <w:r>
              <w:rPr>
                <w:rFonts w:ascii="Times New Roman" w:hAnsi="Times New Roman" w:eastAsia="仿宋" w:cs="Times New Roman"/>
              </w:rPr>
              <w:t>大纲（</w:t>
            </w:r>
            <w:r>
              <w:rPr>
                <w:rFonts w:hint="eastAsia" w:ascii="Times New Roman" w:hAnsi="Times New Roman" w:eastAsia="仿宋" w:cs="Times New Roman"/>
              </w:rPr>
              <w:t>包含</w:t>
            </w:r>
            <w:r>
              <w:rPr>
                <w:rFonts w:ascii="Times New Roman" w:hAnsi="Times New Roman" w:eastAsia="仿宋" w:cs="Times New Roman"/>
              </w:rPr>
              <w:t>论文三级目录）</w:t>
            </w:r>
            <w:r>
              <w:rPr>
                <w:rFonts w:hint="eastAsia" w:ascii="Times New Roman" w:hAnsi="Times New Roman" w:eastAsia="仿宋" w:cs="Times New Roman"/>
              </w:rPr>
              <w:t>不完整或者</w:t>
            </w:r>
            <w:r>
              <w:rPr>
                <w:rFonts w:ascii="Times New Roman" w:hAnsi="Times New Roman" w:eastAsia="仿宋" w:cs="Times New Roman"/>
              </w:rPr>
              <w:t>章节之间缺乏明显的逻辑关系；</w:t>
            </w:r>
          </w:p>
          <w:p w14:paraId="1FCBAA63">
            <w:pPr>
              <w:spacing w:line="520" w:lineRule="exact"/>
              <w:ind w:firstLine="210" w:firstLineChars="100"/>
              <w:jc w:val="left"/>
              <w:rPr>
                <w:rFonts w:ascii="Times New Roman" w:hAnsi="Times New Roman" w:eastAsia="仿宋" w:cs="Times New Roman"/>
              </w:rPr>
            </w:pPr>
            <w:r>
              <w:rPr>
                <w:rFonts w:hint="eastAsia" w:ascii="Times New Roman" w:hAnsi="Times New Roman" w:eastAsia="仿宋" w:cs="Times New Roman"/>
              </w:rPr>
              <w:t xml:space="preserve">□ </w:t>
            </w:r>
            <w:r>
              <w:rPr>
                <w:rFonts w:ascii="Times New Roman" w:hAnsi="Times New Roman" w:eastAsia="仿宋" w:cs="Times New Roman"/>
              </w:rPr>
              <w:t>4</w:t>
            </w:r>
            <w:r>
              <w:rPr>
                <w:rFonts w:hint="eastAsia" w:ascii="Times New Roman" w:hAnsi="Times New Roman" w:eastAsia="仿宋" w:cs="Times New Roman"/>
              </w:rPr>
              <w:t>）完成的论文整体工作量明显偏少；</w:t>
            </w:r>
          </w:p>
          <w:p w14:paraId="4587629E">
            <w:pPr>
              <w:spacing w:line="520" w:lineRule="exact"/>
              <w:ind w:firstLine="210" w:firstLineChars="100"/>
              <w:jc w:val="left"/>
              <w:rPr>
                <w:rFonts w:ascii="Times New Roman" w:hAnsi="Times New Roman" w:eastAsia="仿宋" w:cs="Times New Roman"/>
              </w:rPr>
            </w:pPr>
            <w:r>
              <w:rPr>
                <w:rFonts w:hint="eastAsia" w:ascii="Times New Roman" w:hAnsi="Times New Roman" w:eastAsia="仿宋" w:cs="Times New Roman"/>
              </w:rPr>
              <w:t>□ 5）完成的论文格式严重不符合《南京大学工程管理硕士学位论文规范要求》；</w:t>
            </w:r>
          </w:p>
          <w:p w14:paraId="0AA365E5">
            <w:pPr>
              <w:spacing w:line="520" w:lineRule="exact"/>
              <w:ind w:firstLine="210" w:firstLineChars="100"/>
              <w:jc w:val="left"/>
              <w:rPr>
                <w:rFonts w:ascii="Times New Roman" w:hAnsi="Times New Roman" w:eastAsia="仿宋" w:cs="Times New Roman"/>
              </w:rPr>
            </w:pPr>
            <w:r>
              <w:rPr>
                <w:rFonts w:hint="eastAsia" w:ascii="Times New Roman" w:hAnsi="Times New Roman" w:eastAsia="仿宋" w:cs="Times New Roman"/>
              </w:rPr>
              <w:t xml:space="preserve">□ </w:t>
            </w:r>
            <w:r>
              <w:rPr>
                <w:rFonts w:ascii="Times New Roman" w:hAnsi="Times New Roman" w:eastAsia="仿宋" w:cs="Times New Roman"/>
              </w:rPr>
              <w:t>6</w:t>
            </w:r>
            <w:r>
              <w:rPr>
                <w:rFonts w:hint="eastAsia" w:ascii="Times New Roman" w:hAnsi="Times New Roman" w:eastAsia="仿宋" w:cs="Times New Roman"/>
              </w:rPr>
              <w:t>）已</w:t>
            </w:r>
            <w:r>
              <w:rPr>
                <w:rFonts w:ascii="Times New Roman" w:hAnsi="Times New Roman" w:eastAsia="仿宋" w:cs="Times New Roman"/>
              </w:rPr>
              <w:t>完成的内容不符合工程管理</w:t>
            </w:r>
            <w:r>
              <w:rPr>
                <w:rFonts w:hint="eastAsia" w:ascii="Times New Roman" w:hAnsi="Times New Roman" w:eastAsia="仿宋" w:cs="Times New Roman"/>
              </w:rPr>
              <w:t>专业硕士论文</w:t>
            </w:r>
            <w:r>
              <w:rPr>
                <w:rFonts w:ascii="Times New Roman" w:hAnsi="Times New Roman" w:eastAsia="仿宋" w:cs="Times New Roman"/>
              </w:rPr>
              <w:t>选题和开题的要求。</w:t>
            </w:r>
          </w:p>
          <w:p w14:paraId="5FAA0F33">
            <w:pPr>
              <w:spacing w:line="480" w:lineRule="exact"/>
              <w:ind w:firstLine="210" w:firstLineChars="100"/>
              <w:jc w:val="left"/>
              <w:rPr>
                <w:rFonts w:ascii="Times New Roman" w:hAnsi="Times New Roman" w:eastAsia="仿宋" w:cs="Times New Roman"/>
              </w:rPr>
            </w:pPr>
            <w:r>
              <w:rPr>
                <w:rFonts w:hint="eastAsia" w:ascii="Times New Roman" w:hAnsi="Times New Roman" w:eastAsia="仿宋" w:cs="Times New Roman"/>
              </w:rPr>
              <w:t xml:space="preserve">□ </w:t>
            </w:r>
            <w:r>
              <w:rPr>
                <w:rFonts w:ascii="Times New Roman" w:hAnsi="Times New Roman" w:eastAsia="仿宋" w:cs="Times New Roman"/>
              </w:rPr>
              <w:t>7</w:t>
            </w:r>
            <w:r>
              <w:rPr>
                <w:rFonts w:hint="eastAsia" w:ascii="Times New Roman" w:hAnsi="Times New Roman" w:eastAsia="仿宋" w:cs="Times New Roman"/>
              </w:rPr>
              <w:t>）其他</w:t>
            </w:r>
            <w:r>
              <w:rPr>
                <w:rFonts w:ascii="Times New Roman" w:hAnsi="Times New Roman" w:eastAsia="仿宋" w:cs="Times New Roman"/>
              </w:rPr>
              <w:t>问题（</w:t>
            </w:r>
            <w:r>
              <w:rPr>
                <w:rFonts w:hint="eastAsia" w:ascii="Times New Roman" w:hAnsi="Times New Roman" w:eastAsia="仿宋" w:cs="Times New Roman"/>
              </w:rPr>
              <w:t>请填写）__________________________________</w:t>
            </w:r>
          </w:p>
        </w:tc>
      </w:tr>
      <w:tr w14:paraId="3898E2BA">
        <w:trPr>
          <w:trHeight w:val="1222" w:hRule="atLeast"/>
        </w:trPr>
        <w:tc>
          <w:tcPr>
            <w:tcW w:w="1271" w:type="dxa"/>
            <w:noWrap w:val="0"/>
            <w:vAlign w:val="center"/>
          </w:tcPr>
          <w:p w14:paraId="6CA2E496">
            <w:pPr>
              <w:jc w:val="center"/>
              <w:rPr>
                <w:rFonts w:ascii="Times New Roman" w:hAnsi="Times New Roman" w:eastAsia="仿宋" w:cs="Times New Roman"/>
                <w:b/>
              </w:rPr>
            </w:pPr>
            <w:r>
              <w:rPr>
                <w:rFonts w:hint="eastAsia" w:ascii="Times New Roman" w:hAnsi="Times New Roman" w:eastAsia="仿宋" w:cs="Times New Roman"/>
                <w:b/>
              </w:rPr>
              <w:t>论文研究方向</w:t>
            </w:r>
          </w:p>
        </w:tc>
        <w:tc>
          <w:tcPr>
            <w:tcW w:w="8023" w:type="dxa"/>
            <w:gridSpan w:val="7"/>
            <w:noWrap w:val="0"/>
            <w:vAlign w:val="center"/>
          </w:tcPr>
          <w:p w14:paraId="0F2E3D36">
            <w:pPr>
              <w:spacing w:after="156" w:afterLines="50"/>
              <w:jc w:val="left"/>
              <w:rPr>
                <w:rFonts w:ascii="Times New Roman" w:hAnsi="Times New Roman" w:eastAsia="仿宋" w:cs="Times New Roman"/>
              </w:rPr>
            </w:pP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 xml:space="preserve">□ 项目管理  </w:t>
            </w:r>
            <w:r>
              <w:rPr>
                <w:rFonts w:ascii="Times New Roman" w:hAnsi="Times New Roman" w:eastAsia="仿宋" w:cs="Times New Roman"/>
              </w:rPr>
              <w:t xml:space="preserve">       </w:t>
            </w:r>
            <w:r>
              <w:rPr>
                <w:rFonts w:hint="eastAsia" w:ascii="Times New Roman" w:hAnsi="Times New Roman" w:eastAsia="仿宋" w:cs="Times New Roman"/>
              </w:rPr>
              <w:t xml:space="preserve">□ 工业工程与管理  □ 物流工程与管理  </w:t>
            </w:r>
          </w:p>
          <w:p w14:paraId="5102DC94">
            <w:pPr>
              <w:ind w:firstLine="210" w:firstLineChars="100"/>
              <w:jc w:val="left"/>
              <w:rPr>
                <w:rFonts w:ascii="Times New Roman" w:hAnsi="Times New Roman" w:eastAsia="仿宋" w:cs="Times New Roman"/>
                <w:sz w:val="28"/>
              </w:rPr>
            </w:pPr>
            <w:r>
              <w:rPr>
                <w:rFonts w:hint="eastAsia" w:ascii="Times New Roman" w:hAnsi="Times New Roman" w:eastAsia="仿宋" w:cs="Times New Roman"/>
              </w:rPr>
              <w:t xml:space="preserve">□ 金融工程与管理 </w:t>
            </w:r>
            <w:r>
              <w:rPr>
                <w:rFonts w:ascii="Times New Roman" w:hAnsi="Times New Roman" w:eastAsia="仿宋" w:cs="Times New Roman"/>
              </w:rPr>
              <w:t xml:space="preserve">  </w:t>
            </w:r>
            <w:r>
              <w:rPr>
                <w:rFonts w:hint="eastAsia" w:ascii="Times New Roman" w:hAnsi="Times New Roman" w:eastAsia="仿宋" w:cs="Times New Roman"/>
              </w:rPr>
              <w:t xml:space="preserve">□ 信息工程与管理 </w:t>
            </w:r>
            <w:r>
              <w:rPr>
                <w:rFonts w:ascii="Times New Roman" w:hAnsi="Times New Roman" w:eastAsia="仿宋" w:cs="Times New Roman"/>
              </w:rPr>
              <w:t xml:space="preserve"> </w:t>
            </w:r>
            <w:r>
              <w:rPr>
                <w:rFonts w:hint="eastAsia" w:ascii="Times New Roman" w:hAnsi="Times New Roman" w:eastAsia="仿宋" w:cs="Times New Roman"/>
              </w:rPr>
              <w:t>□</w:t>
            </w:r>
            <w:r>
              <w:rPr>
                <w:rFonts w:hint="eastAsia" w:ascii="Times New Roman" w:hAnsi="Times New Roman" w:eastAsia="仿宋" w:cs="Times New Roman"/>
                <w:sz w:val="28"/>
              </w:rPr>
              <w:t xml:space="preserve"> </w:t>
            </w:r>
            <w:r>
              <w:rPr>
                <w:rFonts w:hint="eastAsia" w:ascii="Times New Roman" w:hAnsi="Times New Roman" w:eastAsia="仿宋" w:cs="Times New Roman"/>
                <w:sz w:val="28"/>
                <w:lang w:eastAsia="zh-CN"/>
              </w:rPr>
              <w:t>其他</w:t>
            </w:r>
          </w:p>
        </w:tc>
      </w:tr>
    </w:tbl>
    <w:p w14:paraId="0AC88B37"/>
    <w:p w14:paraId="0E12270E"/>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w:altName w:val="苹方-简"/>
    <w:panose1 w:val="02040503050406030204"/>
    <w:charset w:val="00"/>
    <w:family w:val="auto"/>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dobeSongStd-Light">
    <w:altName w:val="苹方-简"/>
    <w:panose1 w:val="00000000000000000000"/>
    <w:charset w:val="00"/>
    <w:family w:val="auto"/>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Wingdings 2">
    <w:panose1 w:val="05020102010507070707"/>
    <w:charset w:val="00"/>
    <w:family w:val="roman"/>
    <w:pitch w:val="default"/>
    <w:sig w:usb0="00000000" w:usb1="00000000" w:usb2="00000000" w:usb3="00000000" w:csb0="80000000" w:csb1="00000000"/>
  </w:font>
  <w:font w:name="仿宋">
    <w:altName w:val="仿宋-简"/>
    <w:panose1 w:val="02010609060101010101"/>
    <w:charset w:val="00"/>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D4550C"/>
    <w:multiLevelType w:val="multilevel"/>
    <w:tmpl w:val="73D4550C"/>
    <w:lvl w:ilvl="0" w:tentative="0">
      <w:start w:val="1"/>
      <w:numFmt w:val="bullet"/>
      <w:lvlText w:val="□"/>
      <w:lvlJc w:val="left"/>
      <w:pPr>
        <w:ind w:left="360" w:hanging="360"/>
      </w:pPr>
      <w:rPr>
        <w:rFonts w:hint="eastAsia" w:ascii="仿宋" w:hAnsi="仿宋" w:eastAsia="仿宋"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GY5OGFjYzM1ZjEyYzBmYzE2NTVmYTc3NjkzMzY5NjAifQ=="/>
  </w:docVars>
  <w:rsids>
    <w:rsidRoot w:val="431A1C82"/>
    <w:rsid w:val="001A4E22"/>
    <w:rsid w:val="001B28AE"/>
    <w:rsid w:val="002208BA"/>
    <w:rsid w:val="00643FE5"/>
    <w:rsid w:val="00716553"/>
    <w:rsid w:val="00740ADE"/>
    <w:rsid w:val="00856653"/>
    <w:rsid w:val="00D560D7"/>
    <w:rsid w:val="00E741EC"/>
    <w:rsid w:val="00EE67C9"/>
    <w:rsid w:val="18378F93"/>
    <w:rsid w:val="3A9B1C16"/>
    <w:rsid w:val="3ABFDD5D"/>
    <w:rsid w:val="4A173A23"/>
    <w:rsid w:val="563D3078"/>
    <w:rsid w:val="724F2649"/>
    <w:rsid w:val="7CEB124A"/>
    <w:rsid w:val="7ED83ABB"/>
    <w:rsid w:val="7F7FF860"/>
    <w:rsid w:val="ADF6F689"/>
    <w:rsid w:val="D6F115E1"/>
    <w:rsid w:val="EB3DA828"/>
    <w:rsid w:val="F757173C"/>
    <w:rsid w:val="F7FFA691"/>
    <w:rsid w:val="FDB7B70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basedOn w:val="1"/>
    <w:next w:val="1"/>
    <w:qFormat/>
    <w:uiPriority w:val="9"/>
    <w:pPr>
      <w:keepNext/>
      <w:keepLines/>
      <w:spacing w:before="240" w:after="120" w:line="300" w:lineRule="auto"/>
      <w:ind w:firstLine="0"/>
      <w:outlineLvl w:val="0"/>
    </w:pPr>
    <w:rPr>
      <w:rFonts w:ascii="Cambria" w:hAnsi="Cambria" w:eastAsia="宋体" w:cs="Times New Roman"/>
      <w:b/>
      <w:bCs/>
      <w:color w:val="000000"/>
      <w:sz w:val="32"/>
      <w:szCs w:val="28"/>
    </w:rPr>
  </w:style>
  <w:style w:type="paragraph" w:styleId="3">
    <w:name w:val="heading 2"/>
    <w:basedOn w:val="1"/>
    <w:next w:val="1"/>
    <w:unhideWhenUsed/>
    <w:qFormat/>
    <w:uiPriority w:val="9"/>
    <w:pPr>
      <w:keepNext/>
      <w:keepLines/>
      <w:spacing w:before="260" w:after="260" w:line="416" w:lineRule="auto"/>
      <w:outlineLvl w:val="1"/>
    </w:pPr>
    <w:rPr>
      <w:rFonts w:ascii="Cambria" w:hAnsi="Cambria" w:eastAsia="宋体" w:cs="Times New Roman"/>
      <w:b/>
      <w:bCs/>
      <w:sz w:val="32"/>
      <w:szCs w:val="32"/>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unhideWhenUsed/>
    <w:uiPriority w:val="99"/>
    <w:pPr>
      <w:widowControl w:val="0"/>
      <w:adjustRightInd w:val="0"/>
      <w:spacing w:line="360" w:lineRule="auto"/>
      <w:ind w:firstLine="480" w:firstLineChars="200"/>
      <w:jc w:val="both"/>
    </w:pPr>
    <w:rPr>
      <w:rFonts w:ascii="Times New Roman" w:hAnsi="Times New Roman" w:eastAsia="宋体" w:cs="Times New Roman"/>
      <w:kern w:val="2"/>
      <w:sz w:val="24"/>
      <w:szCs w:val="24"/>
      <w:lang w:bidi="ar-SA"/>
    </w:rPr>
  </w:style>
  <w:style w:type="paragraph" w:styleId="5">
    <w:name w:val="footer"/>
    <w:basedOn w:val="1"/>
    <w:link w:val="10"/>
    <w:uiPriority w:val="0"/>
    <w:pPr>
      <w:tabs>
        <w:tab w:val="center" w:pos="4153"/>
        <w:tab w:val="right" w:pos="8306"/>
      </w:tabs>
      <w:snapToGrid w:val="0"/>
      <w:jc w:val="left"/>
    </w:pPr>
    <w:rPr>
      <w:sz w:val="18"/>
      <w:szCs w:val="18"/>
    </w:rPr>
  </w:style>
  <w:style w:type="paragraph" w:styleId="6">
    <w:name w:val="header"/>
    <w:basedOn w:val="1"/>
    <w:link w:val="11"/>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ascii="等线" w:hAnsi="等线" w:eastAsia="等线"/>
      <w:kern w:val="2"/>
      <w:sz w:val="18"/>
      <w:szCs w:val="18"/>
    </w:rPr>
  </w:style>
  <w:style w:type="character" w:customStyle="1" w:styleId="11">
    <w:name w:val="页眉 字符"/>
    <w:link w:val="6"/>
    <w:uiPriority w:val="0"/>
    <w:rPr>
      <w:rFonts w:ascii="等线" w:hAnsi="等线" w:eastAsia="等线"/>
      <w:kern w:val="2"/>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555</Words>
  <Characters>566</Characters>
  <Lines>6</Lines>
  <Paragraphs>1</Paragraphs>
  <TotalTime>2</TotalTime>
  <ScaleCrop>false</ScaleCrop>
  <LinksUpToDate>false</LinksUpToDate>
  <CharactersWithSpaces>706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2021-09-11T01:47:00Z</dcterms:created>
  <dc:creator>user</dc:creator>
  <cp:lastModifiedBy>yl0473</cp:lastModifiedBy>
  <dcterms:modified xsi:type="dcterms:W3CDTF">2026-06-10T22:26:36Z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786EA910524B4A908F4EB2D30735D1FD</vt:lpwstr>
  </property>
</Properties>
</file>