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5140" w14:textId="32349D14" w:rsidR="00CB7298" w:rsidRPr="00CB7298" w:rsidRDefault="00CB7298" w:rsidP="00CB7298">
      <w:pPr>
        <w:jc w:val="both"/>
        <w:rPr>
          <w:rFonts w:ascii="Times New Roman" w:eastAsia="Times New Roman" w:hAnsi="Times New Roman" w:cs="Times New Roman"/>
          <w:b/>
        </w:rPr>
      </w:pPr>
      <w:r w:rsidRPr="00CB7298">
        <w:rPr>
          <w:rFonts w:ascii="Times New Roman" w:eastAsia="Times New Roman" w:hAnsi="Times New Roman" w:cs="Times New Roman"/>
          <w:b/>
        </w:rPr>
        <w:t xml:space="preserve">Project paper presented to: </w:t>
      </w:r>
      <w:r w:rsidRPr="00CB7298">
        <w:rPr>
          <w:rFonts w:ascii="Times New Roman" w:eastAsia="Times New Roman" w:hAnsi="Times New Roman" w:cs="Times New Roman"/>
          <w:bCs/>
        </w:rPr>
        <w:t>M. Robert (instructor)</w:t>
      </w:r>
    </w:p>
    <w:p w14:paraId="6E451E78" w14:textId="72DEAAFC" w:rsidR="00BE63FA" w:rsidRPr="00CB7298" w:rsidRDefault="00DD5360" w:rsidP="00E412DD">
      <w:pPr>
        <w:jc w:val="both"/>
        <w:rPr>
          <w:rFonts w:ascii="Times New Roman" w:eastAsia="Times New Roman" w:hAnsi="Times New Roman" w:cs="Times New Roman"/>
          <w:bCs/>
        </w:rPr>
      </w:pPr>
      <w:r w:rsidRPr="00CB7298">
        <w:rPr>
          <w:rFonts w:ascii="Times New Roman" w:eastAsia="Times New Roman" w:hAnsi="Times New Roman" w:cs="Times New Roman"/>
          <w:b/>
        </w:rPr>
        <w:t xml:space="preserve">Project due date: </w:t>
      </w:r>
      <w:r w:rsidR="00776454" w:rsidRPr="00CB7298">
        <w:rPr>
          <w:rFonts w:ascii="Times New Roman" w:eastAsia="Times New Roman" w:hAnsi="Times New Roman" w:cs="Times New Roman"/>
          <w:bCs/>
        </w:rPr>
        <w:t xml:space="preserve">August </w:t>
      </w:r>
      <w:r w:rsidR="00B269FD">
        <w:rPr>
          <w:rFonts w:ascii="Times New Roman" w:eastAsia="Times New Roman" w:hAnsi="Times New Roman" w:cs="Times New Roman"/>
          <w:bCs/>
        </w:rPr>
        <w:t>3</w:t>
      </w:r>
      <w:r w:rsidR="006E5C91" w:rsidRPr="00CB7298">
        <w:rPr>
          <w:rFonts w:ascii="Times New Roman" w:eastAsia="Times New Roman" w:hAnsi="Times New Roman" w:cs="Times New Roman"/>
          <w:bCs/>
        </w:rPr>
        <w:t>, 20</w:t>
      </w:r>
      <w:r w:rsidR="00D14154" w:rsidRPr="00CB7298">
        <w:rPr>
          <w:rFonts w:ascii="Times New Roman" w:eastAsia="Times New Roman" w:hAnsi="Times New Roman" w:cs="Times New Roman"/>
          <w:bCs/>
        </w:rPr>
        <w:t>2</w:t>
      </w:r>
      <w:r w:rsidR="00B269FD">
        <w:rPr>
          <w:rFonts w:ascii="Times New Roman" w:eastAsia="Times New Roman" w:hAnsi="Times New Roman" w:cs="Times New Roman"/>
          <w:bCs/>
        </w:rPr>
        <w:t>5</w:t>
      </w:r>
      <w:r w:rsidR="00F110F1" w:rsidRPr="00CB7298">
        <w:rPr>
          <w:rFonts w:ascii="Times New Roman" w:eastAsia="Times New Roman" w:hAnsi="Times New Roman" w:cs="Times New Roman"/>
          <w:bCs/>
        </w:rPr>
        <w:t xml:space="preserve"> at 23:5</w:t>
      </w:r>
      <w:r w:rsidR="00646D31">
        <w:rPr>
          <w:rFonts w:ascii="Times New Roman" w:eastAsia="Times New Roman" w:hAnsi="Times New Roman" w:cs="Times New Roman"/>
          <w:bCs/>
        </w:rPr>
        <w:t>5</w:t>
      </w:r>
    </w:p>
    <w:p w14:paraId="0E340A04" w14:textId="77777777" w:rsidR="006E5C91" w:rsidRPr="00CB7298" w:rsidRDefault="006E5C91" w:rsidP="00545E53">
      <w:pPr>
        <w:jc w:val="both"/>
        <w:rPr>
          <w:rFonts w:ascii="Times New Roman" w:eastAsia="Times New Roman" w:hAnsi="Times New Roman" w:cs="Times New Roman"/>
          <w:b/>
        </w:rPr>
      </w:pPr>
    </w:p>
    <w:p w14:paraId="730ED529" w14:textId="77777777" w:rsidR="006E5C91" w:rsidRPr="00CB7298" w:rsidRDefault="006E5C91" w:rsidP="00545E53">
      <w:pPr>
        <w:jc w:val="both"/>
        <w:rPr>
          <w:rFonts w:ascii="Times New Roman" w:eastAsia="Times New Roman" w:hAnsi="Times New Roman" w:cs="Times New Roman"/>
          <w:b/>
        </w:rPr>
      </w:pPr>
    </w:p>
    <w:p w14:paraId="6CAED654" w14:textId="5A0D3E9D" w:rsidR="00BE63FA" w:rsidRPr="00CB7298" w:rsidRDefault="00ED1F92" w:rsidP="00ED1F92">
      <w:pPr>
        <w:tabs>
          <w:tab w:val="left" w:pos="2267"/>
        </w:tabs>
        <w:jc w:val="both"/>
        <w:rPr>
          <w:rFonts w:ascii="Times New Roman" w:eastAsia="Times New Roman" w:hAnsi="Times New Roman" w:cs="Times New Roman"/>
          <w:b/>
        </w:rPr>
      </w:pPr>
      <w:r>
        <w:rPr>
          <w:rFonts w:ascii="Times New Roman" w:eastAsia="Times New Roman" w:hAnsi="Times New Roman" w:cs="Times New Roman"/>
          <w:b/>
        </w:rPr>
        <w:tab/>
      </w:r>
    </w:p>
    <w:p w14:paraId="462D339B" w14:textId="4332818C" w:rsidR="00BE63FA" w:rsidRPr="00CB7298" w:rsidRDefault="00A25B60" w:rsidP="00A25B60">
      <w:pPr>
        <w:jc w:val="center"/>
        <w:rPr>
          <w:rFonts w:ascii="Times New Roman" w:eastAsia="Times New Roman" w:hAnsi="Times New Roman" w:cs="Times New Roman"/>
          <w:b/>
        </w:rPr>
      </w:pPr>
      <w:r w:rsidRPr="00A25B60">
        <w:rPr>
          <w:rFonts w:ascii="Times New Roman" w:eastAsia="Times New Roman" w:hAnsi="Times New Roman" w:cs="Times New Roman"/>
          <w:b/>
        </w:rPr>
        <w:t>Bioinformatics Analysis of the LEPR Gene in Humans</w:t>
      </w:r>
    </w:p>
    <w:p w14:paraId="4F219D2C" w14:textId="77777777" w:rsidR="00BE63FA" w:rsidRPr="00CB7298" w:rsidRDefault="00BE63FA" w:rsidP="00545E53">
      <w:pPr>
        <w:jc w:val="both"/>
        <w:rPr>
          <w:rFonts w:ascii="Times New Roman" w:eastAsia="Times New Roman" w:hAnsi="Times New Roman" w:cs="Times New Roman"/>
          <w:b/>
        </w:rPr>
      </w:pPr>
    </w:p>
    <w:p w14:paraId="0F86859A" w14:textId="1AE8F611" w:rsidR="00776454" w:rsidRPr="00772FAC" w:rsidRDefault="00BE63FA" w:rsidP="00E412DD">
      <w:pPr>
        <w:jc w:val="both"/>
        <w:rPr>
          <w:rFonts w:ascii="Times New Roman" w:eastAsia="宋体" w:hAnsi="Times New Roman" w:cs="Times New Roman"/>
          <w:b/>
          <w:lang w:eastAsia="zh-CN"/>
        </w:rPr>
      </w:pPr>
      <w:r w:rsidRPr="00CB7298">
        <w:rPr>
          <w:rFonts w:ascii="Times New Roman" w:eastAsia="Times New Roman" w:hAnsi="Times New Roman" w:cs="Times New Roman"/>
          <w:b/>
        </w:rPr>
        <w:t>Nam</w:t>
      </w:r>
      <w:r w:rsidR="00776454" w:rsidRPr="00CB7298">
        <w:rPr>
          <w:rFonts w:ascii="Times New Roman" w:eastAsia="Times New Roman" w:hAnsi="Times New Roman" w:cs="Times New Roman"/>
          <w:b/>
        </w:rPr>
        <w:t>e:</w:t>
      </w:r>
      <w:r w:rsidR="00772FAC">
        <w:rPr>
          <w:rFonts w:ascii="Times New Roman" w:eastAsia="宋体" w:hAnsi="Times New Roman" w:cs="Times New Roman" w:hint="eastAsia"/>
          <w:b/>
          <w:lang w:eastAsia="zh-CN"/>
        </w:rPr>
        <w:t xml:space="preserve"> KunQi Zhang</w:t>
      </w:r>
    </w:p>
    <w:p w14:paraId="0AB14D65" w14:textId="343408BE" w:rsidR="00776454" w:rsidRPr="00772FAC" w:rsidRDefault="00BE63FA" w:rsidP="00E412DD">
      <w:pPr>
        <w:jc w:val="both"/>
        <w:rPr>
          <w:rFonts w:ascii="Times New Roman" w:eastAsia="宋体" w:hAnsi="Times New Roman" w:cs="Times New Roman"/>
          <w:b/>
          <w:lang w:eastAsia="zh-CN"/>
        </w:rPr>
      </w:pPr>
      <w:r w:rsidRPr="00CB7298">
        <w:rPr>
          <w:rFonts w:ascii="Times New Roman" w:eastAsia="Times New Roman" w:hAnsi="Times New Roman" w:cs="Times New Roman"/>
          <w:b/>
        </w:rPr>
        <w:t>Student</w:t>
      </w:r>
      <w:r w:rsidR="00E412DD" w:rsidRPr="00CB7298">
        <w:rPr>
          <w:rFonts w:ascii="Times New Roman" w:eastAsia="Times New Roman" w:hAnsi="Times New Roman" w:cs="Times New Roman"/>
          <w:b/>
        </w:rPr>
        <w:t>_</w:t>
      </w:r>
      <w:r w:rsidR="00776454" w:rsidRPr="00CB7298">
        <w:rPr>
          <w:rFonts w:ascii="Times New Roman" w:eastAsia="Times New Roman" w:hAnsi="Times New Roman" w:cs="Times New Roman"/>
          <w:b/>
        </w:rPr>
        <w:t>I</w:t>
      </w:r>
      <w:r w:rsidRPr="00CB7298">
        <w:rPr>
          <w:rFonts w:ascii="Times New Roman" w:eastAsia="Times New Roman" w:hAnsi="Times New Roman" w:cs="Times New Roman"/>
          <w:b/>
        </w:rPr>
        <w:t>D</w:t>
      </w:r>
      <w:r w:rsidR="00E412DD" w:rsidRPr="00CB7298">
        <w:rPr>
          <w:rFonts w:ascii="Times New Roman" w:eastAsia="Times New Roman" w:hAnsi="Times New Roman" w:cs="Times New Roman"/>
          <w:b/>
        </w:rPr>
        <w:t>_</w:t>
      </w:r>
      <w:r w:rsidRPr="00CB7298">
        <w:rPr>
          <w:rFonts w:ascii="Times New Roman" w:eastAsia="Times New Roman" w:hAnsi="Times New Roman" w:cs="Times New Roman"/>
          <w:b/>
        </w:rPr>
        <w:t>Number</w:t>
      </w:r>
      <w:r w:rsidR="00776454" w:rsidRPr="00CB7298">
        <w:rPr>
          <w:rFonts w:ascii="Times New Roman" w:eastAsia="Times New Roman" w:hAnsi="Times New Roman" w:cs="Times New Roman"/>
          <w:b/>
        </w:rPr>
        <w:t>:</w:t>
      </w:r>
      <w:r w:rsidR="00772FAC">
        <w:rPr>
          <w:rFonts w:ascii="Times New Roman" w:eastAsia="宋体" w:hAnsi="Times New Roman" w:cs="Times New Roman" w:hint="eastAsia"/>
          <w:b/>
          <w:lang w:eastAsia="zh-CN"/>
        </w:rPr>
        <w:t xml:space="preserve"> B990364988</w:t>
      </w:r>
    </w:p>
    <w:p w14:paraId="175E0DC2" w14:textId="4DF520B3" w:rsidR="00BE63FA" w:rsidRPr="00772FAC" w:rsidRDefault="006E5C91" w:rsidP="00E412DD">
      <w:pPr>
        <w:jc w:val="both"/>
        <w:rPr>
          <w:rFonts w:ascii="Times New Roman" w:eastAsia="宋体" w:hAnsi="Times New Roman" w:cs="Times New Roman"/>
          <w:b/>
          <w:lang w:eastAsia="zh-CN"/>
        </w:rPr>
      </w:pPr>
      <w:r w:rsidRPr="00CB7298">
        <w:rPr>
          <w:rFonts w:ascii="Times New Roman" w:eastAsia="Times New Roman" w:hAnsi="Times New Roman" w:cs="Times New Roman"/>
          <w:b/>
        </w:rPr>
        <w:t>Academic</w:t>
      </w:r>
      <w:r w:rsidR="00E412DD" w:rsidRPr="00CB7298">
        <w:rPr>
          <w:rFonts w:ascii="Times New Roman" w:eastAsia="Times New Roman" w:hAnsi="Times New Roman" w:cs="Times New Roman"/>
          <w:b/>
        </w:rPr>
        <w:t>_</w:t>
      </w:r>
      <w:r w:rsidRPr="00CB7298">
        <w:rPr>
          <w:rFonts w:ascii="Times New Roman" w:eastAsia="Times New Roman" w:hAnsi="Times New Roman" w:cs="Times New Roman"/>
          <w:b/>
        </w:rPr>
        <w:t>Program</w:t>
      </w:r>
      <w:r w:rsidR="00776454" w:rsidRPr="00CB7298">
        <w:rPr>
          <w:rFonts w:ascii="Times New Roman" w:eastAsia="Times New Roman" w:hAnsi="Times New Roman" w:cs="Times New Roman"/>
          <w:b/>
        </w:rPr>
        <w:t xml:space="preserve"> </w:t>
      </w:r>
      <w:r w:rsidR="008A6028" w:rsidRPr="00CB7298">
        <w:rPr>
          <w:rFonts w:ascii="Times New Roman" w:eastAsia="Times New Roman" w:hAnsi="Times New Roman" w:cs="Times New Roman"/>
          <w:b/>
        </w:rPr>
        <w:t>or Faculty</w:t>
      </w:r>
      <w:r w:rsidR="00D73B89">
        <w:rPr>
          <w:rFonts w:ascii="Times New Roman" w:eastAsia="Times New Roman" w:hAnsi="Times New Roman" w:cs="Times New Roman"/>
          <w:b/>
        </w:rPr>
        <w:t xml:space="preserve">: </w:t>
      </w:r>
      <w:r w:rsidR="00772FAC">
        <w:rPr>
          <w:rFonts w:ascii="Times New Roman" w:eastAsia="宋体" w:hAnsi="Times New Roman" w:cs="Times New Roman" w:hint="eastAsia"/>
          <w:b/>
          <w:lang w:eastAsia="zh-CN"/>
        </w:rPr>
        <w:t>ILAS</w:t>
      </w:r>
    </w:p>
    <w:p w14:paraId="6182C22F" w14:textId="77777777" w:rsidR="006E5C91" w:rsidRPr="00CB7298" w:rsidRDefault="006E5C91" w:rsidP="00545E53">
      <w:pPr>
        <w:jc w:val="both"/>
        <w:rPr>
          <w:rFonts w:ascii="Times New Roman" w:eastAsia="Times New Roman" w:hAnsi="Times New Roman" w:cs="Times New Roman"/>
          <w:b/>
        </w:rPr>
      </w:pPr>
    </w:p>
    <w:p w14:paraId="706062CF" w14:textId="77777777" w:rsidR="006E5C91" w:rsidRPr="00CB7298" w:rsidRDefault="006E5C91" w:rsidP="00545E53">
      <w:pPr>
        <w:jc w:val="both"/>
        <w:rPr>
          <w:rFonts w:ascii="Times New Roman" w:eastAsia="Times New Roman" w:hAnsi="Times New Roman" w:cs="Times New Roman"/>
          <w:b/>
        </w:rPr>
      </w:pPr>
    </w:p>
    <w:p w14:paraId="3CBB81F5" w14:textId="77777777" w:rsidR="006E5C91" w:rsidRPr="00CB7298" w:rsidRDefault="006E5C91" w:rsidP="00545E53">
      <w:pPr>
        <w:jc w:val="both"/>
        <w:rPr>
          <w:rFonts w:ascii="Times New Roman" w:eastAsia="Times New Roman" w:hAnsi="Times New Roman" w:cs="Times New Roman"/>
          <w:b/>
        </w:rPr>
      </w:pPr>
    </w:p>
    <w:p w14:paraId="678996C1" w14:textId="5E1E53B1" w:rsidR="00BE63FA" w:rsidRPr="00CB7298" w:rsidRDefault="00BE63FA" w:rsidP="00545E53">
      <w:pPr>
        <w:jc w:val="both"/>
        <w:rPr>
          <w:rFonts w:ascii="Times New Roman" w:eastAsia="Times New Roman" w:hAnsi="Times New Roman" w:cs="Times New Roman"/>
          <w:b/>
        </w:rPr>
      </w:pPr>
      <w:r w:rsidRPr="00CB7298">
        <w:rPr>
          <w:rFonts w:ascii="Times New Roman" w:eastAsia="Times New Roman" w:hAnsi="Times New Roman" w:cs="Times New Roman"/>
          <w:b/>
        </w:rPr>
        <w:t>Summary</w:t>
      </w:r>
      <w:r w:rsidR="00E402BA" w:rsidRPr="00CB7298">
        <w:rPr>
          <w:rFonts w:ascii="Times New Roman" w:eastAsia="Times New Roman" w:hAnsi="Times New Roman" w:cs="Times New Roman"/>
          <w:b/>
        </w:rPr>
        <w:t xml:space="preserve"> (150-200 words)</w:t>
      </w:r>
    </w:p>
    <w:p w14:paraId="339B55AC" w14:textId="1E0704AF" w:rsidR="00772FAC" w:rsidRPr="00772FAC" w:rsidRDefault="00772FAC" w:rsidP="00772FAC">
      <w:pPr>
        <w:jc w:val="both"/>
        <w:rPr>
          <w:rFonts w:ascii="Times New Roman" w:eastAsia="Times New Roman" w:hAnsi="Times New Roman" w:cs="Times New Roman"/>
        </w:rPr>
      </w:pPr>
      <w:r w:rsidRPr="00772FAC">
        <w:rPr>
          <w:rFonts w:ascii="Times New Roman" w:eastAsia="Times New Roman" w:hAnsi="Times New Roman" w:cs="Times New Roman"/>
        </w:rPr>
        <w:t xml:space="preserve">This </w:t>
      </w:r>
      <w:r>
        <w:rPr>
          <w:rFonts w:ascii="Times New Roman" w:eastAsia="宋体" w:hAnsi="Times New Roman" w:cs="Times New Roman" w:hint="eastAsia"/>
          <w:lang w:eastAsia="zh-CN"/>
        </w:rPr>
        <w:t>report</w:t>
      </w:r>
      <w:r w:rsidRPr="00772FAC">
        <w:rPr>
          <w:rFonts w:ascii="Times New Roman" w:eastAsia="Times New Roman" w:hAnsi="Times New Roman" w:cs="Times New Roman"/>
        </w:rPr>
        <w:t xml:space="preserve"> systematically analyzed the LEPR gene in humans and mice using bioinformatics approaches. LEPR gene and protein sequences from both species were retrieved from the NCBI Gene and UniProt databases, and key functional domains were identified. BLASTN and BLASTP analyses were performed to compare nucleotide sequences and the amino acid sequences of the leptin-binding domain, revealing over 80% sequence identity and strong evolutionary conservation. KEGG database searches showed that LEPR is involved in seven major biological pathways related to energy metabolism, immune responses, neural signaling, and lipid metabolism, and is closely associated with obesity, metabolic syndrome, and type 2 diabetes. This study provides data support for further understanding the function of the LEPR gene and its role in energy homeostasis and metabolic diseases.</w:t>
      </w:r>
    </w:p>
    <w:p w14:paraId="45474450" w14:textId="77777777" w:rsidR="006F42FE" w:rsidRPr="00CB7298" w:rsidRDefault="006F42FE" w:rsidP="00545E53">
      <w:pPr>
        <w:jc w:val="both"/>
        <w:rPr>
          <w:rFonts w:ascii="Times New Roman" w:eastAsia="Times New Roman" w:hAnsi="Times New Roman" w:cs="Times New Roman"/>
        </w:rPr>
      </w:pPr>
    </w:p>
    <w:p w14:paraId="140285F5" w14:textId="77777777" w:rsidR="00BE63FA" w:rsidRPr="00CB7298" w:rsidRDefault="00BE63FA" w:rsidP="00545E53">
      <w:pPr>
        <w:jc w:val="both"/>
        <w:rPr>
          <w:rFonts w:ascii="Times New Roman" w:eastAsia="Times New Roman" w:hAnsi="Times New Roman" w:cs="Times New Roman"/>
        </w:rPr>
      </w:pPr>
    </w:p>
    <w:p w14:paraId="3FD9D6FB" w14:textId="52D0C48A" w:rsidR="00AD10F9" w:rsidRPr="00CB7298" w:rsidRDefault="00AD10F9">
      <w:pPr>
        <w:rPr>
          <w:rFonts w:ascii="Times New Roman" w:eastAsia="Times New Roman" w:hAnsi="Times New Roman" w:cs="Times New Roman"/>
        </w:rPr>
      </w:pPr>
      <w:r w:rsidRPr="00CB7298">
        <w:rPr>
          <w:rFonts w:ascii="Times New Roman" w:eastAsia="Times New Roman" w:hAnsi="Times New Roman" w:cs="Times New Roman"/>
        </w:rPr>
        <w:br w:type="page"/>
      </w:r>
    </w:p>
    <w:p w14:paraId="540C4FAF" w14:textId="77C94995" w:rsidR="00E402BA" w:rsidRDefault="00E402BA" w:rsidP="00E402BA">
      <w:pPr>
        <w:rPr>
          <w:rFonts w:ascii="Times New Roman" w:hAnsi="Times New Roman" w:cs="Times New Roman"/>
        </w:rPr>
      </w:pPr>
    </w:p>
    <w:p w14:paraId="51EF3F4D" w14:textId="7D7CFEF9" w:rsidR="006E5D17" w:rsidRPr="00A14844" w:rsidRDefault="006E5D17" w:rsidP="00D73B89">
      <w:pPr>
        <w:jc w:val="both"/>
        <w:rPr>
          <w:b/>
          <w:bCs/>
        </w:rPr>
      </w:pPr>
      <w:r w:rsidRPr="00A14844">
        <w:rPr>
          <w:b/>
          <w:bCs/>
        </w:rPr>
        <w:t>Background and introduction to subject</w:t>
      </w:r>
    </w:p>
    <w:p w14:paraId="146895E8" w14:textId="3356C1D1" w:rsidR="00B336B3" w:rsidRPr="00772FAC" w:rsidRDefault="00B336B3" w:rsidP="00F4611C">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The LEPR (Leptin Receptor) gene is located on human chromosome 1p31. It encodes the leptin receptor, a transmembrane protein that is mainly expressed on the cell membrane of hypothalamic neurons and other metabolism-related tissues.</w:t>
      </w:r>
    </w:p>
    <w:p w14:paraId="507A4C5A" w14:textId="7E81C2B0" w:rsidR="00F4611C" w:rsidRPr="00772FAC" w:rsidRDefault="00F4611C" w:rsidP="00F4611C">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LEPR mediates the central and peripheral physiological effects of leptin upon ligand binding by activating multiple signaling pathways. In the hypothalamus, leptin functions as an appetite-regulating factor that reduces food intake and increases energy expenditure by inducing the expression of anorexigenic factors and suppressing orexigenic neuropeptides. At the same time, it regulates bone mass and the secretion of hormones in the hypothalamo-pituitary-adrenal axis.</w:t>
      </w:r>
      <w:r w:rsidR="00B336B3" w:rsidRPr="00772FAC">
        <w:rPr>
          <w:rFonts w:eastAsia="宋体" w:cs="Times New Roman"/>
          <w:bCs/>
          <w:color w:val="0D0D0D" w:themeColor="text1" w:themeTint="F2"/>
          <w:sz w:val="21"/>
          <w:szCs w:val="21"/>
          <w:lang w:eastAsia="zh-CN"/>
        </w:rPr>
        <w:t xml:space="preserve"> </w:t>
      </w:r>
    </w:p>
    <w:p w14:paraId="7ECFE605" w14:textId="77777777" w:rsidR="00F4611C" w:rsidRPr="00772FAC" w:rsidRDefault="00F4611C" w:rsidP="00F4611C">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In peripheral tissues, leptin increases basal metabolic rate, influences reproductive function, modulates pancreatic β-cell function and insulin secretion, promotes angiogenesis, and affects both innate and adaptive immune systems.</w:t>
      </w:r>
    </w:p>
    <w:p w14:paraId="08B8390B" w14:textId="23E1BDB3" w:rsidR="00F4611C" w:rsidRPr="00772FAC" w:rsidRDefault="00F4611C" w:rsidP="00F4611C">
      <w:pPr>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LEPR also participates in the counter-regulatory response to hypoglycemia by inhibiting neurons of the parabrachial nucleus. In addition, it has specific effects on T lymphocyte responses, differentially regulating the proliferation of naive T cells and memory T cells.</w:t>
      </w:r>
      <w:r w:rsidR="00B336B3" w:rsidRPr="00772FAC">
        <w:rPr>
          <w:rFonts w:eastAsia="宋体" w:cs="Times New Roman"/>
          <w:bCs/>
          <w:color w:val="0D0D0D" w:themeColor="text1" w:themeTint="F2"/>
          <w:sz w:val="21"/>
          <w:szCs w:val="21"/>
          <w:lang w:eastAsia="zh-CN"/>
        </w:rPr>
        <w:fldChar w:fldCharType="begin"/>
      </w:r>
      <w:r w:rsidR="00B336B3" w:rsidRPr="00772FAC">
        <w:rPr>
          <w:rFonts w:eastAsia="宋体" w:cs="Times New Roman"/>
          <w:bCs/>
          <w:color w:val="0D0D0D" w:themeColor="text1" w:themeTint="F2"/>
          <w:sz w:val="21"/>
          <w:szCs w:val="21"/>
          <w:lang w:eastAsia="zh-CN"/>
        </w:rPr>
        <w:instrText xml:space="preserve"> ADDIN ZOTERO_ITEM CSL_CITATION {"citationID":"PWqsuvkL","properties":{"formattedCitation":"\\super 1\\uc0\\u8211{}3\\nosupersub{}","plainCitation":"1–3","noteIndex":0},"citationItems":[{"id":1620,"uris":["http://zotero.org/users/local/0ReR6scs/items/6D79LQKX"],"itemData":{"id":1620,"type":"webpage","abstract":"UniProt is the world's leading high-quality, comprehensive and freely accessible resource of protein sequence and functional information.","container-title":"UniProt","language":"en","title":"UniProt","URL":"https://www.uniprot.org/uniprotkb/P48357/entry","accessed":{"date-parts":[["2025",7,31]]}}},{"id":1617,"uris":["http://zotero.org/users/local/0ReR6scs/items/GBRCCWBR"],"itemData":{"id":1617,"type":"article-journal","abstract":"Leptin regulates energy homeostasis, fertility, and the immune system, making it an important drug target. However, due to a complete lack of structural data for the obesity receptor (ObR), leptin’s mechanism of receptor activation remains poorly understood. We have crystallized the Fab fragment of a leptin-blocking monoclonal antibody (9F8), both in its uncomplexed state and bound to the leptinbinding domain (LBD) of human ObR. We describe the structure of the LBD-9F8 Fab complex and the conformational changes in 9F8 associated with LBD binding. A molecular model of the putative leptin-LBD complex reveals that 9F8 Fab blocks leptin binding through only a small (10%) overlap in their binding sites, and that leptin binding is likely to involve an induced ﬁt mechanism. This crystal structure of the leptin-binding domain of the obesity receptor will facilitate the design of therapeutics to modulate leptin signaling.","container-title":"Structure","DOI":"10.1016/j.str.2012.01.019","ISSN":"09692126","issue":"3","journalAbbreviation":"Structure","language":"en","license":"https://www.elsevier.com/tdm/userlicense/1.0/","page":"487-497","source":"DOI.org (Crossref)","title":"Structure of the Human Obesity Receptor Leptin-Binding Domain Reveals the Mechanism of Leptin Antagonism by a Monoclonal Antibody","volume":"20","author":[{"family":"Carpenter","given":"Byron"},{"family":"Hemsworth","given":"Glyn R."},{"family":"Wu","given":"Zida"},{"family":"Maamra","given":"Mabrouka"},{"family":"Strasburger","given":"Christian J."},{"family":"Ross","given":"Richard J."},{"family":"Artymiuk","given":"Peter J."}],"issued":{"date-parts":[["2012",3]]}}},{"id":1619,"uris":["http://zotero.org/users/local/0ReR6scs/items/FUL3USW9"],"itemData":{"id":1619,"type":"webpage","abstract":"Gene target information for LEPR - leptin receptor (human). Find diseases associated with this biological target and compounds tested against it in bioassay experiments.","language":"en","title":"LEPR - leptin receptor (human)","URL":"https://pubchem.ncbi.nlm.nih.gov/gene/LEPR/human","author":[{"family":"PubChem","given":""}],"accessed":{"date-parts":[["2025",7,31]]}}}],"schema":"https://github.com/citation-style-language/schema/raw/master/csl-citation.json"} </w:instrText>
      </w:r>
      <w:r w:rsidR="00B336B3" w:rsidRPr="00772FAC">
        <w:rPr>
          <w:rFonts w:eastAsia="宋体" w:cs="Times New Roman"/>
          <w:bCs/>
          <w:color w:val="0D0D0D" w:themeColor="text1" w:themeTint="F2"/>
          <w:sz w:val="21"/>
          <w:szCs w:val="21"/>
          <w:lang w:eastAsia="zh-CN"/>
        </w:rPr>
        <w:fldChar w:fldCharType="separate"/>
      </w:r>
      <w:r w:rsidR="00B336B3" w:rsidRPr="00772FAC">
        <w:rPr>
          <w:rFonts w:ascii="Cambria" w:hAnsi="Cambria" w:cs="Times New Roman"/>
          <w:bCs/>
          <w:sz w:val="21"/>
          <w:vertAlign w:val="superscript"/>
        </w:rPr>
        <w:t>1–3</w:t>
      </w:r>
      <w:r w:rsidR="00B336B3" w:rsidRPr="00772FAC">
        <w:rPr>
          <w:rFonts w:eastAsia="宋体" w:cs="Times New Roman"/>
          <w:bCs/>
          <w:color w:val="0D0D0D" w:themeColor="text1" w:themeTint="F2"/>
          <w:sz w:val="21"/>
          <w:szCs w:val="21"/>
          <w:lang w:eastAsia="zh-CN"/>
        </w:rPr>
        <w:fldChar w:fldCharType="end"/>
      </w:r>
    </w:p>
    <w:p w14:paraId="1E710BC7" w14:textId="77777777" w:rsidR="00F4611C" w:rsidRPr="00E61C43" w:rsidRDefault="00F4611C" w:rsidP="00F4611C">
      <w:pPr>
        <w:jc w:val="both"/>
        <w:rPr>
          <w:rFonts w:ascii="Times New Roman" w:eastAsia="宋体" w:hAnsi="Times New Roman" w:cs="Times New Roman"/>
          <w:b/>
          <w:color w:val="EE0000"/>
          <w:lang w:eastAsia="zh-CN"/>
        </w:rPr>
      </w:pPr>
    </w:p>
    <w:p w14:paraId="3F4EA2CC" w14:textId="46C84E31" w:rsidR="00D73B89" w:rsidRPr="00A14844" w:rsidRDefault="00D73B89" w:rsidP="00D73B89">
      <w:pPr>
        <w:jc w:val="both"/>
        <w:rPr>
          <w:b/>
          <w:bCs/>
        </w:rPr>
      </w:pPr>
    </w:p>
    <w:p w14:paraId="625C4CE1" w14:textId="16465FA5" w:rsidR="006E5D17" w:rsidRPr="00A14844" w:rsidRDefault="006E5D17" w:rsidP="00D73B89">
      <w:pPr>
        <w:jc w:val="both"/>
        <w:rPr>
          <w:b/>
          <w:bCs/>
        </w:rPr>
      </w:pPr>
      <w:r w:rsidRPr="00A14844">
        <w:rPr>
          <w:b/>
          <w:bCs/>
        </w:rPr>
        <w:t xml:space="preserve">Questions or hypothesis to </w:t>
      </w:r>
      <w:r w:rsidRPr="009929EA">
        <w:rPr>
          <w:rFonts w:eastAsia="宋体" w:cs="Times New Roman"/>
          <w:b/>
          <w:color w:val="0D0D0D" w:themeColor="text1" w:themeTint="F2"/>
          <w:sz w:val="21"/>
          <w:szCs w:val="21"/>
          <w:lang w:eastAsia="zh-CN"/>
        </w:rPr>
        <w:t>address</w:t>
      </w:r>
      <w:r w:rsidRPr="00A14844">
        <w:rPr>
          <w:b/>
          <w:bCs/>
        </w:rPr>
        <w:t xml:space="preserve"> in the project</w:t>
      </w:r>
    </w:p>
    <w:p w14:paraId="523DEAAD" w14:textId="5E494F81" w:rsidR="00D73B89" w:rsidRPr="00772FAC" w:rsidRDefault="00BF28F4" w:rsidP="009929EA">
      <w:pPr>
        <w:ind w:firstLineChars="200" w:firstLine="420"/>
        <w:jc w:val="both"/>
        <w:rPr>
          <w:rFonts w:eastAsia="宋体" w:cs="Times New Roman"/>
          <w:bCs/>
          <w:color w:val="0D0D0D" w:themeColor="text1" w:themeTint="F2"/>
          <w:sz w:val="21"/>
          <w:szCs w:val="21"/>
          <w:lang w:eastAsia="zh-CN"/>
        </w:rPr>
      </w:pPr>
      <w:bookmarkStart w:id="0" w:name="_Hlk205052183"/>
      <w:r w:rsidRPr="00772FAC">
        <w:rPr>
          <w:rFonts w:eastAsia="宋体" w:cs="Times New Roman" w:hint="eastAsia"/>
          <w:bCs/>
          <w:color w:val="0D0D0D" w:themeColor="text1" w:themeTint="F2"/>
          <w:sz w:val="21"/>
          <w:szCs w:val="21"/>
          <w:lang w:eastAsia="zh-CN"/>
        </w:rPr>
        <w:t>T</w:t>
      </w:r>
      <w:r w:rsidR="009929EA" w:rsidRPr="00772FAC">
        <w:rPr>
          <w:rFonts w:eastAsia="宋体" w:cs="Times New Roman"/>
          <w:bCs/>
          <w:color w:val="0D0D0D" w:themeColor="text1" w:themeTint="F2"/>
          <w:sz w:val="21"/>
          <w:szCs w:val="21"/>
          <w:lang w:eastAsia="zh-CN"/>
        </w:rPr>
        <w:t xml:space="preserve">his report </w:t>
      </w:r>
      <w:bookmarkEnd w:id="0"/>
      <w:r w:rsidR="009929EA" w:rsidRPr="00772FAC">
        <w:rPr>
          <w:rFonts w:eastAsia="宋体" w:cs="Times New Roman"/>
          <w:bCs/>
          <w:color w:val="0D0D0D" w:themeColor="text1" w:themeTint="F2"/>
          <w:sz w:val="21"/>
          <w:szCs w:val="21"/>
          <w:lang w:eastAsia="zh-CN"/>
        </w:rPr>
        <w:t>will investigate the gene sequences encoding LEPR in humans and mice, and compare their similarity and conservation.</w:t>
      </w:r>
      <w:r w:rsidR="00686989" w:rsidRPr="00772FAC">
        <w:rPr>
          <w:bCs/>
        </w:rPr>
        <w:t xml:space="preserve"> </w:t>
      </w:r>
      <w:r w:rsidRPr="00772FAC">
        <w:rPr>
          <w:rFonts w:eastAsia="宋体" w:cs="Times New Roman"/>
          <w:bCs/>
          <w:color w:val="0D0D0D" w:themeColor="text1" w:themeTint="F2"/>
          <w:sz w:val="21"/>
          <w:szCs w:val="21"/>
          <w:lang w:eastAsia="zh-CN"/>
        </w:rPr>
        <w:t>This report</w:t>
      </w:r>
      <w:r w:rsidR="00686989" w:rsidRPr="00772FAC">
        <w:rPr>
          <w:rFonts w:eastAsia="宋体" w:cs="Times New Roman"/>
          <w:bCs/>
          <w:color w:val="0D0D0D" w:themeColor="text1" w:themeTint="F2"/>
          <w:sz w:val="21"/>
          <w:szCs w:val="21"/>
          <w:lang w:eastAsia="zh-CN"/>
        </w:rPr>
        <w:t xml:space="preserve"> also summarized the biological pathways associated with the leptin receptor and its links to various diseases.</w:t>
      </w:r>
    </w:p>
    <w:p w14:paraId="2293A0A0" w14:textId="39096F9A" w:rsidR="00D73B89" w:rsidRPr="00772FAC" w:rsidRDefault="006E5D17" w:rsidP="00D73B89">
      <w:pPr>
        <w:jc w:val="both"/>
        <w:rPr>
          <w:rFonts w:eastAsia="宋体"/>
          <w:bCs/>
          <w:lang w:eastAsia="zh-CN"/>
        </w:rPr>
      </w:pPr>
      <w:r w:rsidRPr="00772FAC">
        <w:rPr>
          <w:bCs/>
        </w:rPr>
        <w:t>Methods that you used</w:t>
      </w:r>
    </w:p>
    <w:p w14:paraId="3F91E7BA" w14:textId="77777777" w:rsidR="00BF28F4" w:rsidRPr="00BF28F4" w:rsidRDefault="00BF28F4" w:rsidP="00BF28F4">
      <w:pPr>
        <w:ind w:firstLineChars="200" w:firstLine="420"/>
        <w:jc w:val="both"/>
        <w:rPr>
          <w:rFonts w:eastAsia="宋体" w:cs="Times New Roman"/>
          <w:bCs/>
          <w:color w:val="0D0D0D" w:themeColor="text1" w:themeTint="F2"/>
          <w:sz w:val="21"/>
          <w:szCs w:val="21"/>
          <w:lang w:eastAsia="zh-CN"/>
        </w:rPr>
      </w:pPr>
      <w:r w:rsidRPr="00BF28F4">
        <w:rPr>
          <w:rFonts w:eastAsia="宋体" w:cs="Times New Roman"/>
          <w:bCs/>
          <w:color w:val="0D0D0D" w:themeColor="text1" w:themeTint="F2"/>
          <w:sz w:val="21"/>
          <w:szCs w:val="21"/>
          <w:lang w:eastAsia="zh-CN"/>
        </w:rPr>
        <w:t>This report primarily utilizes bioinformatics methods to analyze the LEPR gene in humans and mice. First, the FASTA sequences of human and mouse LEPR genes and proteins were obtained from the NCBI Gene and UniProt databases, and key functional domains, such as the leptin-binding domain and transmembrane region, were identified based on literature references. Subsequently, NCBI BLASTN was employed to compare nucleotide sequences between the two species to assess similarity and conservation, while BLASTP was used to analyze homology in the amino acid region 323–640 (the leptin-binding domain), recording percentage identity, E-value, alignment score, and query coverage. Furthermore, the KEGG database was used to identify seven major biological pathways associated with LEPR, summarizing its roles in energy metabolism, immune regulation, and neural signal transduction. Finally, KEGG DISEASE and related literature were consulted to outline the associations between LEPR and conditions such as obesity, metabolic syndrome, type 2 diabetes, and immune disorders.</w:t>
      </w:r>
    </w:p>
    <w:p w14:paraId="5D624B60" w14:textId="688B7CCE" w:rsidR="00686989" w:rsidRPr="00BF28F4" w:rsidRDefault="00686989" w:rsidP="00BF28F4">
      <w:pPr>
        <w:ind w:firstLineChars="200" w:firstLine="422"/>
        <w:jc w:val="both"/>
        <w:rPr>
          <w:rFonts w:eastAsia="宋体" w:cs="Times New Roman"/>
          <w:b/>
          <w:color w:val="0D0D0D" w:themeColor="text1" w:themeTint="F2"/>
          <w:sz w:val="21"/>
          <w:szCs w:val="21"/>
          <w:lang w:eastAsia="zh-CN"/>
        </w:rPr>
      </w:pPr>
    </w:p>
    <w:p w14:paraId="7C125FCA" w14:textId="1485E32F" w:rsidR="006E5D17" w:rsidRPr="00A14844" w:rsidRDefault="006E5D17" w:rsidP="00D73B89">
      <w:pPr>
        <w:jc w:val="both"/>
        <w:rPr>
          <w:b/>
          <w:bCs/>
        </w:rPr>
      </w:pPr>
      <w:r w:rsidRPr="00A14844">
        <w:rPr>
          <w:b/>
          <w:bCs/>
        </w:rPr>
        <w:t>Results: summary of what you found and supporting information and figures. Etc.</w:t>
      </w:r>
    </w:p>
    <w:p w14:paraId="6F69395E" w14:textId="0EE2A187" w:rsidR="00D73B89" w:rsidRPr="00772FAC" w:rsidRDefault="00DC47DB" w:rsidP="00DC47DB">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The human LEPR sequence was aligned with the corresponding mouse sequence using BLAST in a pairwise comparison. The results show that the human LEPR sequence has a high level of similarity with the corresponding region on the mouse chromosome, with the main alignment starting at position 33,004 bp. The overall homology is approximately 80%, with only a few mismatched positions.</w:t>
      </w:r>
      <w:r w:rsidRPr="00772FAC">
        <w:rPr>
          <w:rFonts w:eastAsia="宋体" w:cs="Times New Roman" w:hint="eastAsia"/>
          <w:bCs/>
          <w:color w:val="0D0D0D" w:themeColor="text1" w:themeTint="F2"/>
          <w:sz w:val="21"/>
          <w:szCs w:val="21"/>
          <w:lang w:eastAsia="zh-CN"/>
        </w:rPr>
        <w:t>(</w:t>
      </w:r>
      <w:r w:rsidRPr="00772FAC">
        <w:rPr>
          <w:bCs/>
        </w:rPr>
        <w:t xml:space="preserve"> </w:t>
      </w:r>
      <w:r w:rsidRPr="00772FAC">
        <w:rPr>
          <w:rFonts w:eastAsia="宋体" w:cs="Times New Roman"/>
          <w:bCs/>
          <w:color w:val="0D0D0D" w:themeColor="text1" w:themeTint="F2"/>
          <w:sz w:val="21"/>
          <w:szCs w:val="21"/>
          <w:lang w:eastAsia="zh-CN"/>
        </w:rPr>
        <w:t>Figure 1</w:t>
      </w:r>
      <w:r w:rsidRPr="00772FAC">
        <w:rPr>
          <w:rFonts w:eastAsia="宋体" w:cs="Times New Roman" w:hint="eastAsia"/>
          <w:bCs/>
          <w:color w:val="0D0D0D" w:themeColor="text1" w:themeTint="F2"/>
          <w:sz w:val="21"/>
          <w:szCs w:val="21"/>
          <w:lang w:eastAsia="zh-CN"/>
        </w:rPr>
        <w:t>)</w:t>
      </w:r>
    </w:p>
    <w:p w14:paraId="49BF4D84" w14:textId="29D7E739" w:rsidR="00B74B85" w:rsidRPr="00772FAC" w:rsidRDefault="00B74B85"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hint="eastAsia"/>
          <w:bCs/>
          <w:color w:val="0D0D0D" w:themeColor="text1" w:themeTint="F2"/>
          <w:sz w:val="21"/>
          <w:szCs w:val="21"/>
          <w:lang w:eastAsia="zh-CN"/>
        </w:rPr>
        <w:t>T</w:t>
      </w:r>
      <w:r w:rsidRPr="00772FAC">
        <w:rPr>
          <w:rFonts w:eastAsia="宋体" w:cs="Times New Roman"/>
          <w:bCs/>
          <w:color w:val="0D0D0D" w:themeColor="text1" w:themeTint="F2"/>
          <w:sz w:val="21"/>
          <w:szCs w:val="21"/>
          <w:lang w:eastAsia="zh-CN"/>
        </w:rPr>
        <w:t>he sequence identity is approximately 80%, indicating that most of the nucleotides are conserved between the two species. The E-value is close to 0, suggesting that the alignment is highly statistically significant and unlikely to be due to random matching. The score is 442 bits, which is relatively high, further confirming that the sequence alignment is reliable.</w:t>
      </w:r>
    </w:p>
    <w:p w14:paraId="42245264" w14:textId="5C814D86" w:rsidR="00FB71EA" w:rsidRPr="00772FAC" w:rsidRDefault="00FB71EA"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The leptin binding domain thus has been localized to residues 323-640, which contain the second segment of cytokine receptor domain/fibronectin type 3 domain (residues 428-635).</w:t>
      </w:r>
      <w:r w:rsidR="002E34F3" w:rsidRPr="00772FAC">
        <w:rPr>
          <w:rFonts w:eastAsia="宋体" w:cs="Times New Roman"/>
          <w:bCs/>
          <w:color w:val="0D0D0D" w:themeColor="text1" w:themeTint="F2"/>
          <w:sz w:val="21"/>
          <w:szCs w:val="21"/>
          <w:lang w:eastAsia="zh-CN"/>
        </w:rPr>
        <w:fldChar w:fldCharType="begin"/>
      </w:r>
      <w:r w:rsidR="002E34F3" w:rsidRPr="00772FAC">
        <w:rPr>
          <w:rFonts w:eastAsia="宋体" w:cs="Times New Roman"/>
          <w:bCs/>
          <w:color w:val="0D0D0D" w:themeColor="text1" w:themeTint="F2"/>
          <w:sz w:val="21"/>
          <w:szCs w:val="21"/>
          <w:lang w:eastAsia="zh-CN"/>
        </w:rPr>
        <w:instrText xml:space="preserve"> ADDIN ZOTERO_ITEM CSL_CITATION {"citationID":"uSctluc2","properties":{"formattedCitation":"\\super 4\\nosupersub{}","plainCitation":"4","noteIndex":0},"citationItems":[{"id":1625,"uris":["http://zotero.org/users/local/0ReR6scs/items/6K8WS6Z9"],"itemData":{"id":1625,"type":"article-journal","abstract":"The leptin receptor is a member of the class I cytokine receptor family and is involved in the control of appetite and body weight. The predicted amino acid sequence of the extracellular region of the cloned leptin receptor differs from that of many other cytokine receptors in that it contains two homologous segments representing potential ligand binding sites. After the analysis of various deletion and substitution mutants of the leptin receptor, we found that the first potential binding motif is not required for leptin binding and receptor activation, whereas modification of the second potential binding motif can lead to inactive receptor mutants. Further deletion analysis generated a minimal binding domain that retains high affinity leptin binding. The leptin binding domain thus has been localized to residues 323-640, which contain the second segment of cytokine receptor domain/fibronectin type 3 domain (residues 428-635). Coexpression of the active isoform of leptin receptor (OB-Rb) with an inactive mutant lacking high affinity leptin binding site led to suppression of the activity mediated by OB-Rb, suggesting that the leptin receptor may exist as a multimeric complex in the absence of leptin.","container-title":"Molecular Pharmacology","DOI":"10.1124/mol.53.2.234","ISSN":"0026-895X","issue":"2","journalAbbreviation":"Mol Pharmacol","language":"eng","note":"PMID: 9463481","page":"234-240","source":"PubMed","title":"Localization of leptin binding domain in the leptin receptor","volume":"53","author":[{"family":"Fong","given":"T. M."},{"family":"Huang","given":"R. R."},{"family":"Tota","given":"M. R."},{"family":"Mao","given":"C."},{"family":"Smith","given":"T."},{"family":"Varnerin","given":"J."},{"family":"Karpitskiy","given":"V. V."},{"family":"Krause","given":"J. E."},{"family":"Van der Ploeg","given":"L. H."}],"issued":{"date-parts":[["1998",2]]}}}],"schema":"https://github.com/citation-style-language/schema/raw/master/csl-citation.json"} </w:instrText>
      </w:r>
      <w:r w:rsidR="002E34F3" w:rsidRPr="00772FAC">
        <w:rPr>
          <w:rFonts w:eastAsia="宋体" w:cs="Times New Roman"/>
          <w:bCs/>
          <w:color w:val="0D0D0D" w:themeColor="text1" w:themeTint="F2"/>
          <w:sz w:val="21"/>
          <w:szCs w:val="21"/>
          <w:lang w:eastAsia="zh-CN"/>
        </w:rPr>
        <w:fldChar w:fldCharType="separate"/>
      </w:r>
      <w:r w:rsidR="002E34F3" w:rsidRPr="00772FAC">
        <w:rPr>
          <w:rFonts w:ascii="Cambria" w:hAnsi="Cambria" w:cs="Times New Roman"/>
          <w:bCs/>
          <w:sz w:val="21"/>
          <w:vertAlign w:val="superscript"/>
        </w:rPr>
        <w:t>4</w:t>
      </w:r>
      <w:r w:rsidR="002E34F3" w:rsidRPr="00772FAC">
        <w:rPr>
          <w:rFonts w:eastAsia="宋体" w:cs="Times New Roman"/>
          <w:bCs/>
          <w:color w:val="0D0D0D" w:themeColor="text1" w:themeTint="F2"/>
          <w:sz w:val="21"/>
          <w:szCs w:val="21"/>
          <w:lang w:eastAsia="zh-CN"/>
        </w:rPr>
        <w:fldChar w:fldCharType="end"/>
      </w:r>
    </w:p>
    <w:p w14:paraId="6E01B744" w14:textId="70EDCABC" w:rsidR="006C65E8" w:rsidRPr="00772FAC" w:rsidRDefault="006C65E8"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The pairwise BLASTP alignment between the human LEPR leptin-binding domain (residues 323–640) and the corresponding mouse sequence showed a 99% query coverage and 84.81% identity, with an E-value of 0.0 and a high alignment score of 573. These results indicate that the leptin-binding domain of LEPR is highly conserved between humans and mice, with nearly complete alignment and minimal sequence variation, suggesting strong evolutionary conservation and likely similar functional roles in both species.</w:t>
      </w:r>
      <w:r w:rsidRPr="00772FAC">
        <w:rPr>
          <w:rFonts w:eastAsia="宋体" w:hint="eastAsia"/>
          <w:bCs/>
          <w:lang w:eastAsia="zh-CN"/>
        </w:rPr>
        <w:t xml:space="preserve"> </w:t>
      </w:r>
      <w:r w:rsidRPr="00772FAC">
        <w:rPr>
          <w:rFonts w:eastAsia="宋体" w:cs="Times New Roman" w:hint="eastAsia"/>
          <w:bCs/>
          <w:color w:val="0D0D0D" w:themeColor="text1" w:themeTint="F2"/>
          <w:sz w:val="21"/>
          <w:szCs w:val="21"/>
          <w:lang w:eastAsia="zh-CN"/>
        </w:rPr>
        <w:t>(Figure 2)</w:t>
      </w:r>
    </w:p>
    <w:p w14:paraId="1CE1473C" w14:textId="377C5173" w:rsidR="00FF71C6" w:rsidRPr="00772FAC" w:rsidRDefault="00FF71C6"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 xml:space="preserve">The mismatches are mainly concentrated in non-critical functional regions or non-coding areas, while the ligand-binding domain and transmembrane domain remain highly conserved. This indicates </w:t>
      </w:r>
      <w:r w:rsidRPr="00772FAC">
        <w:rPr>
          <w:rFonts w:eastAsia="宋体" w:cs="Times New Roman"/>
          <w:bCs/>
          <w:color w:val="0D0D0D" w:themeColor="text1" w:themeTint="F2"/>
          <w:sz w:val="21"/>
          <w:szCs w:val="21"/>
          <w:lang w:eastAsia="zh-CN"/>
        </w:rPr>
        <w:lastRenderedPageBreak/>
        <w:t>that the LEPR gene function is strongly preserved between humans and mice, with minor variations likely related to species-specific differences.</w:t>
      </w:r>
    </w:p>
    <w:p w14:paraId="20FE0B63" w14:textId="5F5B4FD0" w:rsidR="00B7364B" w:rsidRPr="00772FAC" w:rsidRDefault="00B7364B"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LEPR is involved in seven major biological pathways, playing important roles in neural signal transduction, immune response and inflammation, regulation of energy balance, cell survival, metabolic regulation, calcium ion homeostasis, and the regulation of metabolism by adipose tissue-derived factors.</w:t>
      </w:r>
      <w:r w:rsidRPr="00772FAC">
        <w:rPr>
          <w:rFonts w:eastAsia="宋体" w:cs="Times New Roman"/>
          <w:bCs/>
          <w:color w:val="0D0D0D" w:themeColor="text1" w:themeTint="F2"/>
          <w:sz w:val="21"/>
          <w:szCs w:val="21"/>
          <w:lang w:eastAsia="zh-CN"/>
        </w:rPr>
        <w:fldChar w:fldCharType="begin"/>
      </w:r>
      <w:r w:rsidRPr="00772FAC">
        <w:rPr>
          <w:rFonts w:eastAsia="宋体" w:cs="Times New Roman"/>
          <w:bCs/>
          <w:color w:val="0D0D0D" w:themeColor="text1" w:themeTint="F2"/>
          <w:sz w:val="21"/>
          <w:szCs w:val="21"/>
          <w:lang w:eastAsia="zh-CN"/>
        </w:rPr>
        <w:instrText xml:space="preserve"> ADDIN ZOTERO_ITEM CSL_CITATION {"citationID":"weiyIkAC","properties":{"formattedCitation":"\\super 5\\nosupersub{}","plainCitation":"5","noteIndex":0},"citationItems":[{"id":1629,"uris":["http://zotero.org/users/local/0ReR6scs/items/HQ8JIRWD"],"itemData":{"id":1629,"type":"webpage","title":"Pathway Search Result","URL":"https://www.kegg.jp/kegg-bin/search_pathway_text?map=map&amp;keyword=+LEPR&amp;mode=1&amp;viewImage=true","accessed":{"date-parts":[["2025",8,2]]}}}],"schema":"https://github.com/citation-style-language/schema/raw/master/csl-citation.json"}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Pr="00772FAC">
        <w:rPr>
          <w:rFonts w:ascii="Cambria" w:hAnsi="Cambria" w:cs="Times New Roman"/>
          <w:bCs/>
          <w:sz w:val="21"/>
          <w:vertAlign w:val="superscript"/>
        </w:rPr>
        <w:t>5</w:t>
      </w:r>
      <w:r w:rsidRPr="00772FAC">
        <w:rPr>
          <w:rFonts w:eastAsia="宋体" w:cs="Times New Roman"/>
          <w:bCs/>
          <w:color w:val="0D0D0D" w:themeColor="text1" w:themeTint="F2"/>
          <w:sz w:val="21"/>
          <w:szCs w:val="21"/>
          <w:lang w:eastAsia="zh-CN"/>
        </w:rPr>
        <w:fldChar w:fldCharType="end"/>
      </w:r>
    </w:p>
    <w:p w14:paraId="345CA703" w14:textId="7412E09D" w:rsidR="00237889" w:rsidRPr="00772FAC" w:rsidRDefault="00237889"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 xml:space="preserve">The pathway map04080 </w:t>
      </w:r>
      <w:r w:rsidR="00323131" w:rsidRPr="00772FAC">
        <w:rPr>
          <w:rFonts w:eastAsia="宋体" w:cs="Times New Roman"/>
          <w:bCs/>
          <w:color w:val="0D0D0D" w:themeColor="text1" w:themeTint="F2"/>
          <w:sz w:val="21"/>
          <w:szCs w:val="21"/>
          <w:lang w:eastAsia="zh-CN"/>
        </w:rPr>
        <w:t xml:space="preserve">illustrates </w:t>
      </w:r>
      <w:r w:rsidRPr="00772FAC">
        <w:rPr>
          <w:rFonts w:eastAsia="宋体" w:cs="Times New Roman"/>
          <w:bCs/>
          <w:color w:val="0D0D0D" w:themeColor="text1" w:themeTint="F2"/>
          <w:sz w:val="21"/>
          <w:szCs w:val="21"/>
          <w:lang w:eastAsia="zh-CN"/>
        </w:rPr>
        <w:t>the interactions between various neuroactive ligands and their specific receptors. These receptors include GPCRs, ligand-gated ion channels, and other types of receptors that can recognize monoamines, neuropeptides, hormones, lipid signaling molecules, and other small-molecule neurotransmitters. By regulating neural signal transmission, this pathway influences communication between neurons, thereby controlling various physiological functions of the body, including appetite and energy balance, endocrine regulation, emotions, behavior, and neural responses. It plays a particularly critical role in appetite control and energy expenditure.</w:t>
      </w:r>
      <w:r w:rsidRPr="00772FAC">
        <w:rPr>
          <w:rFonts w:eastAsia="宋体" w:cs="Times New Roman"/>
          <w:bCs/>
          <w:color w:val="0D0D0D" w:themeColor="text1" w:themeTint="F2"/>
          <w:sz w:val="21"/>
          <w:szCs w:val="21"/>
          <w:lang w:eastAsia="zh-CN"/>
        </w:rPr>
        <w:fldChar w:fldCharType="begin"/>
      </w:r>
      <w:r w:rsidR="00323131" w:rsidRPr="00772FAC">
        <w:rPr>
          <w:rFonts w:eastAsia="宋体" w:cs="Times New Roman"/>
          <w:bCs/>
          <w:color w:val="0D0D0D" w:themeColor="text1" w:themeTint="F2"/>
          <w:sz w:val="21"/>
          <w:szCs w:val="21"/>
          <w:lang w:eastAsia="zh-CN"/>
        </w:rPr>
        <w:instrText xml:space="preserve"> ADDIN ZOTERO_ITEM CSL_CITATION {"citationID":"yg2Up4Kd","properties":{"formattedCitation":"\\super 6\\nosupersub{}","plainCitation":"6","noteIndex":0},"citationItems":[{"id":1631,"uris":["http://zotero.org/users/local/0ReR6scs/items/5KEPYH2D"],"itemData":{"id":1631,"type":"webpage","title":"KEGG PATHWAY: Neuroactive ligand-receptor interaction - Reference pathway","URL":"https://www.kegg.jp/pathway/map04080","accessed":{"date-parts":[["2025",8,2]]}}}],"schema":"https://github.com/citation-style-language/schema/raw/master/csl-citation.json"}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00323131" w:rsidRPr="00772FAC">
        <w:rPr>
          <w:rFonts w:ascii="Cambria" w:hAnsi="Cambria" w:cs="Times New Roman"/>
          <w:bCs/>
          <w:sz w:val="21"/>
          <w:vertAlign w:val="superscript"/>
        </w:rPr>
        <w:t>6</w:t>
      </w:r>
      <w:r w:rsidRPr="00772FAC">
        <w:rPr>
          <w:rFonts w:eastAsia="宋体" w:cs="Times New Roman"/>
          <w:bCs/>
          <w:color w:val="0D0D0D" w:themeColor="text1" w:themeTint="F2"/>
          <w:sz w:val="21"/>
          <w:szCs w:val="21"/>
          <w:lang w:eastAsia="zh-CN"/>
        </w:rPr>
        <w:fldChar w:fldCharType="end"/>
      </w:r>
    </w:p>
    <w:p w14:paraId="3D288F2F" w14:textId="63D42743" w:rsidR="00323131" w:rsidRPr="00772FAC" w:rsidRDefault="002D7A7C"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 xml:space="preserve">The pathway map04060 describes the interactions between various cytokines and their specific receptors. These receptors include class I cytokine receptors, class II cytokine receptors, members of the TNF receptor family, and receptor tyrosine kinases, among other types. They can recognize signaling molecules such as interleukins, interferons, tumor necrosis factors, growth factors, and hormone-like cytokines. By regulating cytokine signal transmission, this pathway influences communication among immune cells, thereby controlling multiple physiological functions of the body, including immune responses, inflammatory reactions, hematopoiesis, tissue repair, and metabolic regulation. It plays a particularly important role in maintaining the connection between immune balance and energy metabolism. </w:t>
      </w:r>
      <w:r w:rsidR="00323131" w:rsidRPr="00772FAC">
        <w:rPr>
          <w:rFonts w:eastAsia="宋体" w:cs="Times New Roman"/>
          <w:bCs/>
          <w:color w:val="0D0D0D" w:themeColor="text1" w:themeTint="F2"/>
          <w:sz w:val="21"/>
          <w:szCs w:val="21"/>
          <w:lang w:eastAsia="zh-CN"/>
        </w:rPr>
        <w:fldChar w:fldCharType="begin"/>
      </w:r>
      <w:r w:rsidR="00323131" w:rsidRPr="00772FAC">
        <w:rPr>
          <w:rFonts w:eastAsia="宋体" w:cs="Times New Roman"/>
          <w:bCs/>
          <w:color w:val="0D0D0D" w:themeColor="text1" w:themeTint="F2"/>
          <w:sz w:val="21"/>
          <w:szCs w:val="21"/>
          <w:lang w:eastAsia="zh-CN"/>
        </w:rPr>
        <w:instrText xml:space="preserve"> ADDIN ZOTERO_ITEM CSL_CITATION {"citationID":"lSUWoWLp","properties":{"formattedCitation":"\\super 7\\nosupersub{}","plainCitation":"7","noteIndex":0},"citationItems":[{"id":1633,"uris":["http://zotero.org/users/local/0ReR6scs/items/W8MIDQP2"],"itemData":{"id":1633,"type":"webpage","title":"KEGG PATHWAY: Cytokine-cytokine receptor interaction - Reference pathway","URL":"https://www.kegg.jp/pathway/map04060","accessed":{"date-parts":[["2025",8,2]]}}}],"schema":"https://github.com/citation-style-language/schema/raw/master/csl-citation.json"} </w:instrText>
      </w:r>
      <w:r w:rsidR="00323131" w:rsidRPr="00772FAC">
        <w:rPr>
          <w:rFonts w:eastAsia="宋体" w:cs="Times New Roman"/>
          <w:bCs/>
          <w:color w:val="0D0D0D" w:themeColor="text1" w:themeTint="F2"/>
          <w:sz w:val="21"/>
          <w:szCs w:val="21"/>
          <w:lang w:eastAsia="zh-CN"/>
        </w:rPr>
        <w:fldChar w:fldCharType="separate"/>
      </w:r>
      <w:r w:rsidR="00323131" w:rsidRPr="00772FAC">
        <w:rPr>
          <w:rFonts w:ascii="Cambria" w:hAnsi="Cambria" w:cs="Times New Roman"/>
          <w:bCs/>
          <w:sz w:val="21"/>
          <w:vertAlign w:val="superscript"/>
        </w:rPr>
        <w:t>7</w:t>
      </w:r>
      <w:r w:rsidR="00323131" w:rsidRPr="00772FAC">
        <w:rPr>
          <w:rFonts w:eastAsia="宋体" w:cs="Times New Roman"/>
          <w:bCs/>
          <w:color w:val="0D0D0D" w:themeColor="text1" w:themeTint="F2"/>
          <w:sz w:val="21"/>
          <w:szCs w:val="21"/>
          <w:lang w:eastAsia="zh-CN"/>
        </w:rPr>
        <w:fldChar w:fldCharType="end"/>
      </w:r>
    </w:p>
    <w:p w14:paraId="76014DB4" w14:textId="143FA3E4" w:rsidR="002D7A7C" w:rsidRPr="00772FAC" w:rsidRDefault="002D7A7C" w:rsidP="00FB71EA">
      <w:pPr>
        <w:ind w:firstLineChars="200" w:firstLine="420"/>
        <w:jc w:val="both"/>
        <w:rPr>
          <w:rFonts w:eastAsia="宋体" w:cs="Times New Roman"/>
          <w:bCs/>
          <w:color w:val="0D0D0D" w:themeColor="text1" w:themeTint="F2"/>
          <w:sz w:val="21"/>
          <w:szCs w:val="21"/>
          <w:lang w:eastAsia="zh-CN"/>
        </w:rPr>
      </w:pPr>
      <w:r w:rsidRPr="00772FAC">
        <w:rPr>
          <w:rFonts w:eastAsia="宋体" w:cs="Times New Roman"/>
          <w:bCs/>
          <w:color w:val="0D0D0D" w:themeColor="text1" w:themeTint="F2"/>
          <w:sz w:val="21"/>
          <w:szCs w:val="21"/>
          <w:lang w:eastAsia="zh-CN"/>
        </w:rPr>
        <w:t>The pathway map04920 describes the interactions between adipocytokines and their specific receptors, which are involved in regulating energy metabolism, inflammatory responses, and insulin sensitivity in the body. This pathway includes various signaling molecules secreted by adipose tissue and their receptors, such as LEPR, adiponectin, and resistin. These molecules activate multiple downstream signaling pathways, including AMPK, PPAR, JAK-STAT, and MAPK, to regulate glucose metabolism, fatty acid oxidation, energy expenditure, and inflammation levels. This pathway plays an important role in maintaining energy balance and in the development and regulation of metabolic diseases such as obesity and type 2 diabetes</w:t>
      </w:r>
      <w:r w:rsidRPr="00772FAC">
        <w:rPr>
          <w:rFonts w:eastAsia="宋体" w:cs="Times New Roman"/>
          <w:bCs/>
          <w:color w:val="0D0D0D" w:themeColor="text1" w:themeTint="F2"/>
          <w:sz w:val="21"/>
          <w:szCs w:val="21"/>
          <w:lang w:eastAsia="zh-CN"/>
        </w:rPr>
        <w:fldChar w:fldCharType="begin"/>
      </w:r>
      <w:r w:rsidRPr="00772FAC">
        <w:rPr>
          <w:rFonts w:eastAsia="宋体" w:cs="Times New Roman"/>
          <w:bCs/>
          <w:color w:val="0D0D0D" w:themeColor="text1" w:themeTint="F2"/>
          <w:sz w:val="21"/>
          <w:szCs w:val="21"/>
          <w:lang w:eastAsia="zh-CN"/>
        </w:rPr>
        <w:instrText xml:space="preserve"> ADDIN ZOTERO_ITEM CSL_CITATION {"citationID":"PvKdRkae","properties":{"formattedCitation":"\\super 8\\nosupersub{}","plainCitation":"8","noteIndex":0},"citationItems":[{"id":1635,"uris":["http://zotero.org/users/local/0ReR6scs/items/EYCPIKUW"],"itemData":{"id":1635,"type":"webpage","title":"KEGG PATHWAY: Adipocytokine signaling pathway - Reference pathway","URL":"https://www.kegg.jp/pathway/map04920","accessed":{"date-parts":[["2025",8,2]]}}}],"schema":"https://github.com/citation-style-language/schema/raw/master/csl-citation.json"}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Pr="00772FAC">
        <w:rPr>
          <w:rFonts w:ascii="Cambria" w:hAnsi="Cambria" w:cs="Times New Roman"/>
          <w:bCs/>
          <w:sz w:val="21"/>
          <w:vertAlign w:val="superscript"/>
        </w:rPr>
        <w:t>8</w:t>
      </w:r>
      <w:r w:rsidRPr="00772FAC">
        <w:rPr>
          <w:rFonts w:eastAsia="宋体" w:cs="Times New Roman"/>
          <w:bCs/>
          <w:color w:val="0D0D0D" w:themeColor="text1" w:themeTint="F2"/>
          <w:sz w:val="21"/>
          <w:szCs w:val="21"/>
          <w:lang w:eastAsia="zh-CN"/>
        </w:rPr>
        <w:fldChar w:fldCharType="end"/>
      </w:r>
      <w:r w:rsidRPr="00772FAC">
        <w:rPr>
          <w:rFonts w:eastAsia="宋体" w:cs="Times New Roman"/>
          <w:bCs/>
          <w:color w:val="0D0D0D" w:themeColor="text1" w:themeTint="F2"/>
          <w:sz w:val="21"/>
          <w:szCs w:val="21"/>
          <w:lang w:eastAsia="zh-CN"/>
        </w:rPr>
        <w:t>.</w:t>
      </w:r>
    </w:p>
    <w:p w14:paraId="139B560C" w14:textId="33587CD3" w:rsidR="00353DAF" w:rsidRPr="00772FAC" w:rsidRDefault="00353DAF" w:rsidP="00353DAF">
      <w:pPr>
        <w:ind w:firstLineChars="200" w:firstLine="420"/>
        <w:jc w:val="both"/>
        <w:rPr>
          <w:rFonts w:eastAsia="宋体" w:cs="Times New Roman"/>
          <w:bCs/>
          <w:color w:val="0D0D0D" w:themeColor="text1" w:themeTint="F2"/>
          <w:sz w:val="21"/>
          <w:szCs w:val="21"/>
          <w:lang w:eastAsia="zh-CN"/>
        </w:rPr>
      </w:pPr>
      <w:r w:rsidRPr="00353DAF">
        <w:rPr>
          <w:rFonts w:eastAsia="宋体" w:cs="Times New Roman"/>
          <w:bCs/>
          <w:color w:val="0D0D0D" w:themeColor="text1" w:themeTint="F2"/>
          <w:sz w:val="21"/>
          <w:szCs w:val="21"/>
          <w:lang w:eastAsia="zh-CN"/>
        </w:rPr>
        <w:t>The pathway map04081 illustrates the interactions between various neurotransmitters and their receptors, mainly involving classical neurotransmitters such as glutamate, GABA, acetylcholine, and glycine, along with their respective receptor types, including ionotropic and metabotropic receptors. This pathway regulates neuronal electrical signal transmission and synaptic plasticity, thereby influencing communication between neurons. It plays essential roles in multiple neural system functions such as learning and memory, motor control, emotional regulation, and sensory transmission, and contributes to the mechanisms underlying neurological disorders like epilepsy, Alzheimer's disease, and depression</w:t>
      </w:r>
      <w:r w:rsidRPr="00772FAC">
        <w:rPr>
          <w:rFonts w:eastAsia="宋体" w:cs="Times New Roman"/>
          <w:bCs/>
          <w:color w:val="0D0D0D" w:themeColor="text1" w:themeTint="F2"/>
          <w:sz w:val="21"/>
          <w:szCs w:val="21"/>
          <w:lang w:eastAsia="zh-CN"/>
        </w:rPr>
        <w:fldChar w:fldCharType="begin"/>
      </w:r>
      <w:r w:rsidRPr="00772FAC">
        <w:rPr>
          <w:rFonts w:eastAsia="宋体" w:cs="Times New Roman"/>
          <w:bCs/>
          <w:color w:val="0D0D0D" w:themeColor="text1" w:themeTint="F2"/>
          <w:sz w:val="21"/>
          <w:szCs w:val="21"/>
          <w:lang w:eastAsia="zh-CN"/>
        </w:rPr>
        <w:instrText xml:space="preserve"> ADDIN ZOTERO_ITEM CSL_CITATION {"citationID":"kTXCSOhk","properties":{"formattedCitation":"\\super 9\\nosupersub{}","plainCitation":"9","noteIndex":0},"citationItems":[{"id":1637,"uris":["http://zotero.org/users/local/0ReR6scs/items/VJ3I3FCT"],"itemData":{"id":1637,"type":"webpage","title":"KEGG PATHWAY: Hormone signaling - Reference pathway","URL":"https://www.kegg.jp/pathway/map04081","accessed":{"date-parts":[["2025",8,2]]}}}],"schema":"https://github.com/citation-style-language/schema/raw/master/csl-citation.json"}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Pr="00772FAC">
        <w:rPr>
          <w:rFonts w:ascii="Cambria" w:hAnsi="Cambria" w:cs="Times New Roman"/>
          <w:bCs/>
          <w:sz w:val="21"/>
          <w:vertAlign w:val="superscript"/>
        </w:rPr>
        <w:t>9</w:t>
      </w:r>
      <w:r w:rsidRPr="00772FAC">
        <w:rPr>
          <w:rFonts w:eastAsia="宋体" w:cs="Times New Roman"/>
          <w:bCs/>
          <w:color w:val="0D0D0D" w:themeColor="text1" w:themeTint="F2"/>
          <w:sz w:val="21"/>
          <w:szCs w:val="21"/>
          <w:lang w:eastAsia="zh-CN"/>
        </w:rPr>
        <w:fldChar w:fldCharType="end"/>
      </w:r>
      <w:r w:rsidRPr="00353DAF">
        <w:rPr>
          <w:rFonts w:eastAsia="宋体" w:cs="Times New Roman"/>
          <w:bCs/>
          <w:color w:val="0D0D0D" w:themeColor="text1" w:themeTint="F2"/>
          <w:sz w:val="21"/>
          <w:szCs w:val="21"/>
          <w:lang w:eastAsia="zh-CN"/>
        </w:rPr>
        <w:t>.</w:t>
      </w:r>
    </w:p>
    <w:p w14:paraId="0ECA7FA8" w14:textId="3C91F74B" w:rsidR="00353DAF" w:rsidRPr="00353DAF" w:rsidRDefault="00353DAF" w:rsidP="00353DAF">
      <w:pPr>
        <w:ind w:firstLineChars="200" w:firstLine="420"/>
        <w:jc w:val="both"/>
        <w:rPr>
          <w:rFonts w:eastAsia="宋体" w:cs="Times New Roman"/>
          <w:bCs/>
          <w:color w:val="0D0D0D" w:themeColor="text1" w:themeTint="F2"/>
          <w:sz w:val="21"/>
          <w:szCs w:val="21"/>
          <w:lang w:eastAsia="zh-CN"/>
        </w:rPr>
      </w:pPr>
      <w:r w:rsidRPr="00353DAF">
        <w:rPr>
          <w:rFonts w:eastAsia="宋体" w:cs="Times New Roman"/>
          <w:bCs/>
          <w:color w:val="0D0D0D" w:themeColor="text1" w:themeTint="F2"/>
          <w:sz w:val="21"/>
          <w:szCs w:val="21"/>
          <w:lang w:eastAsia="zh-CN"/>
        </w:rPr>
        <w:t>The pathway map04630 describes the JAK-STAT signaling pathway, a key mechanism by which cytokines and growth factors activate downstream transcription factors of the STAT family through their receptors. This pathway is mainly composed of cytokine receptors, Janus kinases (JAKs), and signal transducers and activators of transcription (STATs). Upon cytokine binding, JAKs are activated to phosphorylate themselves and the receptors, leading to STAT phosphorylation, dimerization, and translocation into the nucleus to regulate target gene transcription. This pathway is widely involved in biological processes such as immune responses, hematopoiesis, cell proliferation, differentiation, survival, and inflammation, and is associated with various diseases including immunodeficiencies, chronic inflammation, cancers, and metabolic disorders.</w:t>
      </w:r>
      <w:r w:rsidRPr="00772FAC">
        <w:rPr>
          <w:rFonts w:eastAsia="宋体" w:cs="Times New Roman"/>
          <w:bCs/>
          <w:color w:val="0D0D0D" w:themeColor="text1" w:themeTint="F2"/>
          <w:sz w:val="21"/>
          <w:szCs w:val="21"/>
          <w:lang w:eastAsia="zh-CN"/>
        </w:rPr>
        <w:fldChar w:fldCharType="begin"/>
      </w:r>
      <w:r w:rsidRPr="00772FAC">
        <w:rPr>
          <w:rFonts w:eastAsia="宋体" w:cs="Times New Roman"/>
          <w:bCs/>
          <w:color w:val="0D0D0D" w:themeColor="text1" w:themeTint="F2"/>
          <w:sz w:val="21"/>
          <w:szCs w:val="21"/>
          <w:lang w:eastAsia="zh-CN"/>
        </w:rPr>
        <w:instrText xml:space="preserve"> ADDIN ZOTERO_ITEM CSL_CITATION {"citationID":"TWxFFUon","properties":{"formattedCitation":"\\super 10\\nosupersub{}","plainCitation":"10","noteIndex":0},"citationItems":[{"id":1639,"uris":["http://zotero.org/users/local/0ReR6scs/items/P2Y3SMMB"],"itemData":{"id":1639,"type":"webpage","title":"KEGG PATHWAY: JAK-STAT signaling pathway - Reference pathway","URL":"https://www.kegg.jp/pathway/map04630","accessed":{"date-parts":[["2025",8,2]]}}}],"schema":"https://github.com/citation-style-language/schema/raw/master/csl-citation.json"}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Pr="00772FAC">
        <w:rPr>
          <w:rFonts w:ascii="Cambria" w:hAnsi="Cambria" w:cs="Times New Roman"/>
          <w:bCs/>
          <w:sz w:val="21"/>
          <w:vertAlign w:val="superscript"/>
        </w:rPr>
        <w:t>10</w:t>
      </w:r>
      <w:r w:rsidRPr="00772FAC">
        <w:rPr>
          <w:rFonts w:eastAsia="宋体" w:cs="Times New Roman"/>
          <w:bCs/>
          <w:color w:val="0D0D0D" w:themeColor="text1" w:themeTint="F2"/>
          <w:sz w:val="21"/>
          <w:szCs w:val="21"/>
          <w:lang w:eastAsia="zh-CN"/>
        </w:rPr>
        <w:fldChar w:fldCharType="end"/>
      </w:r>
    </w:p>
    <w:p w14:paraId="36E41398" w14:textId="2FFBF2A1" w:rsidR="00353DAF" w:rsidRPr="00353DAF" w:rsidRDefault="00353DAF" w:rsidP="00353DAF">
      <w:pPr>
        <w:ind w:firstLineChars="200" w:firstLine="420"/>
        <w:jc w:val="both"/>
        <w:rPr>
          <w:rFonts w:eastAsia="宋体" w:cs="Times New Roman"/>
          <w:bCs/>
          <w:color w:val="0D0D0D" w:themeColor="text1" w:themeTint="F2"/>
          <w:sz w:val="21"/>
          <w:szCs w:val="21"/>
          <w:lang w:eastAsia="zh-CN"/>
        </w:rPr>
      </w:pPr>
      <w:r w:rsidRPr="00353DAF">
        <w:rPr>
          <w:rFonts w:eastAsia="宋体" w:cs="Times New Roman"/>
          <w:bCs/>
          <w:color w:val="0D0D0D" w:themeColor="text1" w:themeTint="F2"/>
          <w:sz w:val="21"/>
          <w:szCs w:val="21"/>
          <w:lang w:eastAsia="zh-CN"/>
        </w:rPr>
        <w:t>The pathway map04932 describes the regulation of lipolysis in adipocytes, which is the signaling network that controls the breakdown of stored fat within fat cells. This pathway involves various hormones, receptors, and downstream signaling molecules, such as adrenaline, noradrenaline, leptin, glucagon, insulin and their receptors, as well as protein kinase A, hormone-sensitive lipase, and adipose triglyceride lipase. These signals regulate the hydrolysis of triglycerides stored in lipid droplets, generating free fatty acids and glycerol to supply energy to the body. This pathway plays a crucial role in maintaining energy balance, controlling body weight, responding to exercise, and contributing to the development of metabolic diseases such as obesity, type 2 diabetes, and metabolic syndrome.</w:t>
      </w:r>
      <w:r w:rsidRPr="00772FAC">
        <w:rPr>
          <w:rFonts w:eastAsia="宋体" w:cs="Times New Roman"/>
          <w:bCs/>
          <w:color w:val="0D0D0D" w:themeColor="text1" w:themeTint="F2"/>
          <w:sz w:val="21"/>
          <w:szCs w:val="21"/>
          <w:lang w:eastAsia="zh-CN"/>
        </w:rPr>
        <w:fldChar w:fldCharType="begin"/>
      </w:r>
      <w:r w:rsidRPr="00772FAC">
        <w:rPr>
          <w:rFonts w:eastAsia="宋体" w:cs="Times New Roman"/>
          <w:bCs/>
          <w:color w:val="0D0D0D" w:themeColor="text1" w:themeTint="F2"/>
          <w:sz w:val="21"/>
          <w:szCs w:val="21"/>
          <w:lang w:eastAsia="zh-CN"/>
        </w:rPr>
        <w:instrText xml:space="preserve"> ADDIN ZOTERO_ITEM CSL_CITATION {"citationID":"jZNSe8lG","properties":{"formattedCitation":"\\super 11\\nosupersub{}","plainCitation":"11","noteIndex":0},"citationItems":[{"id":1641,"uris":["http://zotero.org/users/local/0ReR6scs/items/HTQSLAIF"],"itemData":{"id":1641,"type":"webpage","title":"KEGG PATHWAY: Non-alcoholic fatty liver disease - Reference pathway","URL":"https://www.kegg.jp/pathway/map04932","accessed":{"date-parts":[["2025",8,2]]}}}],"schema":"https://github.com/citation-style-language/schema/raw/master/csl-citation.json"} </w:instrText>
      </w:r>
      <w:r w:rsidRPr="00772FAC">
        <w:rPr>
          <w:rFonts w:eastAsia="宋体" w:cs="Times New Roman"/>
          <w:bCs/>
          <w:color w:val="0D0D0D" w:themeColor="text1" w:themeTint="F2"/>
          <w:sz w:val="21"/>
          <w:szCs w:val="21"/>
          <w:lang w:eastAsia="zh-CN"/>
        </w:rPr>
        <w:fldChar w:fldCharType="separate"/>
      </w:r>
      <w:r w:rsidRPr="00772FAC">
        <w:rPr>
          <w:rFonts w:ascii="Cambria" w:hAnsi="Cambria" w:cs="Times New Roman"/>
          <w:bCs/>
          <w:sz w:val="21"/>
          <w:vertAlign w:val="superscript"/>
        </w:rPr>
        <w:t>11</w:t>
      </w:r>
      <w:r w:rsidRPr="00772FAC">
        <w:rPr>
          <w:rFonts w:eastAsia="宋体" w:cs="Times New Roman"/>
          <w:bCs/>
          <w:color w:val="0D0D0D" w:themeColor="text1" w:themeTint="F2"/>
          <w:sz w:val="21"/>
          <w:szCs w:val="21"/>
          <w:lang w:eastAsia="zh-CN"/>
        </w:rPr>
        <w:fldChar w:fldCharType="end"/>
      </w:r>
    </w:p>
    <w:p w14:paraId="709CC53E" w14:textId="65B92000" w:rsidR="00353DAF" w:rsidRPr="00353DAF" w:rsidRDefault="00353DAF" w:rsidP="00353DAF">
      <w:pPr>
        <w:ind w:firstLineChars="200" w:firstLine="420"/>
        <w:jc w:val="both"/>
        <w:rPr>
          <w:rFonts w:eastAsia="宋体" w:cs="Times New Roman"/>
          <w:b/>
          <w:color w:val="0D0D0D" w:themeColor="text1" w:themeTint="F2"/>
          <w:sz w:val="21"/>
          <w:szCs w:val="21"/>
          <w:lang w:eastAsia="zh-CN"/>
        </w:rPr>
      </w:pPr>
      <w:r w:rsidRPr="00353DAF">
        <w:rPr>
          <w:rFonts w:eastAsia="宋体" w:cs="Times New Roman"/>
          <w:bCs/>
          <w:color w:val="0D0D0D" w:themeColor="text1" w:themeTint="F2"/>
          <w:sz w:val="21"/>
          <w:szCs w:val="21"/>
          <w:lang w:eastAsia="zh-CN"/>
        </w:rPr>
        <w:t xml:space="preserve">The pathway map04152 describes the AMPK signaling pathway, a key mechanism by which cells sense energy status and regulate energy balance. AMPK is an energy-sensing kinase activated when </w:t>
      </w:r>
      <w:r w:rsidRPr="00353DAF">
        <w:rPr>
          <w:rFonts w:eastAsia="宋体" w:cs="Times New Roman"/>
          <w:bCs/>
          <w:color w:val="0D0D0D" w:themeColor="text1" w:themeTint="F2"/>
          <w:sz w:val="21"/>
          <w:szCs w:val="21"/>
          <w:lang w:eastAsia="zh-CN"/>
        </w:rPr>
        <w:lastRenderedPageBreak/>
        <w:t>intracellular energy levels drop. This pathway regulates various metabolic processes by phosphorylating multiple substrates, including inhibiting fatty acid and cholesterol synthesis, promoting glucose uptake, and enhancing fatty acid oxidation, thereby restoring energy homeostasis. The AMPK pathway also interacts with hormonal signals such as leptin and insulin and plays an important role in controlling body weight, exercise response, autophagy, inflammation, and the development of metabolic diseases such as obesity, type 2 diabetes, and cardiovascular disorders</w:t>
      </w:r>
      <w:r w:rsidR="00686989" w:rsidRPr="00772FAC">
        <w:rPr>
          <w:rFonts w:eastAsia="宋体" w:cs="Times New Roman"/>
          <w:bCs/>
          <w:color w:val="0D0D0D" w:themeColor="text1" w:themeTint="F2"/>
          <w:sz w:val="21"/>
          <w:szCs w:val="21"/>
          <w:lang w:eastAsia="zh-CN"/>
        </w:rPr>
        <w:fldChar w:fldCharType="begin"/>
      </w:r>
      <w:r w:rsidR="00686989" w:rsidRPr="00772FAC">
        <w:rPr>
          <w:rFonts w:eastAsia="宋体" w:cs="Times New Roman"/>
          <w:bCs/>
          <w:color w:val="0D0D0D" w:themeColor="text1" w:themeTint="F2"/>
          <w:sz w:val="21"/>
          <w:szCs w:val="21"/>
          <w:lang w:eastAsia="zh-CN"/>
        </w:rPr>
        <w:instrText xml:space="preserve"> ADDIN ZOTERO_ITEM CSL_CITATION {"citationID":"z1gNKdzJ","properties":{"formattedCitation":"\\super 12\\nosupersub{}","plainCitation":"12","noteIndex":0},"citationItems":[{"id":1645,"uris":["http://zotero.org/users/local/0ReR6scs/items/PGZ5EPWK"],"itemData":{"id":1645,"type":"webpage","title":"KEGG PATHWAY: AMPK signaling pathway - Reference pathway","URL":"https://www.kegg.jp/pathway/map04152","accessed":{"date-parts":[["2025",8,2]]}}}],"schema":"https://github.com/citation-style-language/schema/raw/master/csl-citation.json"} </w:instrText>
      </w:r>
      <w:r w:rsidR="00686989" w:rsidRPr="00772FAC">
        <w:rPr>
          <w:rFonts w:eastAsia="宋体" w:cs="Times New Roman"/>
          <w:bCs/>
          <w:color w:val="0D0D0D" w:themeColor="text1" w:themeTint="F2"/>
          <w:sz w:val="21"/>
          <w:szCs w:val="21"/>
          <w:lang w:eastAsia="zh-CN"/>
        </w:rPr>
        <w:fldChar w:fldCharType="separate"/>
      </w:r>
      <w:r w:rsidR="00686989" w:rsidRPr="00772FAC">
        <w:rPr>
          <w:rFonts w:ascii="Cambria" w:hAnsi="Cambria" w:cs="Times New Roman"/>
          <w:bCs/>
          <w:sz w:val="21"/>
          <w:vertAlign w:val="superscript"/>
        </w:rPr>
        <w:t>12</w:t>
      </w:r>
      <w:r w:rsidR="00686989" w:rsidRPr="00772FAC">
        <w:rPr>
          <w:rFonts w:eastAsia="宋体" w:cs="Times New Roman"/>
          <w:bCs/>
          <w:color w:val="0D0D0D" w:themeColor="text1" w:themeTint="F2"/>
          <w:sz w:val="21"/>
          <w:szCs w:val="21"/>
          <w:lang w:eastAsia="zh-CN"/>
        </w:rPr>
        <w:fldChar w:fldCharType="end"/>
      </w:r>
      <w:r w:rsidRPr="00353DAF">
        <w:rPr>
          <w:rFonts w:eastAsia="宋体" w:cs="Times New Roman"/>
          <w:b/>
          <w:color w:val="0D0D0D" w:themeColor="text1" w:themeTint="F2"/>
          <w:sz w:val="21"/>
          <w:szCs w:val="21"/>
          <w:lang w:eastAsia="zh-CN"/>
        </w:rPr>
        <w:t>.</w:t>
      </w:r>
    </w:p>
    <w:p w14:paraId="3AB5579D" w14:textId="77777777" w:rsidR="00353DAF" w:rsidRPr="00353DAF" w:rsidRDefault="00353DAF" w:rsidP="00353DAF">
      <w:pPr>
        <w:ind w:firstLineChars="200" w:firstLine="422"/>
        <w:jc w:val="both"/>
        <w:rPr>
          <w:rFonts w:eastAsia="宋体" w:cs="Times New Roman"/>
          <w:b/>
          <w:color w:val="0D0D0D" w:themeColor="text1" w:themeTint="F2"/>
          <w:sz w:val="21"/>
          <w:szCs w:val="21"/>
          <w:lang w:eastAsia="zh-CN"/>
        </w:rPr>
      </w:pPr>
    </w:p>
    <w:p w14:paraId="70C84754" w14:textId="77777777" w:rsidR="002D7A7C" w:rsidRPr="00353DAF" w:rsidRDefault="002D7A7C" w:rsidP="00FB71EA">
      <w:pPr>
        <w:ind w:firstLineChars="200" w:firstLine="422"/>
        <w:jc w:val="both"/>
        <w:rPr>
          <w:rFonts w:eastAsia="宋体" w:cs="Times New Roman"/>
          <w:b/>
          <w:color w:val="0D0D0D" w:themeColor="text1" w:themeTint="F2"/>
          <w:sz w:val="21"/>
          <w:szCs w:val="21"/>
          <w:lang w:eastAsia="zh-CN"/>
        </w:rPr>
      </w:pPr>
    </w:p>
    <w:p w14:paraId="4EFDA23F" w14:textId="77777777" w:rsidR="002D7A7C" w:rsidRPr="002D7A7C" w:rsidRDefault="002D7A7C" w:rsidP="00FB71EA">
      <w:pPr>
        <w:ind w:firstLineChars="200" w:firstLine="422"/>
        <w:jc w:val="both"/>
        <w:rPr>
          <w:rFonts w:eastAsia="宋体" w:cs="Times New Roman"/>
          <w:b/>
          <w:color w:val="0D0D0D" w:themeColor="text1" w:themeTint="F2"/>
          <w:sz w:val="21"/>
          <w:szCs w:val="21"/>
          <w:lang w:eastAsia="zh-CN"/>
        </w:rPr>
      </w:pPr>
    </w:p>
    <w:p w14:paraId="67F1C62F" w14:textId="33D9A83D" w:rsidR="006E5D17" w:rsidRPr="006C65E8" w:rsidRDefault="006E5D17" w:rsidP="00D73B89">
      <w:pPr>
        <w:jc w:val="both"/>
        <w:rPr>
          <w:rFonts w:eastAsia="宋体"/>
          <w:b/>
          <w:bCs/>
          <w:lang w:eastAsia="zh-CN"/>
        </w:rPr>
      </w:pPr>
      <w:r w:rsidRPr="00A14844">
        <w:rPr>
          <w:b/>
          <w:bCs/>
        </w:rPr>
        <w:t>Discussion of the results</w:t>
      </w:r>
      <w:r w:rsidR="006C65E8">
        <w:rPr>
          <w:rFonts w:eastAsia="宋体" w:hint="eastAsia"/>
          <w:b/>
          <w:bCs/>
          <w:lang w:eastAsia="zh-CN"/>
        </w:rPr>
        <w:t>.</w:t>
      </w:r>
    </w:p>
    <w:p w14:paraId="3573325B" w14:textId="77777777" w:rsidR="00BF28F4" w:rsidRPr="00BF28F4" w:rsidRDefault="00BF28F4" w:rsidP="00BF28F4">
      <w:pPr>
        <w:ind w:firstLineChars="200" w:firstLine="420"/>
        <w:jc w:val="both"/>
        <w:rPr>
          <w:rFonts w:eastAsia="宋体"/>
          <w:bCs/>
          <w:lang w:eastAsia="zh-CN"/>
        </w:rPr>
      </w:pPr>
      <w:r w:rsidRPr="00BF28F4">
        <w:rPr>
          <w:rFonts w:eastAsia="宋体" w:cs="Times New Roman"/>
          <w:bCs/>
          <w:color w:val="0D0D0D" w:themeColor="text1" w:themeTint="F2"/>
          <w:sz w:val="21"/>
          <w:szCs w:val="21"/>
          <w:lang w:eastAsia="zh-CN"/>
        </w:rPr>
        <w:t>This study systematically analyzed the LEPR gene in humans and mice using bioinformatics approaches. The results demonstrated a high degree of similarity between the two species in both nucleotide sequences and the amino acid sequences of the leptin-binding domain, with sequence identities above 80% and E-values close to 0, indicating strong evolutionary conservation of this gene. Functional domain analysis revealed that the leptin-binding domain (LBD) and transmembrane regions are highly conserved between the species, suggesting their essential roles in maintaining leptin receptor signaling function. KEGG pathway analysis further showed that LEPR is involved in multiple biological pathways related to energy metabolism regulation, immune responses, neural signal transmission, and lipid metabolism, and is closely associated with diseases such as obesity, metabolic syndrome, and type 2 diabetes. These findings indicate that the LEPR gene is functionally well conserved across species, providing valuable insights into the mechanisms of energy homeostasis and related diseases.</w:t>
      </w:r>
    </w:p>
    <w:p w14:paraId="2932CA15" w14:textId="53469CC7" w:rsidR="00D73B89" w:rsidRPr="00BF28F4" w:rsidRDefault="00D73B89" w:rsidP="00D73B89">
      <w:pPr>
        <w:jc w:val="both"/>
        <w:rPr>
          <w:rFonts w:eastAsia="宋体"/>
          <w:b/>
          <w:bCs/>
          <w:lang w:eastAsia="zh-CN"/>
        </w:rPr>
      </w:pPr>
    </w:p>
    <w:p w14:paraId="414CF861" w14:textId="1C7F4991" w:rsidR="006E5D17" w:rsidRPr="00A14844" w:rsidRDefault="006E5D17" w:rsidP="00D73B89">
      <w:pPr>
        <w:jc w:val="both"/>
        <w:rPr>
          <w:b/>
          <w:bCs/>
        </w:rPr>
      </w:pPr>
      <w:r w:rsidRPr="00A14844">
        <w:rPr>
          <w:b/>
          <w:bCs/>
        </w:rPr>
        <w:t>Main conclusion and outcome of the project</w:t>
      </w:r>
    </w:p>
    <w:p w14:paraId="70AF79FC" w14:textId="77777777" w:rsidR="00772FAC" w:rsidRPr="00772FAC" w:rsidRDefault="00772FAC" w:rsidP="00772FAC">
      <w:pPr>
        <w:ind w:firstLineChars="200" w:firstLine="420"/>
        <w:jc w:val="both"/>
      </w:pPr>
      <w:r w:rsidRPr="00772FAC">
        <w:rPr>
          <w:rFonts w:eastAsia="宋体" w:cs="Times New Roman"/>
          <w:bCs/>
          <w:color w:val="0D0D0D" w:themeColor="text1" w:themeTint="F2"/>
          <w:sz w:val="21"/>
          <w:szCs w:val="21"/>
          <w:lang w:eastAsia="zh-CN"/>
        </w:rPr>
        <w:t>This study demonstrates that the LEPR gene in humans and mice is highly conserved, with over 80% identity in both nucleotide and leptin-binding domain amino acid sequences, indicating strong evolutionary conservation. KEGG analysis shows that LEPR is involved in multiple pathways related to energy metabolism, immune response, and neural signaling, and is closely linked to obesity and metabolic diseases. These findings provide valuable insights into energy homeostasis and related disease mechanisms</w:t>
      </w:r>
      <w:r w:rsidRPr="00772FAC">
        <w:rPr>
          <w:rFonts w:eastAsia="宋体" w:cs="Times New Roman"/>
          <w:b/>
          <w:color w:val="0D0D0D" w:themeColor="text1" w:themeTint="F2"/>
          <w:sz w:val="21"/>
          <w:szCs w:val="21"/>
          <w:lang w:eastAsia="zh-CN"/>
        </w:rPr>
        <w:t>.</w:t>
      </w:r>
    </w:p>
    <w:p w14:paraId="5A361385" w14:textId="77777777" w:rsidR="00D73B89" w:rsidRDefault="00D73B89" w:rsidP="00D73B89">
      <w:pPr>
        <w:jc w:val="both"/>
      </w:pPr>
    </w:p>
    <w:p w14:paraId="3154A81A" w14:textId="30B28630" w:rsidR="00C87643" w:rsidRPr="00CB7298" w:rsidRDefault="00C87643" w:rsidP="00AD10F9">
      <w:pPr>
        <w:jc w:val="both"/>
        <w:rPr>
          <w:rFonts w:ascii="Times New Roman" w:eastAsia="Times New Roman" w:hAnsi="Times New Roman" w:cs="Times New Roman"/>
        </w:rPr>
      </w:pPr>
    </w:p>
    <w:p w14:paraId="7992158D" w14:textId="77777777" w:rsidR="00DC47DB" w:rsidRDefault="00DC47DB" w:rsidP="00DC47DB">
      <w:pPr>
        <w:keepNext/>
        <w:jc w:val="both"/>
      </w:pPr>
      <w:r w:rsidRPr="00DC47DB">
        <w:rPr>
          <w:rFonts w:ascii="Times New Roman" w:eastAsia="宋体" w:hAnsi="Times New Roman" w:cs="Times New Roman"/>
          <w:b/>
          <w:bCs/>
          <w:noProof/>
          <w:lang w:eastAsia="zh-CN"/>
        </w:rPr>
        <w:drawing>
          <wp:inline distT="0" distB="0" distL="0" distR="0" wp14:anchorId="02B72387" wp14:editId="5CD68E00">
            <wp:extent cx="5814060" cy="499745"/>
            <wp:effectExtent l="0" t="0" r="0" b="0"/>
            <wp:docPr id="201148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85544" name=""/>
                    <pic:cNvPicPr/>
                  </pic:nvPicPr>
                  <pic:blipFill>
                    <a:blip r:embed="rId8"/>
                    <a:stretch>
                      <a:fillRect/>
                    </a:stretch>
                  </pic:blipFill>
                  <pic:spPr>
                    <a:xfrm>
                      <a:off x="0" y="0"/>
                      <a:ext cx="5814060" cy="499745"/>
                    </a:xfrm>
                    <a:prstGeom prst="rect">
                      <a:avLst/>
                    </a:prstGeom>
                  </pic:spPr>
                </pic:pic>
              </a:graphicData>
            </a:graphic>
          </wp:inline>
        </w:drawing>
      </w:r>
    </w:p>
    <w:p w14:paraId="7FDAA324" w14:textId="15028980" w:rsidR="00DC47DB" w:rsidRDefault="00DC47DB" w:rsidP="00DC47DB">
      <w:pPr>
        <w:pStyle w:val="ab"/>
        <w:jc w:val="both"/>
      </w:pPr>
      <w:r>
        <w:t xml:space="preserve">Figure </w:t>
      </w:r>
      <w:fldSimple w:instr=" SEQ Figure \* ARABIC ">
        <w:r w:rsidR="006C65E8">
          <w:rPr>
            <w:noProof/>
          </w:rPr>
          <w:t>1</w:t>
        </w:r>
      </w:fldSimple>
    </w:p>
    <w:p w14:paraId="6438BA45" w14:textId="77777777" w:rsidR="006C65E8" w:rsidRDefault="006C65E8" w:rsidP="006C65E8">
      <w:pPr>
        <w:keepNext/>
      </w:pPr>
      <w:r>
        <w:rPr>
          <w:rFonts w:eastAsia="宋体"/>
          <w:noProof/>
          <w:lang w:eastAsia="zh-CN"/>
        </w:rPr>
        <w:drawing>
          <wp:inline distT="0" distB="0" distL="0" distR="0" wp14:anchorId="142265FC" wp14:editId="47FF317F">
            <wp:extent cx="5844540" cy="1034465"/>
            <wp:effectExtent l="0" t="0" r="3810" b="0"/>
            <wp:docPr id="14812100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5286" cy="1064686"/>
                    </a:xfrm>
                    <a:prstGeom prst="rect">
                      <a:avLst/>
                    </a:prstGeom>
                    <a:noFill/>
                  </pic:spPr>
                </pic:pic>
              </a:graphicData>
            </a:graphic>
          </wp:inline>
        </w:drawing>
      </w:r>
    </w:p>
    <w:p w14:paraId="55B628F5" w14:textId="2AFB0F5F" w:rsidR="006C65E8" w:rsidRPr="006C65E8" w:rsidRDefault="006C65E8" w:rsidP="006C65E8">
      <w:pPr>
        <w:pStyle w:val="ab"/>
        <w:rPr>
          <w:rFonts w:eastAsia="宋体"/>
          <w:lang w:eastAsia="zh-CN"/>
        </w:rPr>
      </w:pPr>
      <w:r>
        <w:t xml:space="preserve">Figure </w:t>
      </w:r>
      <w:fldSimple w:instr=" SEQ Figure \* ARABIC ">
        <w:r>
          <w:rPr>
            <w:noProof/>
          </w:rPr>
          <w:t>2</w:t>
        </w:r>
      </w:fldSimple>
    </w:p>
    <w:p w14:paraId="00EC36AF" w14:textId="4BD29B01" w:rsidR="00AD10F9" w:rsidRPr="00CB7298" w:rsidRDefault="00E402BA" w:rsidP="00AD10F9">
      <w:pPr>
        <w:jc w:val="both"/>
        <w:rPr>
          <w:rFonts w:ascii="Times New Roman" w:eastAsia="Times New Roman" w:hAnsi="Times New Roman" w:cs="Times New Roman"/>
          <w:b/>
          <w:bCs/>
        </w:rPr>
      </w:pPr>
      <w:r w:rsidRPr="00CB7298">
        <w:rPr>
          <w:rFonts w:ascii="Times New Roman" w:eastAsia="Times New Roman" w:hAnsi="Times New Roman" w:cs="Times New Roman"/>
          <w:b/>
          <w:bCs/>
        </w:rPr>
        <w:t>Reference</w:t>
      </w:r>
      <w:r w:rsidR="00AD10F9" w:rsidRPr="00CB7298">
        <w:rPr>
          <w:rFonts w:ascii="Times New Roman" w:eastAsia="Times New Roman" w:hAnsi="Times New Roman" w:cs="Times New Roman"/>
          <w:b/>
          <w:bCs/>
        </w:rPr>
        <w:t>:</w:t>
      </w:r>
    </w:p>
    <w:p w14:paraId="76D4FBF7" w14:textId="77777777" w:rsidR="00686989" w:rsidRPr="00686989" w:rsidRDefault="00F4611C" w:rsidP="00686989">
      <w:pPr>
        <w:pStyle w:val="aa"/>
        <w:rPr>
          <w:rFonts w:ascii="Times New Roman" w:hAnsi="Times New Roman" w:cs="Times New Roman"/>
        </w:rPr>
      </w:pPr>
      <w:r>
        <w:rPr>
          <w:rFonts w:eastAsia="Times New Roman"/>
          <w:bCs/>
        </w:rPr>
        <w:fldChar w:fldCharType="begin"/>
      </w:r>
      <w:r w:rsidR="006C65E8">
        <w:rPr>
          <w:rFonts w:eastAsia="Times New Roman"/>
          <w:bCs/>
        </w:rPr>
        <w:instrText xml:space="preserve"> ADDIN ZOTERO_BIBL {"uncited":[],"omitted":[],"custom":[]} CSL_BIBLIOGRAPHY </w:instrText>
      </w:r>
      <w:r>
        <w:rPr>
          <w:rFonts w:eastAsia="Times New Roman"/>
          <w:bCs/>
        </w:rPr>
        <w:fldChar w:fldCharType="separate"/>
      </w:r>
      <w:r w:rsidR="00686989" w:rsidRPr="00686989">
        <w:rPr>
          <w:rFonts w:ascii="Times New Roman" w:hAnsi="Times New Roman" w:cs="Times New Roman"/>
        </w:rPr>
        <w:t>(1)</w:t>
      </w:r>
      <w:r w:rsidR="00686989" w:rsidRPr="00686989">
        <w:rPr>
          <w:rFonts w:ascii="Times New Roman" w:hAnsi="Times New Roman" w:cs="Times New Roman"/>
        </w:rPr>
        <w:tab/>
      </w:r>
      <w:r w:rsidR="00686989" w:rsidRPr="00686989">
        <w:rPr>
          <w:rFonts w:ascii="Times New Roman" w:hAnsi="Times New Roman" w:cs="Times New Roman"/>
          <w:i/>
          <w:iCs/>
        </w:rPr>
        <w:t>UniProt</w:t>
      </w:r>
      <w:r w:rsidR="00686989" w:rsidRPr="00686989">
        <w:rPr>
          <w:rFonts w:ascii="Times New Roman" w:hAnsi="Times New Roman" w:cs="Times New Roman"/>
        </w:rPr>
        <w:t>. UniProt. https://www.uniprot.org/uniprotkb/P48357/entry (accessed 2025-07-31).</w:t>
      </w:r>
    </w:p>
    <w:p w14:paraId="63D323DF"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(2)</w:t>
      </w:r>
      <w:r w:rsidRPr="00686989">
        <w:rPr>
          <w:rFonts w:ascii="Times New Roman" w:hAnsi="Times New Roman" w:cs="Times New Roman"/>
        </w:rPr>
        <w:tab/>
        <w:t xml:space="preserve">Carpenter, B.; Hemsworth, G. R.; Wu, Z.; Maamra, M.; Strasburger, C. J.; Ross, R. J.; Artymiuk, P. J. Structure of the Human Obesity Receptor Leptin-Binding Domain Reveals the Mechanism of Leptin Antagonism by a Monoclonal Antibody. </w:t>
      </w:r>
      <w:r w:rsidRPr="00686989">
        <w:rPr>
          <w:rFonts w:ascii="Times New Roman" w:hAnsi="Times New Roman" w:cs="Times New Roman"/>
          <w:i/>
          <w:iCs/>
        </w:rPr>
        <w:t>Structure</w:t>
      </w:r>
      <w:r w:rsidRPr="00686989">
        <w:rPr>
          <w:rFonts w:ascii="Times New Roman" w:hAnsi="Times New Roman" w:cs="Times New Roman"/>
        </w:rPr>
        <w:t xml:space="preserve"> </w:t>
      </w:r>
      <w:r w:rsidRPr="00686989">
        <w:rPr>
          <w:rFonts w:ascii="Times New Roman" w:hAnsi="Times New Roman" w:cs="Times New Roman"/>
          <w:b/>
          <w:bCs/>
        </w:rPr>
        <w:t>2012</w:t>
      </w:r>
      <w:r w:rsidRPr="00686989">
        <w:rPr>
          <w:rFonts w:ascii="Times New Roman" w:hAnsi="Times New Roman" w:cs="Times New Roman"/>
        </w:rPr>
        <w:t xml:space="preserve">, </w:t>
      </w:r>
      <w:r w:rsidRPr="00686989">
        <w:rPr>
          <w:rFonts w:ascii="Times New Roman" w:hAnsi="Times New Roman" w:cs="Times New Roman"/>
          <w:i/>
          <w:iCs/>
        </w:rPr>
        <w:t>20</w:t>
      </w:r>
      <w:r w:rsidRPr="00686989">
        <w:rPr>
          <w:rFonts w:ascii="Times New Roman" w:hAnsi="Times New Roman" w:cs="Times New Roman"/>
        </w:rPr>
        <w:t xml:space="preserve"> (3), 487–497. https://doi.org/10.1016/j.str.2012.01.019.</w:t>
      </w:r>
    </w:p>
    <w:p w14:paraId="361406A4"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(3)</w:t>
      </w:r>
      <w:r w:rsidRPr="00686989">
        <w:rPr>
          <w:rFonts w:ascii="Times New Roman" w:hAnsi="Times New Roman" w:cs="Times New Roman"/>
        </w:rPr>
        <w:tab/>
        <w:t xml:space="preserve">PubChem. </w:t>
      </w:r>
      <w:r w:rsidRPr="00686989">
        <w:rPr>
          <w:rFonts w:ascii="Times New Roman" w:hAnsi="Times New Roman" w:cs="Times New Roman"/>
          <w:i/>
          <w:iCs/>
        </w:rPr>
        <w:t>LEPR - leptin receptor (human)</w:t>
      </w:r>
      <w:r w:rsidRPr="00686989">
        <w:rPr>
          <w:rFonts w:ascii="Times New Roman" w:hAnsi="Times New Roman" w:cs="Times New Roman"/>
        </w:rPr>
        <w:t>. https://pubchem.ncbi.nlm.nih.gov/gene/LEPR/human (accessed 2025-07-31).</w:t>
      </w:r>
    </w:p>
    <w:p w14:paraId="394F993F"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(4)</w:t>
      </w:r>
      <w:r w:rsidRPr="00686989">
        <w:rPr>
          <w:rFonts w:ascii="Times New Roman" w:hAnsi="Times New Roman" w:cs="Times New Roman"/>
        </w:rPr>
        <w:tab/>
        <w:t xml:space="preserve">Fong, T. M.; Huang, R. R.; Tota, M. R.; Mao, C.; Smith, T.; Varnerin, J.; Karpitskiy, V. V.; Krause, J. E.; Van der Ploeg, L. H. Localization of Leptin Binding Domain in the </w:t>
      </w:r>
      <w:r w:rsidRPr="00686989">
        <w:rPr>
          <w:rFonts w:ascii="Times New Roman" w:hAnsi="Times New Roman" w:cs="Times New Roman"/>
        </w:rPr>
        <w:lastRenderedPageBreak/>
        <w:t xml:space="preserve">Leptin Receptor. </w:t>
      </w:r>
      <w:r w:rsidRPr="00686989">
        <w:rPr>
          <w:rFonts w:ascii="Times New Roman" w:hAnsi="Times New Roman" w:cs="Times New Roman"/>
          <w:i/>
          <w:iCs/>
        </w:rPr>
        <w:t>Mol. Pharmacol.</w:t>
      </w:r>
      <w:r w:rsidRPr="00686989">
        <w:rPr>
          <w:rFonts w:ascii="Times New Roman" w:hAnsi="Times New Roman" w:cs="Times New Roman"/>
        </w:rPr>
        <w:t xml:space="preserve"> </w:t>
      </w:r>
      <w:r w:rsidRPr="00686989">
        <w:rPr>
          <w:rFonts w:ascii="Times New Roman" w:hAnsi="Times New Roman" w:cs="Times New Roman"/>
          <w:b/>
          <w:bCs/>
        </w:rPr>
        <w:t>1998</w:t>
      </w:r>
      <w:r w:rsidRPr="00686989">
        <w:rPr>
          <w:rFonts w:ascii="Times New Roman" w:hAnsi="Times New Roman" w:cs="Times New Roman"/>
        </w:rPr>
        <w:t xml:space="preserve">, </w:t>
      </w:r>
      <w:r w:rsidRPr="00686989">
        <w:rPr>
          <w:rFonts w:ascii="Times New Roman" w:hAnsi="Times New Roman" w:cs="Times New Roman"/>
          <w:i/>
          <w:iCs/>
        </w:rPr>
        <w:t>53</w:t>
      </w:r>
      <w:r w:rsidRPr="00686989">
        <w:rPr>
          <w:rFonts w:ascii="Times New Roman" w:hAnsi="Times New Roman" w:cs="Times New Roman"/>
        </w:rPr>
        <w:t xml:space="preserve"> (2), 234–240. https://doi.org/10.1124/mol.53.2.234.</w:t>
      </w:r>
    </w:p>
    <w:p w14:paraId="3DB6CD4B"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(5)</w:t>
      </w:r>
      <w:r w:rsidRPr="00686989">
        <w:rPr>
          <w:rFonts w:ascii="Times New Roman" w:hAnsi="Times New Roman" w:cs="Times New Roman"/>
        </w:rPr>
        <w:tab/>
      </w:r>
      <w:r w:rsidRPr="00686989">
        <w:rPr>
          <w:rFonts w:ascii="Times New Roman" w:hAnsi="Times New Roman" w:cs="Times New Roman"/>
          <w:i/>
          <w:iCs/>
        </w:rPr>
        <w:t>Pathway Search Result</w:t>
      </w:r>
      <w:r w:rsidRPr="00686989">
        <w:rPr>
          <w:rFonts w:ascii="Times New Roman" w:hAnsi="Times New Roman" w:cs="Times New Roman"/>
        </w:rPr>
        <w:t>. https://www.kegg.jp/kegg-bin/search_pathway_text?map=map&amp;keyword=+LEPR&amp;mode=1&amp;viewImage=true (accessed 2025-08-02).</w:t>
      </w:r>
    </w:p>
    <w:p w14:paraId="28EE940F"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(6)</w:t>
      </w:r>
      <w:r w:rsidRPr="00686989">
        <w:rPr>
          <w:rFonts w:ascii="Times New Roman" w:hAnsi="Times New Roman" w:cs="Times New Roman"/>
        </w:rPr>
        <w:tab/>
      </w:r>
      <w:r w:rsidRPr="00686989">
        <w:rPr>
          <w:rFonts w:ascii="Times New Roman" w:hAnsi="Times New Roman" w:cs="Times New Roman"/>
          <w:i/>
          <w:iCs/>
        </w:rPr>
        <w:t>KEGG PATHWAY: Neuroactive ligand-receptor interaction - Reference pathway</w:t>
      </w:r>
      <w:r w:rsidRPr="00686989">
        <w:rPr>
          <w:rFonts w:ascii="Times New Roman" w:hAnsi="Times New Roman" w:cs="Times New Roman"/>
        </w:rPr>
        <w:t>. https://www.kegg.jp/pathway/map04080 (accessed 2025-08-02).</w:t>
      </w:r>
    </w:p>
    <w:p w14:paraId="63B2C6CF"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(7)</w:t>
      </w:r>
      <w:r w:rsidRPr="00686989">
        <w:rPr>
          <w:rFonts w:ascii="Times New Roman" w:hAnsi="Times New Roman" w:cs="Times New Roman"/>
        </w:rPr>
        <w:tab/>
      </w:r>
      <w:r w:rsidRPr="00686989">
        <w:rPr>
          <w:rFonts w:ascii="Times New Roman" w:hAnsi="Times New Roman" w:cs="Times New Roman"/>
          <w:i/>
          <w:iCs/>
        </w:rPr>
        <w:t>KEGG PATHWAY: Cytokine-cytokine receptor interaction - Reference pathway</w:t>
      </w:r>
      <w:r w:rsidRPr="00686989">
        <w:rPr>
          <w:rFonts w:ascii="Times New Roman" w:hAnsi="Times New Roman" w:cs="Times New Roman"/>
        </w:rPr>
        <w:t>. https://www.kegg.jp/pathway/map04060 (accessed 2025-08-02).</w:t>
      </w:r>
    </w:p>
    <w:p w14:paraId="5C81D85A"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(8)</w:t>
      </w:r>
      <w:r w:rsidRPr="00686989">
        <w:rPr>
          <w:rFonts w:ascii="Times New Roman" w:hAnsi="Times New Roman" w:cs="Times New Roman"/>
        </w:rPr>
        <w:tab/>
      </w:r>
      <w:r w:rsidRPr="00686989">
        <w:rPr>
          <w:rFonts w:ascii="Times New Roman" w:hAnsi="Times New Roman" w:cs="Times New Roman"/>
          <w:i/>
          <w:iCs/>
        </w:rPr>
        <w:t>KEGG PATHWAY: Adipocytokine signaling pathway - Reference pathway</w:t>
      </w:r>
      <w:r w:rsidRPr="00686989">
        <w:rPr>
          <w:rFonts w:ascii="Times New Roman" w:hAnsi="Times New Roman" w:cs="Times New Roman"/>
        </w:rPr>
        <w:t>. https://www.kegg.jp/pathway/map04920 (accessed 2025-08-02).</w:t>
      </w:r>
    </w:p>
    <w:p w14:paraId="7C55D6C6"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(9)</w:t>
      </w:r>
      <w:r w:rsidRPr="00686989">
        <w:rPr>
          <w:rFonts w:ascii="Times New Roman" w:hAnsi="Times New Roman" w:cs="Times New Roman"/>
        </w:rPr>
        <w:tab/>
      </w:r>
      <w:r w:rsidRPr="00686989">
        <w:rPr>
          <w:rFonts w:ascii="Times New Roman" w:hAnsi="Times New Roman" w:cs="Times New Roman"/>
          <w:i/>
          <w:iCs/>
        </w:rPr>
        <w:t>KEGG PATHWAY: Hormone signaling - Reference pathway</w:t>
      </w:r>
      <w:r w:rsidRPr="00686989">
        <w:rPr>
          <w:rFonts w:ascii="Times New Roman" w:hAnsi="Times New Roman" w:cs="Times New Roman"/>
        </w:rPr>
        <w:t>. https://www.kegg.jp/pathway/map04081 (accessed 2025-08-02).</w:t>
      </w:r>
    </w:p>
    <w:p w14:paraId="041D6138"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(10)</w:t>
      </w:r>
      <w:r w:rsidRPr="00686989">
        <w:rPr>
          <w:rFonts w:ascii="Times New Roman" w:hAnsi="Times New Roman" w:cs="Times New Roman"/>
        </w:rPr>
        <w:tab/>
      </w:r>
      <w:r w:rsidRPr="00686989">
        <w:rPr>
          <w:rFonts w:ascii="Times New Roman" w:hAnsi="Times New Roman" w:cs="Times New Roman"/>
          <w:i/>
          <w:iCs/>
        </w:rPr>
        <w:t>KEGG PATHWAY: JAK-STAT signaling pathway - Reference pathway</w:t>
      </w:r>
      <w:r w:rsidRPr="00686989">
        <w:rPr>
          <w:rFonts w:ascii="Times New Roman" w:hAnsi="Times New Roman" w:cs="Times New Roman"/>
        </w:rPr>
        <w:t>. https://www.kegg.jp/pathway/map04630 (accessed 2025-08-02).</w:t>
      </w:r>
    </w:p>
    <w:p w14:paraId="76275B69"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(11)</w:t>
      </w:r>
      <w:r w:rsidRPr="00686989">
        <w:rPr>
          <w:rFonts w:ascii="Times New Roman" w:hAnsi="Times New Roman" w:cs="Times New Roman"/>
        </w:rPr>
        <w:tab/>
      </w:r>
      <w:r w:rsidRPr="00686989">
        <w:rPr>
          <w:rFonts w:ascii="Times New Roman" w:hAnsi="Times New Roman" w:cs="Times New Roman"/>
          <w:i/>
          <w:iCs/>
        </w:rPr>
        <w:t>KEGG PATHWAY: Non-alcoholic fatty liver disease - Reference pathway</w:t>
      </w:r>
      <w:r w:rsidRPr="00686989">
        <w:rPr>
          <w:rFonts w:ascii="Times New Roman" w:hAnsi="Times New Roman" w:cs="Times New Roman"/>
        </w:rPr>
        <w:t>. https://www.kegg.jp/pathway/map04932 (accessed 2025-08-02).</w:t>
      </w:r>
    </w:p>
    <w:p w14:paraId="5EEAC294" w14:textId="77777777" w:rsidR="00686989" w:rsidRPr="00686989" w:rsidRDefault="00686989" w:rsidP="00686989">
      <w:pPr>
        <w:pStyle w:val="aa"/>
        <w:rPr>
          <w:rFonts w:ascii="Times New Roman" w:hAnsi="Times New Roman" w:cs="Times New Roman"/>
        </w:rPr>
      </w:pPr>
      <w:r w:rsidRPr="00686989">
        <w:rPr>
          <w:rFonts w:ascii="Times New Roman" w:hAnsi="Times New Roman" w:cs="Times New Roman"/>
        </w:rPr>
        <w:t>(12)</w:t>
      </w:r>
      <w:r w:rsidRPr="00686989">
        <w:rPr>
          <w:rFonts w:ascii="Times New Roman" w:hAnsi="Times New Roman" w:cs="Times New Roman"/>
        </w:rPr>
        <w:tab/>
      </w:r>
      <w:r w:rsidRPr="00686989">
        <w:rPr>
          <w:rFonts w:ascii="Times New Roman" w:hAnsi="Times New Roman" w:cs="Times New Roman"/>
          <w:i/>
          <w:iCs/>
        </w:rPr>
        <w:t>KEGG PATHWAY: AMPK signaling pathway - Reference pathway</w:t>
      </w:r>
      <w:r w:rsidRPr="00686989">
        <w:rPr>
          <w:rFonts w:ascii="Times New Roman" w:hAnsi="Times New Roman" w:cs="Times New Roman"/>
        </w:rPr>
        <w:t>. https://www.kegg.jp/pathway/map04152 (accessed 2025-08-02).</w:t>
      </w:r>
    </w:p>
    <w:p w14:paraId="065544B4" w14:textId="40A7E88C" w:rsidR="00A51DCD" w:rsidRPr="00F4611C" w:rsidRDefault="00F4611C" w:rsidP="00F4611C">
      <w:pPr>
        <w:rPr>
          <w:rFonts w:eastAsia="宋体"/>
          <w:lang w:eastAsia="zh-CN"/>
        </w:rPr>
      </w:pPr>
      <w:r>
        <w:fldChar w:fldCharType="end"/>
      </w:r>
    </w:p>
    <w:sectPr w:rsidR="00A51DCD" w:rsidRPr="00F4611C" w:rsidSect="00545E53">
      <w:headerReference w:type="default" r:id="rId10"/>
      <w:footerReference w:type="even" r:id="rId11"/>
      <w:footerReference w:type="default" r:id="rId12"/>
      <w:pgSz w:w="11900" w:h="16840"/>
      <w:pgMar w:top="1440" w:right="1440" w:bottom="1304" w:left="130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56F0" w14:textId="77777777" w:rsidR="00A8793C" w:rsidRDefault="00A8793C" w:rsidP="00F110F1">
      <w:r>
        <w:separator/>
      </w:r>
    </w:p>
  </w:endnote>
  <w:endnote w:type="continuationSeparator" w:id="0">
    <w:p w14:paraId="2FA4AC6E" w14:textId="77777777" w:rsidR="00A8793C" w:rsidRDefault="00A8793C" w:rsidP="00F11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EC0F" w14:textId="77777777" w:rsidR="00EA307A" w:rsidRDefault="00EA307A" w:rsidP="00F110F1">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11F43766" w14:textId="77777777" w:rsidR="00EA307A" w:rsidRDefault="00EA307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D2AA" w14:textId="77777777" w:rsidR="00EA307A" w:rsidRDefault="00EA307A" w:rsidP="00F110F1">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451ED8">
      <w:rPr>
        <w:rStyle w:val="a8"/>
        <w:noProof/>
      </w:rPr>
      <w:t>1</w:t>
    </w:r>
    <w:r>
      <w:rPr>
        <w:rStyle w:val="a8"/>
      </w:rPr>
      <w:fldChar w:fldCharType="end"/>
    </w:r>
  </w:p>
  <w:p w14:paraId="0BEB189D" w14:textId="77777777" w:rsidR="00EA307A" w:rsidRDefault="00EA307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2FFE" w14:textId="77777777" w:rsidR="00A8793C" w:rsidRDefault="00A8793C" w:rsidP="00F110F1">
      <w:r>
        <w:separator/>
      </w:r>
    </w:p>
  </w:footnote>
  <w:footnote w:type="continuationSeparator" w:id="0">
    <w:p w14:paraId="6D72694E" w14:textId="77777777" w:rsidR="00A8793C" w:rsidRDefault="00A8793C" w:rsidP="00F11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08A8" w14:textId="334B556A" w:rsidR="00EA307A" w:rsidRDefault="006E5D17" w:rsidP="00E412DD">
    <w:pPr>
      <w:pStyle w:val="a4"/>
    </w:pPr>
    <w:r>
      <w:t xml:space="preserve">Introduction to Biological Data </w:t>
    </w:r>
    <w:r w:rsidR="00A16998">
      <w:t xml:space="preserve">Analysis </w:t>
    </w:r>
    <w:r w:rsidR="00EA307A">
      <w:t xml:space="preserve">– </w:t>
    </w:r>
    <w:r w:rsidR="00A16998">
      <w:t xml:space="preserve">Spring </w:t>
    </w:r>
    <w:r w:rsidR="00EA307A">
      <w:t>20</w:t>
    </w:r>
    <w:r w:rsidR="00A16998">
      <w:t>2</w:t>
    </w:r>
    <w:r w:rsidR="00B269FD">
      <w:t>5</w:t>
    </w:r>
    <w:r w:rsidR="00EA307A">
      <w:t xml:space="preserve"> (project paper) </w:t>
    </w:r>
    <w:r w:rsidR="00A16998">
      <w:t xml:space="preserve">Kyoto </w:t>
    </w:r>
    <w:r w:rsidR="00123AC9">
      <w:t>U</w:t>
    </w:r>
    <w:r w:rsidR="00EA307A">
      <w:t>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BC2"/>
    <w:multiLevelType w:val="hybridMultilevel"/>
    <w:tmpl w:val="36EEBD9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4130A"/>
    <w:multiLevelType w:val="hybridMultilevel"/>
    <w:tmpl w:val="1058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7233B"/>
    <w:multiLevelType w:val="hybridMultilevel"/>
    <w:tmpl w:val="8CEE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C74E5"/>
    <w:multiLevelType w:val="hybridMultilevel"/>
    <w:tmpl w:val="ADDC4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8C2A4F"/>
    <w:multiLevelType w:val="hybridMultilevel"/>
    <w:tmpl w:val="B55E81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A006DC"/>
    <w:multiLevelType w:val="hybridMultilevel"/>
    <w:tmpl w:val="C6007192"/>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32E4126C"/>
    <w:multiLevelType w:val="hybridMultilevel"/>
    <w:tmpl w:val="F538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9549B"/>
    <w:multiLevelType w:val="hybridMultilevel"/>
    <w:tmpl w:val="03AC3D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AF088F"/>
    <w:multiLevelType w:val="hybridMultilevel"/>
    <w:tmpl w:val="1B7CB2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295699"/>
    <w:multiLevelType w:val="hybridMultilevel"/>
    <w:tmpl w:val="E07C77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861E5D"/>
    <w:multiLevelType w:val="hybridMultilevel"/>
    <w:tmpl w:val="176851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DC6881"/>
    <w:multiLevelType w:val="hybridMultilevel"/>
    <w:tmpl w:val="BA48DA2A"/>
    <w:lvl w:ilvl="0" w:tplc="527A69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305970">
    <w:abstractNumId w:val="0"/>
  </w:num>
  <w:num w:numId="2" w16cid:durableId="1380206169">
    <w:abstractNumId w:val="7"/>
  </w:num>
  <w:num w:numId="3" w16cid:durableId="196817992">
    <w:abstractNumId w:val="9"/>
  </w:num>
  <w:num w:numId="4" w16cid:durableId="796608468">
    <w:abstractNumId w:val="4"/>
  </w:num>
  <w:num w:numId="5" w16cid:durableId="63794581">
    <w:abstractNumId w:val="2"/>
  </w:num>
  <w:num w:numId="6" w16cid:durableId="1665082796">
    <w:abstractNumId w:val="6"/>
  </w:num>
  <w:num w:numId="7" w16cid:durableId="168373340">
    <w:abstractNumId w:val="8"/>
  </w:num>
  <w:num w:numId="8" w16cid:durableId="963852227">
    <w:abstractNumId w:val="10"/>
  </w:num>
  <w:num w:numId="9" w16cid:durableId="1439447434">
    <w:abstractNumId w:val="3"/>
  </w:num>
  <w:num w:numId="10" w16cid:durableId="898397938">
    <w:abstractNumId w:val="11"/>
  </w:num>
  <w:num w:numId="11" w16cid:durableId="1844010471">
    <w:abstractNumId w:val="1"/>
  </w:num>
  <w:num w:numId="12" w16cid:durableId="1521167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FC1"/>
    <w:rsid w:val="00012D00"/>
    <w:rsid w:val="0003788A"/>
    <w:rsid w:val="000743B0"/>
    <w:rsid w:val="000B2DE8"/>
    <w:rsid w:val="00113D8D"/>
    <w:rsid w:val="00115F48"/>
    <w:rsid w:val="00123AC9"/>
    <w:rsid w:val="00141B51"/>
    <w:rsid w:val="00145A18"/>
    <w:rsid w:val="001A0F1C"/>
    <w:rsid w:val="001A7F5D"/>
    <w:rsid w:val="001C7F50"/>
    <w:rsid w:val="001F5E01"/>
    <w:rsid w:val="00237889"/>
    <w:rsid w:val="00283A48"/>
    <w:rsid w:val="00285F89"/>
    <w:rsid w:val="002D7A7C"/>
    <w:rsid w:val="002E34F3"/>
    <w:rsid w:val="00306299"/>
    <w:rsid w:val="00313B66"/>
    <w:rsid w:val="00315A61"/>
    <w:rsid w:val="00323131"/>
    <w:rsid w:val="00353DAF"/>
    <w:rsid w:val="00367AC1"/>
    <w:rsid w:val="0039008B"/>
    <w:rsid w:val="00393F32"/>
    <w:rsid w:val="003E04F8"/>
    <w:rsid w:val="00413EEE"/>
    <w:rsid w:val="00420364"/>
    <w:rsid w:val="00451ED8"/>
    <w:rsid w:val="00472798"/>
    <w:rsid w:val="00481E0E"/>
    <w:rsid w:val="0049630D"/>
    <w:rsid w:val="004A4154"/>
    <w:rsid w:val="004C1554"/>
    <w:rsid w:val="00545E53"/>
    <w:rsid w:val="00550FC1"/>
    <w:rsid w:val="00581209"/>
    <w:rsid w:val="005A3A0A"/>
    <w:rsid w:val="005D27F5"/>
    <w:rsid w:val="00612AEE"/>
    <w:rsid w:val="00646D31"/>
    <w:rsid w:val="006622F7"/>
    <w:rsid w:val="00686989"/>
    <w:rsid w:val="00686E38"/>
    <w:rsid w:val="006C65E8"/>
    <w:rsid w:val="006E2570"/>
    <w:rsid w:val="006E5C91"/>
    <w:rsid w:val="006E5D17"/>
    <w:rsid w:val="006F42FE"/>
    <w:rsid w:val="007533D9"/>
    <w:rsid w:val="00772FAC"/>
    <w:rsid w:val="00776454"/>
    <w:rsid w:val="007C12F3"/>
    <w:rsid w:val="007C34A1"/>
    <w:rsid w:val="008268AE"/>
    <w:rsid w:val="008A6028"/>
    <w:rsid w:val="008A6CDE"/>
    <w:rsid w:val="008C19C0"/>
    <w:rsid w:val="008C365E"/>
    <w:rsid w:val="008F626F"/>
    <w:rsid w:val="0090131C"/>
    <w:rsid w:val="00915D18"/>
    <w:rsid w:val="0097144E"/>
    <w:rsid w:val="009724BF"/>
    <w:rsid w:val="00980AAD"/>
    <w:rsid w:val="009878D0"/>
    <w:rsid w:val="009929EA"/>
    <w:rsid w:val="00A14844"/>
    <w:rsid w:val="00A16998"/>
    <w:rsid w:val="00A25B60"/>
    <w:rsid w:val="00A338FF"/>
    <w:rsid w:val="00A35A1E"/>
    <w:rsid w:val="00A461C5"/>
    <w:rsid w:val="00A512DA"/>
    <w:rsid w:val="00A51DCD"/>
    <w:rsid w:val="00A8793C"/>
    <w:rsid w:val="00AA405A"/>
    <w:rsid w:val="00AD10F9"/>
    <w:rsid w:val="00AE10AE"/>
    <w:rsid w:val="00B269FD"/>
    <w:rsid w:val="00B31FDD"/>
    <w:rsid w:val="00B336B3"/>
    <w:rsid w:val="00B7364B"/>
    <w:rsid w:val="00B74B85"/>
    <w:rsid w:val="00BC36BE"/>
    <w:rsid w:val="00BE0481"/>
    <w:rsid w:val="00BE63FA"/>
    <w:rsid w:val="00BF28F4"/>
    <w:rsid w:val="00C06F70"/>
    <w:rsid w:val="00C24403"/>
    <w:rsid w:val="00C87643"/>
    <w:rsid w:val="00C93B6E"/>
    <w:rsid w:val="00C9721A"/>
    <w:rsid w:val="00CB7298"/>
    <w:rsid w:val="00CD62A2"/>
    <w:rsid w:val="00D035C2"/>
    <w:rsid w:val="00D14154"/>
    <w:rsid w:val="00D73B89"/>
    <w:rsid w:val="00DA138A"/>
    <w:rsid w:val="00DC47DB"/>
    <w:rsid w:val="00DD5360"/>
    <w:rsid w:val="00DF577F"/>
    <w:rsid w:val="00E1575D"/>
    <w:rsid w:val="00E340C4"/>
    <w:rsid w:val="00E34E64"/>
    <w:rsid w:val="00E37D22"/>
    <w:rsid w:val="00E402BA"/>
    <w:rsid w:val="00E412DD"/>
    <w:rsid w:val="00E61C43"/>
    <w:rsid w:val="00E91C9A"/>
    <w:rsid w:val="00EA307A"/>
    <w:rsid w:val="00EA32A6"/>
    <w:rsid w:val="00EB12ED"/>
    <w:rsid w:val="00EC7CFB"/>
    <w:rsid w:val="00ED1F92"/>
    <w:rsid w:val="00F03334"/>
    <w:rsid w:val="00F110F1"/>
    <w:rsid w:val="00F274D5"/>
    <w:rsid w:val="00F35198"/>
    <w:rsid w:val="00F4611C"/>
    <w:rsid w:val="00F83F14"/>
    <w:rsid w:val="00F92572"/>
    <w:rsid w:val="00FB71EA"/>
    <w:rsid w:val="00FE15AB"/>
    <w:rsid w:val="00FF71C6"/>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EDF6C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36BE"/>
    <w:pPr>
      <w:ind w:left="720"/>
      <w:contextualSpacing/>
    </w:pPr>
  </w:style>
  <w:style w:type="paragraph" w:styleId="a4">
    <w:name w:val="header"/>
    <w:basedOn w:val="a"/>
    <w:link w:val="a5"/>
    <w:uiPriority w:val="99"/>
    <w:unhideWhenUsed/>
    <w:rsid w:val="00F110F1"/>
    <w:pPr>
      <w:tabs>
        <w:tab w:val="center" w:pos="4320"/>
        <w:tab w:val="right" w:pos="8640"/>
      </w:tabs>
    </w:pPr>
  </w:style>
  <w:style w:type="character" w:customStyle="1" w:styleId="a5">
    <w:name w:val="页眉 字符"/>
    <w:basedOn w:val="a0"/>
    <w:link w:val="a4"/>
    <w:uiPriority w:val="99"/>
    <w:rsid w:val="00F110F1"/>
  </w:style>
  <w:style w:type="paragraph" w:styleId="a6">
    <w:name w:val="footer"/>
    <w:basedOn w:val="a"/>
    <w:link w:val="a7"/>
    <w:uiPriority w:val="99"/>
    <w:unhideWhenUsed/>
    <w:rsid w:val="00F110F1"/>
    <w:pPr>
      <w:tabs>
        <w:tab w:val="center" w:pos="4320"/>
        <w:tab w:val="right" w:pos="8640"/>
      </w:tabs>
    </w:pPr>
  </w:style>
  <w:style w:type="character" w:customStyle="1" w:styleId="a7">
    <w:name w:val="页脚 字符"/>
    <w:basedOn w:val="a0"/>
    <w:link w:val="a6"/>
    <w:uiPriority w:val="99"/>
    <w:rsid w:val="00F110F1"/>
  </w:style>
  <w:style w:type="character" w:styleId="a8">
    <w:name w:val="page number"/>
    <w:basedOn w:val="a0"/>
    <w:uiPriority w:val="99"/>
    <w:semiHidden/>
    <w:unhideWhenUsed/>
    <w:rsid w:val="00F110F1"/>
  </w:style>
  <w:style w:type="character" w:styleId="a9">
    <w:name w:val="Hyperlink"/>
    <w:basedOn w:val="a0"/>
    <w:uiPriority w:val="99"/>
    <w:unhideWhenUsed/>
    <w:rsid w:val="006E2570"/>
    <w:rPr>
      <w:color w:val="0000FF" w:themeColor="hyperlink"/>
      <w:u w:val="single"/>
    </w:rPr>
  </w:style>
  <w:style w:type="paragraph" w:styleId="aa">
    <w:name w:val="Bibliography"/>
    <w:basedOn w:val="a"/>
    <w:next w:val="a"/>
    <w:uiPriority w:val="37"/>
    <w:unhideWhenUsed/>
    <w:rsid w:val="00F4611C"/>
    <w:pPr>
      <w:tabs>
        <w:tab w:val="left" w:pos="384"/>
      </w:tabs>
      <w:ind w:left="384" w:hanging="384"/>
    </w:pPr>
  </w:style>
  <w:style w:type="paragraph" w:styleId="ab">
    <w:name w:val="caption"/>
    <w:basedOn w:val="a"/>
    <w:next w:val="a"/>
    <w:uiPriority w:val="35"/>
    <w:unhideWhenUsed/>
    <w:qFormat/>
    <w:rsid w:val="00DC47DB"/>
    <w:rPr>
      <w:rFonts w:asciiTheme="majorHAnsi" w:eastAsia="黑体" w:hAnsiTheme="majorHAnsi" w:cstheme="majorBidi"/>
      <w:sz w:val="20"/>
      <w:szCs w:val="20"/>
    </w:rPr>
  </w:style>
  <w:style w:type="paragraph" w:styleId="ac">
    <w:name w:val="Normal (Web)"/>
    <w:basedOn w:val="a"/>
    <w:uiPriority w:val="99"/>
    <w:semiHidden/>
    <w:unhideWhenUsed/>
    <w:rsid w:val="00FF7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6495">
      <w:bodyDiv w:val="1"/>
      <w:marLeft w:val="0"/>
      <w:marRight w:val="0"/>
      <w:marTop w:val="0"/>
      <w:marBottom w:val="0"/>
      <w:divBdr>
        <w:top w:val="none" w:sz="0" w:space="0" w:color="auto"/>
        <w:left w:val="none" w:sz="0" w:space="0" w:color="auto"/>
        <w:bottom w:val="none" w:sz="0" w:space="0" w:color="auto"/>
        <w:right w:val="none" w:sz="0" w:space="0" w:color="auto"/>
      </w:divBdr>
    </w:div>
    <w:div w:id="267543423">
      <w:bodyDiv w:val="1"/>
      <w:marLeft w:val="0"/>
      <w:marRight w:val="0"/>
      <w:marTop w:val="0"/>
      <w:marBottom w:val="0"/>
      <w:divBdr>
        <w:top w:val="none" w:sz="0" w:space="0" w:color="auto"/>
        <w:left w:val="none" w:sz="0" w:space="0" w:color="auto"/>
        <w:bottom w:val="none" w:sz="0" w:space="0" w:color="auto"/>
        <w:right w:val="none" w:sz="0" w:space="0" w:color="auto"/>
      </w:divBdr>
    </w:div>
    <w:div w:id="871191883">
      <w:bodyDiv w:val="1"/>
      <w:marLeft w:val="0"/>
      <w:marRight w:val="0"/>
      <w:marTop w:val="0"/>
      <w:marBottom w:val="0"/>
      <w:divBdr>
        <w:top w:val="none" w:sz="0" w:space="0" w:color="auto"/>
        <w:left w:val="none" w:sz="0" w:space="0" w:color="auto"/>
        <w:bottom w:val="none" w:sz="0" w:space="0" w:color="auto"/>
        <w:right w:val="none" w:sz="0" w:space="0" w:color="auto"/>
      </w:divBdr>
      <w:divsChild>
        <w:div w:id="1463497329">
          <w:marLeft w:val="0"/>
          <w:marRight w:val="0"/>
          <w:marTop w:val="0"/>
          <w:marBottom w:val="0"/>
          <w:divBdr>
            <w:top w:val="none" w:sz="0" w:space="0" w:color="auto"/>
            <w:left w:val="none" w:sz="0" w:space="0" w:color="auto"/>
            <w:bottom w:val="none" w:sz="0" w:space="0" w:color="auto"/>
            <w:right w:val="none" w:sz="0" w:space="0" w:color="auto"/>
          </w:divBdr>
          <w:divsChild>
            <w:div w:id="1206716345">
              <w:marLeft w:val="0"/>
              <w:marRight w:val="0"/>
              <w:marTop w:val="0"/>
              <w:marBottom w:val="0"/>
              <w:divBdr>
                <w:top w:val="none" w:sz="0" w:space="0" w:color="auto"/>
                <w:left w:val="none" w:sz="0" w:space="0" w:color="auto"/>
                <w:bottom w:val="none" w:sz="0" w:space="0" w:color="auto"/>
                <w:right w:val="none" w:sz="0" w:space="0" w:color="auto"/>
              </w:divBdr>
              <w:divsChild>
                <w:div w:id="156005085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5936177">
      <w:bodyDiv w:val="1"/>
      <w:marLeft w:val="0"/>
      <w:marRight w:val="0"/>
      <w:marTop w:val="0"/>
      <w:marBottom w:val="0"/>
      <w:divBdr>
        <w:top w:val="none" w:sz="0" w:space="0" w:color="auto"/>
        <w:left w:val="none" w:sz="0" w:space="0" w:color="auto"/>
        <w:bottom w:val="none" w:sz="0" w:space="0" w:color="auto"/>
        <w:right w:val="none" w:sz="0" w:space="0" w:color="auto"/>
      </w:divBdr>
      <w:divsChild>
        <w:div w:id="1098022172">
          <w:marLeft w:val="0"/>
          <w:marRight w:val="0"/>
          <w:marTop w:val="0"/>
          <w:marBottom w:val="0"/>
          <w:divBdr>
            <w:top w:val="none" w:sz="0" w:space="0" w:color="auto"/>
            <w:left w:val="none" w:sz="0" w:space="0" w:color="auto"/>
            <w:bottom w:val="none" w:sz="0" w:space="0" w:color="auto"/>
            <w:right w:val="none" w:sz="0" w:space="0" w:color="auto"/>
          </w:divBdr>
          <w:divsChild>
            <w:div w:id="487864255">
              <w:marLeft w:val="0"/>
              <w:marRight w:val="0"/>
              <w:marTop w:val="0"/>
              <w:marBottom w:val="0"/>
              <w:divBdr>
                <w:top w:val="none" w:sz="0" w:space="0" w:color="auto"/>
                <w:left w:val="none" w:sz="0" w:space="0" w:color="auto"/>
                <w:bottom w:val="none" w:sz="0" w:space="0" w:color="auto"/>
                <w:right w:val="none" w:sz="0" w:space="0" w:color="auto"/>
              </w:divBdr>
              <w:divsChild>
                <w:div w:id="20286714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87724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59DB6-935B-4A39-B23A-F6BAA42E1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3248</Words>
  <Characters>21346</Characters>
  <Application>Microsoft Office Word</Application>
  <DocSecurity>0</DocSecurity>
  <Lines>1524</Lines>
  <Paragraphs>396</Paragraphs>
  <ScaleCrop>false</ScaleCrop>
  <HeadingPairs>
    <vt:vector size="2" baseType="variant">
      <vt:variant>
        <vt:lpstr>Title</vt:lpstr>
      </vt:variant>
      <vt:variant>
        <vt:i4>1</vt:i4>
      </vt:variant>
    </vt:vector>
  </HeadingPairs>
  <TitlesOfParts>
    <vt:vector size="1" baseType="lpstr">
      <vt:lpstr/>
    </vt:vector>
  </TitlesOfParts>
  <Company>Tohoku University</Company>
  <LinksUpToDate>false</LinksUpToDate>
  <CharactersWithSpaces>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zhang.kunqi.25n@st.kyoto-u.ac.jp</cp:lastModifiedBy>
  <cp:revision>2</cp:revision>
  <dcterms:created xsi:type="dcterms:W3CDTF">2025-08-03T02:01:00Z</dcterms:created>
  <dcterms:modified xsi:type="dcterms:W3CDTF">2025-08-03T02:01:00Z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id="ARwn76mx"/&gt;&lt;style id="http://www.zotero.org/styles/american-chemical-society"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