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207A" w14:textId="4A71E72C" w:rsidR="006C3D22" w:rsidRDefault="004C4BE5" w:rsidP="004C4BE5">
      <w:pPr>
        <w:ind w:left="420" w:firstLine="420"/>
      </w:pPr>
      <w:r>
        <w:rPr>
          <w:rFonts w:hint="eastAsia"/>
        </w:rPr>
        <w:t>《</w:t>
      </w:r>
      <w:r w:rsidRPr="004C4BE5">
        <w:t>Effects of protein–carbohydrate supplementation on immunity and resistance training outcomes: a double</w:t>
      </w:r>
      <w:r w:rsidRPr="004C4BE5">
        <w:noBreakHyphen/>
        <w:t>blind, randomized, controlled clinical trial</w:t>
      </w:r>
      <w:r>
        <w:rPr>
          <w:rFonts w:hint="eastAsia"/>
        </w:rPr>
        <w:t>》</w:t>
      </w:r>
    </w:p>
    <w:p w14:paraId="335D33C1" w14:textId="77777777" w:rsidR="00F749DC" w:rsidRDefault="00F749DC" w:rsidP="00F749DC">
      <w:pPr>
        <w:rPr>
          <w:rFonts w:hint="eastAsia"/>
        </w:rPr>
      </w:pPr>
    </w:p>
    <w:p w14:paraId="38189B08" w14:textId="33E27E21" w:rsidR="004C4BE5" w:rsidRDefault="004C4BE5">
      <w:r>
        <w:rPr>
          <w:rFonts w:hint="eastAsia"/>
        </w:rPr>
        <w:t>Introduction</w:t>
      </w:r>
    </w:p>
    <w:p w14:paraId="1115639C" w14:textId="21F5A9B3" w:rsidR="004C4BE5" w:rsidRDefault="004C4BE5" w:rsidP="004C4BE5">
      <w:pPr>
        <w:ind w:firstLine="420"/>
        <w:rPr>
          <w:rFonts w:hint="eastAsia"/>
        </w:rPr>
      </w:pPr>
      <w:r>
        <w:rPr>
          <w:rFonts w:hint="eastAsia"/>
        </w:rPr>
        <w:t xml:space="preserve">This paper </w:t>
      </w:r>
      <w:r>
        <w:t>is</w:t>
      </w:r>
      <w:r>
        <w:rPr>
          <w:rFonts w:hint="eastAsia"/>
        </w:rPr>
        <w:t xml:space="preserve"> by </w:t>
      </w:r>
      <w:r w:rsidRPr="004C4BE5">
        <w:t>Fernando Naclerio</w:t>
      </w:r>
      <w:r>
        <w:rPr>
          <w:rFonts w:hint="eastAsia"/>
        </w:rPr>
        <w:t xml:space="preserve"> and colleagues, working at the university of Greenwich, was published in </w:t>
      </w:r>
      <w:r w:rsidRPr="004C4BE5">
        <w:rPr>
          <w:i/>
          <w:iCs/>
        </w:rPr>
        <w:t>European Journal of Applied Physiology</w:t>
      </w:r>
      <w:r w:rsidRPr="004C4BE5">
        <w:t xml:space="preserve"> in 2017 (Naclerio et al., 2017).</w:t>
      </w:r>
      <w:r w:rsidR="00286A88">
        <w:rPr>
          <w:rFonts w:hint="eastAsia"/>
        </w:rPr>
        <w:t xml:space="preserve"> (1)</w:t>
      </w:r>
    </w:p>
    <w:p w14:paraId="072AEB86" w14:textId="32C0CCAC" w:rsidR="004C4BE5" w:rsidRDefault="004C4BE5" w:rsidP="004C4BE5">
      <w:pPr>
        <w:rPr>
          <w:rFonts w:hint="eastAsia"/>
        </w:rPr>
      </w:pPr>
      <w:r>
        <w:tab/>
      </w:r>
      <w:r>
        <w:rPr>
          <w:rFonts w:hint="eastAsia"/>
        </w:rPr>
        <w:t xml:space="preserve">The question </w:t>
      </w:r>
      <w:r w:rsidR="00286A88">
        <w:rPr>
          <w:rFonts w:hint="eastAsia"/>
        </w:rPr>
        <w:t xml:space="preserve">of this article is whether adding protein to a carbohydrate drink after exercise can improve the strength </w:t>
      </w:r>
      <w:r w:rsidR="00286A88">
        <w:t>training</w:t>
      </w:r>
      <w:r w:rsidR="00286A88">
        <w:rPr>
          <w:rFonts w:hint="eastAsia"/>
        </w:rPr>
        <w:t xml:space="preserve"> adaptations and immune function </w:t>
      </w:r>
      <w:r w:rsidR="00286A88">
        <w:t>compared</w:t>
      </w:r>
      <w:r w:rsidR="00286A88">
        <w:rPr>
          <w:rFonts w:hint="eastAsia"/>
        </w:rPr>
        <w:t xml:space="preserve"> to carbohydrate alone. The background is intense </w:t>
      </w:r>
      <w:r w:rsidR="00286A88">
        <w:t>exercise</w:t>
      </w:r>
      <w:r w:rsidR="00286A88">
        <w:rPr>
          <w:rFonts w:hint="eastAsia"/>
        </w:rPr>
        <w:t xml:space="preserve"> that can transiently suppress the immune system for up to 72 hours.</w:t>
      </w:r>
    </w:p>
    <w:p w14:paraId="3FFC028B" w14:textId="11743F46" w:rsidR="00F749DC" w:rsidRDefault="00F749DC" w:rsidP="00F749DC">
      <w:pPr>
        <w:ind w:firstLine="420"/>
      </w:pPr>
      <w:r w:rsidRPr="00F749DC">
        <w:t>This paper is a major step in the development of evidence-based nutritional guidelines for resistance-trained athletes.</w:t>
      </w:r>
    </w:p>
    <w:p w14:paraId="58366D34" w14:textId="77777777" w:rsidR="00F749DC" w:rsidRDefault="00F749DC" w:rsidP="00F749DC"/>
    <w:p w14:paraId="4637E07A" w14:textId="60D8768A" w:rsidR="00F749DC" w:rsidRDefault="00F749DC" w:rsidP="00F749DC">
      <w:r>
        <w:rPr>
          <w:rFonts w:hint="eastAsia"/>
        </w:rPr>
        <w:t>Summary</w:t>
      </w:r>
    </w:p>
    <w:p w14:paraId="57A46347" w14:textId="1909C70C" w:rsidR="00F749DC" w:rsidRDefault="00286A88" w:rsidP="00F749DC">
      <w:r>
        <w:rPr>
          <w:rFonts w:hint="eastAsia"/>
        </w:rPr>
        <w:t xml:space="preserve">Figure 1: </w:t>
      </w:r>
    </w:p>
    <w:p w14:paraId="20DD5FE9" w14:textId="7C04AB79" w:rsidR="009F1D0E" w:rsidRDefault="00286A88" w:rsidP="00F749DC">
      <w:r>
        <w:rPr>
          <w:rFonts w:hint="eastAsia"/>
        </w:rPr>
        <w:t xml:space="preserve">This figure is a flow diagram which shows the way to recruit </w:t>
      </w:r>
      <w:r>
        <w:t>participant</w:t>
      </w:r>
      <w:r>
        <w:rPr>
          <w:rFonts w:hint="eastAsia"/>
        </w:rPr>
        <w:t xml:space="preserve">s and group allocation. The methods include recruiting 54 eligible volunteers and due to some reason, 12 volunteers out of this </w:t>
      </w:r>
      <w:r>
        <w:t>experiment</w:t>
      </w:r>
      <w:r>
        <w:rPr>
          <w:rFonts w:hint="eastAsia"/>
        </w:rPr>
        <w:t xml:space="preserve">. </w:t>
      </w:r>
      <w:r w:rsidR="009F1D0E">
        <w:rPr>
          <w:rFonts w:hint="eastAsia"/>
        </w:rPr>
        <w:t xml:space="preserve">42 volunteers </w:t>
      </w:r>
      <w:r w:rsidR="009F1D0E">
        <w:t>randomized</w:t>
      </w:r>
      <w:r w:rsidR="009F1D0E">
        <w:rPr>
          <w:rFonts w:hint="eastAsia"/>
        </w:rPr>
        <w:t xml:space="preserve"> </w:t>
      </w:r>
      <w:r w:rsidR="009F1D0E">
        <w:t>by</w:t>
      </w:r>
      <w:r w:rsidR="009F1D0E">
        <w:rPr>
          <w:rFonts w:hint="eastAsia"/>
        </w:rPr>
        <w:t xml:space="preserve"> allocated to 3 groups by 14 people per </w:t>
      </w:r>
      <w:r w:rsidR="009F1D0E">
        <w:t>group</w:t>
      </w:r>
      <w:r w:rsidR="009F1D0E" w:rsidRPr="009F1D0E">
        <w:t xml:space="preserve"> </w:t>
      </w:r>
      <w:r w:rsidR="009F1D0E" w:rsidRPr="009F1D0E">
        <w:rPr>
          <w:rFonts w:hint="eastAsia"/>
        </w:rPr>
        <w:t>(</w:t>
      </w:r>
      <w:r w:rsidR="009F1D0E" w:rsidRPr="009F1D0E">
        <w:rPr>
          <w:rFonts w:hint="eastAsia"/>
        </w:rPr>
        <w:t>beef protein, whey protein, or carbohydrate)</w:t>
      </w:r>
      <w:r w:rsidR="009F1D0E">
        <w:rPr>
          <w:rFonts w:hint="eastAsia"/>
        </w:rPr>
        <w:t xml:space="preserve">. And each group, there are 5 people per group lost to follow-up, </w:t>
      </w:r>
      <w:r w:rsidR="009F1D0E" w:rsidRPr="009F1D0E">
        <w:rPr>
          <w:rFonts w:hint="eastAsia"/>
        </w:rPr>
        <w:t>a total of 27 participants (9 per group) completed the 8-week intervention</w:t>
      </w:r>
      <w:r w:rsidR="009F1D0E">
        <w:rPr>
          <w:rFonts w:hint="eastAsia"/>
        </w:rPr>
        <w:t xml:space="preserve">. </w:t>
      </w:r>
      <w:r w:rsidR="009F1D0E">
        <w:t>I think the important information here</w:t>
      </w:r>
      <w:r w:rsidR="009F1D0E">
        <w:rPr>
          <w:rFonts w:hint="eastAsia"/>
        </w:rPr>
        <w:t xml:space="preserve"> is that each participant group has the same numbers of completers, </w:t>
      </w:r>
      <w:r w:rsidR="009F1D0E">
        <w:t>which</w:t>
      </w:r>
      <w:r w:rsidR="009F1D0E">
        <w:rPr>
          <w:rFonts w:hint="eastAsia"/>
        </w:rPr>
        <w:t xml:space="preserve"> means that there is a sufficient sample in </w:t>
      </w:r>
      <w:r w:rsidR="009F1D0E">
        <w:t>each</w:t>
      </w:r>
      <w:r w:rsidR="009F1D0E">
        <w:rPr>
          <w:rFonts w:hint="eastAsia"/>
        </w:rPr>
        <w:t xml:space="preserve"> group and </w:t>
      </w:r>
      <w:r w:rsidR="009F1D0E">
        <w:t>keep</w:t>
      </w:r>
      <w:r w:rsidR="009F1D0E">
        <w:rPr>
          <w:rFonts w:hint="eastAsia"/>
        </w:rPr>
        <w:t xml:space="preserve">s randomization </w:t>
      </w:r>
      <w:r w:rsidR="009F1D0E">
        <w:t>integrity</w:t>
      </w:r>
      <w:r w:rsidR="009F1D0E">
        <w:rPr>
          <w:rFonts w:hint="eastAsia"/>
        </w:rPr>
        <w:t xml:space="preserve"> </w:t>
      </w:r>
      <w:r w:rsidR="009F1D0E">
        <w:t>throughout</w:t>
      </w:r>
      <w:r w:rsidR="009F1D0E">
        <w:rPr>
          <w:rFonts w:hint="eastAsia"/>
        </w:rPr>
        <w:t xml:space="preserve"> </w:t>
      </w:r>
      <w:r w:rsidR="009F1D0E">
        <w:t>the</w:t>
      </w:r>
      <w:r w:rsidR="009F1D0E">
        <w:rPr>
          <w:rFonts w:hint="eastAsia"/>
        </w:rPr>
        <w:t xml:space="preserve"> study.</w:t>
      </w:r>
    </w:p>
    <w:p w14:paraId="3976F8A6" w14:textId="77777777" w:rsidR="009416A2" w:rsidRDefault="009416A2" w:rsidP="00F749DC">
      <w:r>
        <w:rPr>
          <w:rFonts w:hint="eastAsia"/>
        </w:rPr>
        <w:t xml:space="preserve">Table </w:t>
      </w:r>
      <w:r>
        <w:t>1:</w:t>
      </w:r>
    </w:p>
    <w:p w14:paraId="382ADFB4" w14:textId="242DC628" w:rsidR="009F1D0E" w:rsidRDefault="009416A2" w:rsidP="00F749DC">
      <w:r>
        <w:rPr>
          <w:rFonts w:hint="eastAsia"/>
        </w:rPr>
        <w:t xml:space="preserve">The study first </w:t>
      </w:r>
      <w:r>
        <w:t>identifi</w:t>
      </w:r>
      <w:r>
        <w:rPr>
          <w:rFonts w:hint="eastAsia"/>
        </w:rPr>
        <w:t xml:space="preserve">es the precise nutrient makeup of each supplement to ensure that energy intake was consistent across treatments. In the trial, participants consumed </w:t>
      </w:r>
      <w:r>
        <w:t>either</w:t>
      </w:r>
      <w:r>
        <w:rPr>
          <w:rFonts w:hint="eastAsia"/>
        </w:rPr>
        <w:t xml:space="preserve"> </w:t>
      </w:r>
      <w:r w:rsidRPr="009416A2">
        <w:t>a hydrolyzed beef protein powder, a whey protein powder, or a non-protein (carbohydrate) powder, each mixed (20 g) with 250 mL of orange juice daily for 8 weeks</w:t>
      </w:r>
      <w:r>
        <w:rPr>
          <w:rFonts w:hint="eastAsia"/>
        </w:rPr>
        <w:t xml:space="preserve">. </w:t>
      </w:r>
      <w:r w:rsidRPr="009416A2">
        <w:t xml:space="preserve">Table 1 displays that the beef and whey supplements were virtually isoenergetic (~184 kcal per serving) and contained 25 g of carbohydrates, with the beef providing 16.4 g of protein and the whey 18 g, whereas the carbohydrate supplement provided </w:t>
      </w:r>
      <w:r w:rsidRPr="009416A2">
        <w:lastRenderedPageBreak/>
        <w:t>184 kcal from ~45 g of carbohydrates with 0 g protein</w:t>
      </w:r>
      <w:r>
        <w:rPr>
          <w:rFonts w:hint="eastAsia"/>
        </w:rPr>
        <w:t xml:space="preserve">. </w:t>
      </w:r>
      <w:r w:rsidRPr="009416A2">
        <w:t>This design ensured that all groups received the same caloric load, isolating the variable of protein content from total energy intake</w:t>
      </w:r>
      <w:r>
        <w:rPr>
          <w:rFonts w:hint="eastAsia"/>
        </w:rPr>
        <w:t>.</w:t>
      </w:r>
    </w:p>
    <w:p w14:paraId="73FFE92A" w14:textId="43E326DE" w:rsidR="009416A2" w:rsidRDefault="009416A2" w:rsidP="00F749DC">
      <w:r>
        <w:rPr>
          <w:rFonts w:hint="eastAsia"/>
        </w:rPr>
        <w:t xml:space="preserve">Table 2: </w:t>
      </w:r>
    </w:p>
    <w:p w14:paraId="2B4B8526" w14:textId="255CF4BB" w:rsidR="009416A2" w:rsidRDefault="009416A2" w:rsidP="00F749DC">
      <w:r>
        <w:rPr>
          <w:rFonts w:hint="eastAsia"/>
        </w:rPr>
        <w:t xml:space="preserve">Before the intervention, author </w:t>
      </w:r>
      <w:r>
        <w:t>measured</w:t>
      </w:r>
      <w:r>
        <w:rPr>
          <w:rFonts w:hint="eastAsia"/>
        </w:rPr>
        <w:t xml:space="preserve"> d</w:t>
      </w:r>
      <w:r w:rsidRPr="009416A2">
        <w:t>emographic and physiological variables (age, height, body mass, body fat %, fat-free mass %, muscle thickness, and initial training load)</w:t>
      </w:r>
      <w:r>
        <w:rPr>
          <w:rFonts w:hint="eastAsia"/>
        </w:rPr>
        <w:t xml:space="preserve"> to make sure whether </w:t>
      </w:r>
      <w:r w:rsidRPr="009416A2">
        <w:t>randomization created comparable groups at the start of the study.</w:t>
      </w:r>
      <w:r w:rsidRPr="009416A2">
        <w:t xml:space="preserve"> </w:t>
      </w:r>
      <w:r w:rsidRPr="009416A2">
        <w:t>The analysis showed that the groups did not differ significantly on any baseline variable (all F-tests p &gt; 0.05), indicating statistical equivalence at inclusion</w:t>
      </w:r>
      <w:r>
        <w:rPr>
          <w:rFonts w:hint="eastAsia"/>
        </w:rPr>
        <w:t xml:space="preserve">. </w:t>
      </w:r>
      <w:r w:rsidRPr="009416A2">
        <w:t xml:space="preserve">This confirms that </w:t>
      </w:r>
      <w:r w:rsidRPr="009416A2">
        <w:t>randomization</w:t>
      </w:r>
      <w:r w:rsidRPr="009416A2">
        <w:t xml:space="preserve"> successfully balanced potential confounding factors, so subsequent differences could be attributed to the supplements rather than pre-existing differences.</w:t>
      </w:r>
    </w:p>
    <w:p w14:paraId="311C804D" w14:textId="235B1CB3" w:rsidR="004F2C5F" w:rsidRDefault="004F2C5F" w:rsidP="00F749DC">
      <w:r>
        <w:rPr>
          <w:rFonts w:hint="eastAsia"/>
        </w:rPr>
        <w:t xml:space="preserve">Table 3: </w:t>
      </w:r>
    </w:p>
    <w:p w14:paraId="595584AE" w14:textId="6FA41FEB" w:rsidR="004F2C5F" w:rsidRPr="004F2C5F" w:rsidRDefault="004F2C5F" w:rsidP="00F749DC">
      <w:pPr>
        <w:rPr>
          <w:rFonts w:hint="eastAsia"/>
          <w:b/>
          <w:bCs/>
        </w:rPr>
      </w:pPr>
      <w:r>
        <w:rPr>
          <w:rFonts w:hint="eastAsia"/>
        </w:rPr>
        <w:t xml:space="preserve">It </w:t>
      </w:r>
      <w:r w:rsidRPr="004F2C5F">
        <w:t>reports the participants’ self-reported dietary intake before and after the 8-week protocol to verify adherence and dietary consistency.</w:t>
      </w:r>
      <w:r>
        <w:rPr>
          <w:rFonts w:hint="eastAsia"/>
        </w:rPr>
        <w:t xml:space="preserve"> </w:t>
      </w:r>
      <w:r w:rsidRPr="004F2C5F">
        <w:t>Participants kept 3-day food diaries and nutrient analysis software estimated their daily macronutrient (g/kg) and energy intake pre- and post-intervention</w:t>
      </w:r>
      <w:r>
        <w:rPr>
          <w:rFonts w:hint="eastAsia"/>
        </w:rPr>
        <w:t xml:space="preserve">. </w:t>
      </w:r>
      <w:r w:rsidRPr="004F2C5F">
        <w:t>The results show that both the beef and whey groups significantly increased their protein intake (from ~1.45 to 1.70 g/kg/day and 1.47 to 1.77 g/kg/day, respectively; p&lt;0.05), whereas the carbohydrate group’s protein intake remained unchanged (~1.12 g/kg/day)</w:t>
      </w:r>
      <w:r>
        <w:rPr>
          <w:rFonts w:hint="eastAsia"/>
        </w:rPr>
        <w:t xml:space="preserve">. </w:t>
      </w:r>
      <w:r w:rsidRPr="004F2C5F">
        <w:t>This indicates that participants did not compensate by eating less normal food; overall caloric intake increased with supplementation.</w:t>
      </w:r>
      <w:r>
        <w:rPr>
          <w:rFonts w:hint="eastAsia"/>
        </w:rPr>
        <w:t xml:space="preserve"> </w:t>
      </w:r>
      <w:r w:rsidRPr="004F2C5F">
        <w:t>Importantly, even with this increased intake, the protein levels in the beef and whey groups stayed within recommended ranges (~1–2 g/kg/day) and did not adversely affect any blood health markers</w:t>
      </w:r>
    </w:p>
    <w:p w14:paraId="410D8B1B" w14:textId="40CFDD4E" w:rsidR="004F2C5F" w:rsidRDefault="004F2C5F" w:rsidP="00F749DC">
      <w:r>
        <w:rPr>
          <w:rFonts w:hint="eastAsia"/>
        </w:rPr>
        <w:t xml:space="preserve">Table 4: </w:t>
      </w:r>
    </w:p>
    <w:p w14:paraId="52252A8C" w14:textId="3866D23F" w:rsidR="004F2C5F" w:rsidRDefault="004F2C5F" w:rsidP="00F749DC">
      <w:pPr>
        <w:rPr>
          <w:rFonts w:hint="eastAsia"/>
        </w:rPr>
      </w:pPr>
      <w:r w:rsidRPr="004F2C5F">
        <w:t>Table 4 presents the pre-post intervention changes in physiological outcomes for each supplement group</w:t>
      </w:r>
      <w:r>
        <w:rPr>
          <w:rFonts w:hint="eastAsia"/>
        </w:rPr>
        <w:t xml:space="preserve">. </w:t>
      </w:r>
      <w:r w:rsidRPr="004F2C5F">
        <w:t>After 8 weeks, all groups improved similarly: for instance, the beef group gained on average +0.88 kg fat-free mass and +853.7 kg total lifted weight, the whey group +0.59 kg FFM and +479.1 kg, and the CHO group +0.42 kg FFM and +763.2 kg</w:t>
      </w:r>
      <w:r>
        <w:rPr>
          <w:rFonts w:hint="eastAsia"/>
        </w:rPr>
        <w:t xml:space="preserve">. </w:t>
      </w:r>
      <w:r w:rsidRPr="004F2C5F">
        <w:t>Statistical analysis found no significant differences between treatments for any variable</w:t>
      </w:r>
      <w:r>
        <w:rPr>
          <w:rFonts w:hint="eastAsia"/>
        </w:rPr>
        <w:t xml:space="preserve">. </w:t>
      </w:r>
    </w:p>
    <w:p w14:paraId="1629C0E4" w14:textId="1569211C" w:rsidR="004F2C5F" w:rsidRDefault="004F2C5F" w:rsidP="00F749DC">
      <w:r>
        <w:rPr>
          <w:rFonts w:hint="eastAsia"/>
        </w:rPr>
        <w:t xml:space="preserve">Figure 2: </w:t>
      </w:r>
    </w:p>
    <w:p w14:paraId="0261DB9D" w14:textId="2983B94B" w:rsidR="004F2C5F" w:rsidRPr="009F1D0E" w:rsidRDefault="004F2C5F" w:rsidP="00F749DC">
      <w:pPr>
        <w:rPr>
          <w:rFonts w:hint="eastAsia"/>
        </w:rPr>
      </w:pPr>
      <w:r w:rsidRPr="004F2C5F">
        <w:t>Figure 2 depicts the changes in salivary human neutrophil peptides HNP1-3, an immune biomarker, both acutely (post-exercise) and over the 8-week period</w:t>
      </w:r>
      <w:r>
        <w:rPr>
          <w:rFonts w:hint="eastAsia"/>
        </w:rPr>
        <w:t xml:space="preserve">. </w:t>
      </w:r>
      <w:r w:rsidRPr="004F2C5F">
        <w:t xml:space="preserve">This suggests that ingesting 20 g of hydrolyzed beef protein daily was associated with a </w:t>
      </w:r>
      <w:r w:rsidRPr="004F2C5F">
        <w:lastRenderedPageBreak/>
        <w:t xml:space="preserve">reduction in basal salivary HNP1-3, while </w:t>
      </w:r>
      <w:r w:rsidRPr="004F2C5F">
        <w:t>Whey Protein</w:t>
      </w:r>
      <w:r w:rsidRPr="004F2C5F">
        <w:t xml:space="preserve"> or carbohydrate alone did not alter this immune marker</w:t>
      </w:r>
      <w:r>
        <w:rPr>
          <w:rFonts w:hint="eastAsia"/>
        </w:rPr>
        <w:t xml:space="preserve">. </w:t>
      </w:r>
      <w:r w:rsidRPr="004F2C5F">
        <w:t>The lack of group differences in other immune measures indicates that, overall, post-workout protein versus carbohydrate supplementation did not markedly change this aspect of humoral immunity.</w:t>
      </w:r>
    </w:p>
    <w:p w14:paraId="51F18AE7" w14:textId="0C365E70" w:rsidR="00F749DC" w:rsidRDefault="00F749DC" w:rsidP="00F749DC">
      <w:pPr>
        <w:rPr>
          <w:rFonts w:hint="eastAsia"/>
        </w:rPr>
      </w:pPr>
      <w:r>
        <w:rPr>
          <w:rFonts w:hint="eastAsia"/>
        </w:rPr>
        <w:t>Analysis</w:t>
      </w:r>
    </w:p>
    <w:p w14:paraId="0D252835" w14:textId="60A8D1DA" w:rsidR="004F2C5F" w:rsidRDefault="004F2C5F" w:rsidP="00F749DC">
      <w:r w:rsidRPr="004F2C5F">
        <w:t>What I liked about this paper was the way the authors designed a tightly controlled and well-randomized study. The equal energy content of all supplements ensured that the only major difference between groups was the type of macronutrient (protein vs carbohydrate), which is a very clean experimental design. This makes the study more holistic than many other nutrition trials. I think the potential of the technique the authors used—measuring immune peptides in saliva—is promising for non-invasive immune monitoring in sports science. I also appreciate that the study lasted for a full 8 weeks and tracked dietary intake with care.</w:t>
      </w:r>
    </w:p>
    <w:p w14:paraId="11FF7F99" w14:textId="761A0E70" w:rsidR="004F2C5F" w:rsidRDefault="004F2C5F" w:rsidP="00F749DC">
      <w:r w:rsidRPr="004F2C5F">
        <w:t xml:space="preserve">What I disliked about the paper is that although the authors included immune markers like HNP1-3, they did not explore the mechanism behind its reduction in the beef group. Was this due to specific peptides in beef hydrolysate? Or linked to other nutrients like arginine or glutamic acid? This part was underdeveloped. Also, the sample size was relatively small (only 9 participants per group), which limits the statistical power of the study. Finally, while the </w:t>
      </w:r>
      <w:r w:rsidRPr="004F2C5F">
        <w:t>study-controlled</w:t>
      </w:r>
      <w:r w:rsidRPr="004F2C5F">
        <w:t xml:space="preserve"> diet via food diaries, no biochemical validation</w:t>
      </w:r>
      <w:r w:rsidR="00E06E83">
        <w:rPr>
          <w:rFonts w:hint="eastAsia"/>
        </w:rPr>
        <w:t xml:space="preserve"> </w:t>
      </w:r>
      <w:r w:rsidRPr="004F2C5F">
        <w:t>was done to confirm true compliance.</w:t>
      </w:r>
    </w:p>
    <w:p w14:paraId="33BEB70B" w14:textId="77777777" w:rsidR="004F2C5F" w:rsidRDefault="004F2C5F" w:rsidP="00F749DC"/>
    <w:p w14:paraId="1451987A" w14:textId="1D362CE4" w:rsidR="00F749DC" w:rsidRDefault="00F749DC" w:rsidP="00F749DC">
      <w:r>
        <w:rPr>
          <w:rFonts w:hint="eastAsia"/>
        </w:rPr>
        <w:t>Conclusion</w:t>
      </w:r>
    </w:p>
    <w:p w14:paraId="7D792EC0" w14:textId="2964FD7E" w:rsidR="004F2C5F" w:rsidRDefault="004F2C5F" w:rsidP="00F749DC">
      <w:r w:rsidRPr="004F2C5F">
        <w:t xml:space="preserve">I found this paper was informative and well-structured, though limited by a small sample size. It clearly shows that post-workout protein, whether from beef or whey, does not enhance training gains more than carbohydrate in the short term. </w:t>
      </w:r>
    </w:p>
    <w:p w14:paraId="791EB850" w14:textId="77777777" w:rsidR="004F2C5F" w:rsidRDefault="004F2C5F" w:rsidP="00F749DC"/>
    <w:p w14:paraId="5F29FC23" w14:textId="67D1FA38" w:rsidR="00F749DC" w:rsidRDefault="00F749DC" w:rsidP="00F749DC">
      <w:r>
        <w:rPr>
          <w:rFonts w:hint="eastAsia"/>
        </w:rPr>
        <w:t>References</w:t>
      </w:r>
    </w:p>
    <w:p w14:paraId="2E4E4A27" w14:textId="12FEF02E" w:rsidR="00286A88" w:rsidRPr="00F749DC" w:rsidRDefault="00286A88" w:rsidP="00DC3BD4">
      <w:pPr>
        <w:pStyle w:val="a9"/>
        <w:numPr>
          <w:ilvl w:val="0"/>
          <w:numId w:val="1"/>
        </w:numPr>
        <w:rPr>
          <w:rFonts w:hint="eastAsia"/>
        </w:rPr>
      </w:pPr>
      <w:r>
        <w:rPr>
          <w:rFonts w:hint="eastAsia"/>
        </w:rPr>
        <w:t xml:space="preserve">: </w:t>
      </w:r>
      <w:hyperlink r:id="rId5" w:history="1">
        <w:r w:rsidRPr="00464DA3">
          <w:rPr>
            <w:rStyle w:val="ae"/>
            <w:rFonts w:hint="eastAsia"/>
          </w:rPr>
          <w:t>https://pubmed.ncbi.nlm.nih.gov/28028619/</w:t>
        </w:r>
      </w:hyperlink>
    </w:p>
    <w:sectPr w:rsidR="00286A88" w:rsidRPr="00F749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43C4A"/>
    <w:multiLevelType w:val="hybridMultilevel"/>
    <w:tmpl w:val="88D01330"/>
    <w:lvl w:ilvl="0" w:tplc="E33ABC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983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15F"/>
    <w:rsid w:val="0010015F"/>
    <w:rsid w:val="00286A88"/>
    <w:rsid w:val="00404C1B"/>
    <w:rsid w:val="004C4BE5"/>
    <w:rsid w:val="004F2C5F"/>
    <w:rsid w:val="006C3D22"/>
    <w:rsid w:val="00914FFE"/>
    <w:rsid w:val="009416A2"/>
    <w:rsid w:val="009F1D0E"/>
    <w:rsid w:val="00B062AF"/>
    <w:rsid w:val="00CB1853"/>
    <w:rsid w:val="00DC3BD4"/>
    <w:rsid w:val="00E06E83"/>
    <w:rsid w:val="00F238B1"/>
    <w:rsid w:val="00F74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38B91"/>
  <w15:chartTrackingRefBased/>
  <w15:docId w15:val="{9644B5CE-D46F-40A7-A80B-BBB0B446C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01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01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01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01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01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01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01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01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01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01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01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01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015F"/>
    <w:rPr>
      <w:rFonts w:cstheme="majorBidi"/>
      <w:color w:val="0F4761" w:themeColor="accent1" w:themeShade="BF"/>
      <w:sz w:val="28"/>
      <w:szCs w:val="28"/>
    </w:rPr>
  </w:style>
  <w:style w:type="character" w:customStyle="1" w:styleId="50">
    <w:name w:val="标题 5 字符"/>
    <w:basedOn w:val="a0"/>
    <w:link w:val="5"/>
    <w:uiPriority w:val="9"/>
    <w:semiHidden/>
    <w:rsid w:val="0010015F"/>
    <w:rPr>
      <w:rFonts w:cstheme="majorBidi"/>
      <w:color w:val="0F4761" w:themeColor="accent1" w:themeShade="BF"/>
      <w:sz w:val="24"/>
    </w:rPr>
  </w:style>
  <w:style w:type="character" w:customStyle="1" w:styleId="60">
    <w:name w:val="标题 6 字符"/>
    <w:basedOn w:val="a0"/>
    <w:link w:val="6"/>
    <w:uiPriority w:val="9"/>
    <w:semiHidden/>
    <w:rsid w:val="0010015F"/>
    <w:rPr>
      <w:rFonts w:cstheme="majorBidi"/>
      <w:b/>
      <w:bCs/>
      <w:color w:val="0F4761" w:themeColor="accent1" w:themeShade="BF"/>
    </w:rPr>
  </w:style>
  <w:style w:type="character" w:customStyle="1" w:styleId="70">
    <w:name w:val="标题 7 字符"/>
    <w:basedOn w:val="a0"/>
    <w:link w:val="7"/>
    <w:uiPriority w:val="9"/>
    <w:semiHidden/>
    <w:rsid w:val="0010015F"/>
    <w:rPr>
      <w:rFonts w:cstheme="majorBidi"/>
      <w:b/>
      <w:bCs/>
      <w:color w:val="595959" w:themeColor="text1" w:themeTint="A6"/>
    </w:rPr>
  </w:style>
  <w:style w:type="character" w:customStyle="1" w:styleId="80">
    <w:name w:val="标题 8 字符"/>
    <w:basedOn w:val="a0"/>
    <w:link w:val="8"/>
    <w:uiPriority w:val="9"/>
    <w:semiHidden/>
    <w:rsid w:val="0010015F"/>
    <w:rPr>
      <w:rFonts w:cstheme="majorBidi"/>
      <w:color w:val="595959" w:themeColor="text1" w:themeTint="A6"/>
    </w:rPr>
  </w:style>
  <w:style w:type="character" w:customStyle="1" w:styleId="90">
    <w:name w:val="标题 9 字符"/>
    <w:basedOn w:val="a0"/>
    <w:link w:val="9"/>
    <w:uiPriority w:val="9"/>
    <w:semiHidden/>
    <w:rsid w:val="0010015F"/>
    <w:rPr>
      <w:rFonts w:eastAsiaTheme="majorEastAsia" w:cstheme="majorBidi"/>
      <w:color w:val="595959" w:themeColor="text1" w:themeTint="A6"/>
    </w:rPr>
  </w:style>
  <w:style w:type="paragraph" w:styleId="a3">
    <w:name w:val="Title"/>
    <w:basedOn w:val="a"/>
    <w:next w:val="a"/>
    <w:link w:val="a4"/>
    <w:uiPriority w:val="10"/>
    <w:qFormat/>
    <w:rsid w:val="001001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01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01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01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015F"/>
    <w:pPr>
      <w:spacing w:before="160"/>
      <w:jc w:val="center"/>
    </w:pPr>
    <w:rPr>
      <w:i/>
      <w:iCs/>
      <w:color w:val="404040" w:themeColor="text1" w:themeTint="BF"/>
    </w:rPr>
  </w:style>
  <w:style w:type="character" w:customStyle="1" w:styleId="a8">
    <w:name w:val="引用 字符"/>
    <w:basedOn w:val="a0"/>
    <w:link w:val="a7"/>
    <w:uiPriority w:val="29"/>
    <w:rsid w:val="0010015F"/>
    <w:rPr>
      <w:i/>
      <w:iCs/>
      <w:color w:val="404040" w:themeColor="text1" w:themeTint="BF"/>
    </w:rPr>
  </w:style>
  <w:style w:type="paragraph" w:styleId="a9">
    <w:name w:val="List Paragraph"/>
    <w:basedOn w:val="a"/>
    <w:uiPriority w:val="34"/>
    <w:qFormat/>
    <w:rsid w:val="0010015F"/>
    <w:pPr>
      <w:ind w:left="720"/>
      <w:contextualSpacing/>
    </w:pPr>
  </w:style>
  <w:style w:type="character" w:styleId="aa">
    <w:name w:val="Intense Emphasis"/>
    <w:basedOn w:val="a0"/>
    <w:uiPriority w:val="21"/>
    <w:qFormat/>
    <w:rsid w:val="0010015F"/>
    <w:rPr>
      <w:i/>
      <w:iCs/>
      <w:color w:val="0F4761" w:themeColor="accent1" w:themeShade="BF"/>
    </w:rPr>
  </w:style>
  <w:style w:type="paragraph" w:styleId="ab">
    <w:name w:val="Intense Quote"/>
    <w:basedOn w:val="a"/>
    <w:next w:val="a"/>
    <w:link w:val="ac"/>
    <w:uiPriority w:val="30"/>
    <w:qFormat/>
    <w:rsid w:val="00100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015F"/>
    <w:rPr>
      <w:i/>
      <w:iCs/>
      <w:color w:val="0F4761" w:themeColor="accent1" w:themeShade="BF"/>
    </w:rPr>
  </w:style>
  <w:style w:type="character" w:styleId="ad">
    <w:name w:val="Intense Reference"/>
    <w:basedOn w:val="a0"/>
    <w:uiPriority w:val="32"/>
    <w:qFormat/>
    <w:rsid w:val="0010015F"/>
    <w:rPr>
      <w:b/>
      <w:bCs/>
      <w:smallCaps/>
      <w:color w:val="0F4761" w:themeColor="accent1" w:themeShade="BF"/>
      <w:spacing w:val="5"/>
    </w:rPr>
  </w:style>
  <w:style w:type="character" w:styleId="ae">
    <w:name w:val="Hyperlink"/>
    <w:basedOn w:val="a0"/>
    <w:uiPriority w:val="99"/>
    <w:unhideWhenUsed/>
    <w:rsid w:val="00286A88"/>
    <w:rPr>
      <w:color w:val="467886" w:themeColor="hyperlink"/>
      <w:u w:val="single"/>
    </w:rPr>
  </w:style>
  <w:style w:type="character" w:styleId="af">
    <w:name w:val="Unresolved Mention"/>
    <w:basedOn w:val="a0"/>
    <w:uiPriority w:val="99"/>
    <w:semiHidden/>
    <w:unhideWhenUsed/>
    <w:rsid w:val="00286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med.ncbi.nlm.nih.gov/28028619/"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3</Pages>
  <Words>951</Words>
  <Characters>5423</Characters>
  <Application>Microsoft Office Word</Application>
  <DocSecurity>0</DocSecurity>
  <Lines>45</Lines>
  <Paragraphs>12</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6</cp:revision>
  <dcterms:created xsi:type="dcterms:W3CDTF">2025-07-20T04:00:00Z</dcterms:created>
  <dcterms:modified xsi:type="dcterms:W3CDTF">2025-07-20T07:48:00Z</dcterms:modified>
</cp:coreProperties>
</file>