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 Meeting Outcomes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Areas:</w:t>
      </w:r>
      <w:r w:rsidDel="00000000" w:rsidR="00000000" w:rsidRPr="00000000">
        <w:rPr>
          <w:sz w:val="24"/>
          <w:szCs w:val="24"/>
          <w:rtl w:val="0"/>
        </w:rPr>
        <w:t xml:space="preserve"> Health and well-being, Cognition (attention, perception, behaviour, memory), Arts, AI and Data Science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Mental workload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Emotional state monitoring and tailored interventions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 and mental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Webpage designing with music: AI-generated music and pictures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Cognitive assistive tools for MCI for old people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AI-based Cognitive assessment tools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development for cognition enhancement, well-being (therapeutic), and sustainable living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 and mental health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Gurbani+word structure using AI+hukum nama+audio visual adaption+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 integration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tabla generator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development for sustainable behavior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(Video games-sustainable behavior, Pokemon Go, behave sensibly, nudges, optimizing behavior, responsible citizen for future, storytelling and consequences, episodes game)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carbon emission by behavior economic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Eye tracker use: attention, digital marketing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Workshop conduct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Resources:</w:t>
      </w:r>
      <w:r w:rsidDel="00000000" w:rsidR="00000000" w:rsidRPr="00000000">
        <w:rPr>
          <w:sz w:val="24"/>
          <w:szCs w:val="24"/>
          <w:rtl w:val="0"/>
        </w:rPr>
        <w:t xml:space="preserve"> EEG, VR headset, TMS, 3-D printer, Apps: video, audio and image editors, blender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Sustainability: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Agriculture, Urbanization, Climate Change, Himalayan belt study (fragile ecosystem, landslide)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Heath and well-being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and Environment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and Pedagogy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