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Treasury Register</w:t>
      </w:r>
    </w:p>
    <w:p>
      <w:pPr>
        <w:spacing w:after="40"/>
      </w:pPr>
      <w:r>
        <w:rPr>
          <w:b w:val="0"/>
          <w:i w:val="0"/>
          <w:color w:val="5A5A5A"/>
          <w:sz w:val="26"/>
        </w:rPr>
        <w:t>Test manual, and why each control exists</w:t>
      </w:r>
    </w:p>
    <w:p>
      <w:pPr>
        <w:spacing w:after="320"/>
      </w:pPr>
      <w:r>
        <w:rPr>
          <w:b w:val="0"/>
          <w:i w:val="0"/>
          <w:color w:val="5A5A5A"/>
          <w:sz w:val="19"/>
        </w:rPr>
        <w:t>Phases 0 to 3  ·  Book dated 3 September 2026  ·  268 automated tests</w:t>
      </w:r>
    </w:p>
    <w:p>
      <w:pPr>
        <w:pBdr>
          <w:bottom w:val="single" w:sz="6" w:color="C8C8C8"/>
        </w:pBdr>
        <w:spacing w:after="200"/>
      </w:pPr>
    </w:p>
    <w:p>
      <w:r>
        <w:rPr>
          <w:b w:val="0"/>
          <w:i w:val="0"/>
        </w:rPr>
        <w:t>This manual walks the whole system from an empty screen to a closed deal. Every step names the control you click and says what should happen. Each test ends with a short note on why the behaviour is what it is, because several of these controls look like obstacles until you know what they are stopping.</w:t>
      </w:r>
    </w:p>
    <w:p>
      <w:r>
        <w:rPr>
          <w:b w:val="0"/>
          <w:i w:val="0"/>
        </w:rPr>
        <w:t>Work through it in order. Later sections depend on state that earlier ones create, and the whole run takes about forty minutes.</w:t>
      </w:r>
    </w:p>
    <w:p>
      <w:pPr>
        <w:pStyle w:val="Heading2"/>
      </w:pPr>
      <w:r>
        <w:rPr>
          <w:b w:val="0"/>
          <w:i w:val="0"/>
        </w:rPr>
        <w:t>One idea holds the system together</w:t>
      </w:r>
    </w:p>
    <w:p>
      <w:r>
        <w:rPr>
          <w:b w:val="0"/>
          <w:i w:val="0"/>
        </w:rPr>
        <w:t>This is a control system, not a register. A register records what happened. A control system decides whether it may happen and keeps the evidence of that decision. Every path that puts a position on the book — keying a deal, correcting one against a confirmation, amending one — goes through the same six checks and writes a check run. There is no side door, and section 8 of this manual is the test that proves it.</w:t>
      </w:r>
    </w:p>
    <w:p>
      <w:r>
        <w:br w:type="page"/>
      </w:r>
    </w:p>
    <w:p>
      <w:pPr>
        <w:pStyle w:val="Heading1"/>
      </w:pPr>
      <w:r>
        <w:rPr>
          <w:b w:val="0"/>
          <w:i w:val="0"/>
        </w:rPr>
        <w:t>1.  Before you start</w:t>
      </w:r>
    </w:p>
    <w:p>
      <w:pPr>
        <w:pStyle w:val="Heading2"/>
      </w:pPr>
      <w:r>
        <w:rPr>
          <w:b w:val="0"/>
          <w:i w:val="0"/>
        </w:rPr>
        <w:t>1.1  Starting the application</w:t>
      </w:r>
    </w:p>
    <w:p>
      <w:r>
        <w:rPr>
          <w:b w:val="0"/>
          <w:i w:val="0"/>
        </w:rPr>
        <w:t>From the project folder, double click:</w:t>
      </w:r>
    </w:p>
    <w:p>
      <w:pPr>
        <w:spacing w:before="60" w:after="180"/>
        <w:ind w:left="432"/>
      </w:pPr>
      <w:r>
        <w:rPr>
          <w:rFonts w:ascii="Consolas" w:hAnsi="Consolas"/>
          <w:sz w:val="18"/>
        </w:rPr>
        <w:t>start-all.bat</w:t>
      </w:r>
    </w:p>
    <w:p>
      <w:r>
        <w:rPr>
          <w:b w:val="0"/>
          <w:i w:val="0"/>
        </w:rPr>
        <w:t>That starts the API on port 8000 and the interface on port 3000, each in its own window. Wait until both windows have settled, then open a browser at:</w:t>
      </w:r>
    </w:p>
    <w:p>
      <w:pPr>
        <w:spacing w:before="60" w:after="180"/>
        <w:ind w:left="432"/>
      </w:pPr>
      <w:r>
        <w:rPr>
          <w:rFonts w:ascii="Consolas" w:hAnsi="Consolas"/>
          <w:sz w:val="18"/>
        </w:rPr>
        <w:t>http://localhost:3000</w:t>
      </w:r>
    </w:p>
    <w:p>
      <w:r>
        <w:rPr>
          <w:b w:val="0"/>
          <w:i w:val="0"/>
        </w:rPr>
        <w:t>To stop everything, run stop-all.bat. Leaving the two windows open between sections of this manual is fine and saves time.</w:t>
      </w:r>
    </w:p>
    <w:p>
      <w:pPr>
        <w:pStyle w:val="Heading2"/>
      </w:pPr>
      <w:r>
        <w:rPr>
          <w:b w:val="0"/>
          <w:i w:val="0"/>
        </w:rPr>
        <w:t>1.2  Signing in</w:t>
      </w:r>
    </w:p>
    <w:p>
      <w:r>
        <w:rPr>
          <w:b w:val="0"/>
          <w:i w:val="0"/>
        </w:rPr>
        <w:t>The sign in screen asks for Email address and Password. Three people are seeded, and the difference between them is the point of section 5, so it is worth knowing who they are before you start.</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3600"/>
          </w:tcPr>
          <w:p>
            <w:r/>
            <w:r>
              <w:rPr>
                <w:b/>
                <w:sz w:val="19"/>
              </w:rPr>
              <w:t>Email address</w:t>
            </w:r>
          </w:p>
        </w:tc>
        <w:tc>
          <w:tcPr>
            <w:tcW w:type="dxa" w:w="1440"/>
          </w:tcPr>
          <w:p>
            <w:r/>
            <w:r>
              <w:rPr>
                <w:b/>
                <w:sz w:val="19"/>
              </w:rPr>
              <w:t>Password</w:t>
            </w:r>
          </w:p>
        </w:tc>
        <w:tc>
          <w:tcPr>
            <w:tcW w:type="dxa" w:w="2160"/>
          </w:tcPr>
          <w:p>
            <w:r/>
            <w:r>
              <w:rPr>
                <w:b/>
                <w:sz w:val="19"/>
              </w:rPr>
              <w:t>Role</w:t>
            </w:r>
          </w:p>
        </w:tc>
        <w:tc>
          <w:tcPr>
            <w:tcW w:type="dxa" w:w="2736"/>
          </w:tcPr>
          <w:p>
            <w:r/>
            <w:r>
              <w:rPr>
                <w:b/>
                <w:sz w:val="19"/>
              </w:rPr>
              <w:t>What they can sign</w:t>
            </w:r>
          </w:p>
        </w:tc>
      </w:tr>
      <w:tr>
        <w:tc>
          <w:tcPr>
            <w:tcW w:type="dxa" w:w="3600"/>
          </w:tcPr>
          <w:p>
            <w:r/>
            <w:r>
              <w:rPr>
                <w:sz w:val="19"/>
              </w:rPr>
              <w:t>a.whitfield@northgate.example</w:t>
            </w:r>
          </w:p>
        </w:tc>
        <w:tc>
          <w:tcPr>
            <w:tcW w:type="dxa" w:w="1440"/>
          </w:tcPr>
          <w:p>
            <w:r/>
            <w:r>
              <w:rPr>
                <w:sz w:val="19"/>
              </w:rPr>
              <w:t>treasury</w:t>
            </w:r>
          </w:p>
        </w:tc>
        <w:tc>
          <w:tcPr>
            <w:tcW w:type="dxa" w:w="2160"/>
          </w:tcPr>
          <w:p>
            <w:r/>
            <w:r>
              <w:rPr>
                <w:sz w:val="19"/>
              </w:rPr>
              <w:t>Analyst</w:t>
            </w:r>
          </w:p>
        </w:tc>
        <w:tc>
          <w:tcPr>
            <w:tcW w:type="dxa" w:w="2736"/>
          </w:tcPr>
          <w:p>
            <w:r/>
            <w:r>
              <w:rPr>
                <w:sz w:val="19"/>
              </w:rPr>
              <w:t>Up to £1,000,000</w:t>
            </w:r>
          </w:p>
        </w:tc>
      </w:tr>
      <w:tr>
        <w:tc>
          <w:tcPr>
            <w:tcW w:type="dxa" w:w="3600"/>
          </w:tcPr>
          <w:p>
            <w:r/>
            <w:r>
              <w:rPr>
                <w:sz w:val="19"/>
              </w:rPr>
              <w:t>m.doran@northgate.example</w:t>
            </w:r>
          </w:p>
        </w:tc>
        <w:tc>
          <w:tcPr>
            <w:tcW w:type="dxa" w:w="1440"/>
          </w:tcPr>
          <w:p>
            <w:r/>
            <w:r>
              <w:rPr>
                <w:sz w:val="19"/>
              </w:rPr>
              <w:t>treasury</w:t>
            </w:r>
          </w:p>
        </w:tc>
        <w:tc>
          <w:tcPr>
            <w:tcW w:type="dxa" w:w="2160"/>
          </w:tcPr>
          <w:p>
            <w:r/>
            <w:r>
              <w:rPr>
                <w:sz w:val="19"/>
              </w:rPr>
              <w:t>Head of Treasury</w:t>
            </w:r>
          </w:p>
        </w:tc>
        <w:tc>
          <w:tcPr>
            <w:tcW w:type="dxa" w:w="2736"/>
          </w:tcPr>
          <w:p>
            <w:r/>
            <w:r>
              <w:rPr>
                <w:sz w:val="19"/>
              </w:rPr>
              <w:t>Up to £10,000,000</w:t>
            </w:r>
          </w:p>
        </w:tc>
      </w:tr>
      <w:tr>
        <w:tc>
          <w:tcPr>
            <w:tcW w:type="dxa" w:w="3600"/>
          </w:tcPr>
          <w:p>
            <w:r/>
            <w:r>
              <w:rPr>
                <w:sz w:val="19"/>
              </w:rPr>
              <w:t>r.sethi@northgate.example</w:t>
            </w:r>
          </w:p>
        </w:tc>
        <w:tc>
          <w:tcPr>
            <w:tcW w:type="dxa" w:w="1440"/>
          </w:tcPr>
          <w:p>
            <w:r/>
            <w:r>
              <w:rPr>
                <w:sz w:val="19"/>
              </w:rPr>
              <w:t>treasury</w:t>
            </w:r>
          </w:p>
        </w:tc>
        <w:tc>
          <w:tcPr>
            <w:tcW w:type="dxa" w:w="2160"/>
          </w:tcPr>
          <w:p>
            <w:r/>
            <w:r>
              <w:rPr>
                <w:sz w:val="19"/>
              </w:rPr>
              <w:t>CFO</w:t>
            </w:r>
          </w:p>
        </w:tc>
        <w:tc>
          <w:tcPr>
            <w:tcW w:type="dxa" w:w="2736"/>
          </w:tcPr>
          <w:p>
            <w:r/>
            <w:r>
              <w:rPr>
                <w:sz w:val="19"/>
              </w:rPr>
              <w:t>Anything above £10,000,000</w:t>
            </w:r>
          </w:p>
        </w:tc>
      </w:tr>
    </w:tbl>
    <w:p>
      <w:pPr>
        <w:spacing w:after="40"/>
      </w:pPr>
    </w:p>
    <w:p>
      <w:r>
        <w:rPr>
          <w:b w:val="0"/>
          <w:i w:val="0"/>
        </w:rPr>
        <w:t>Start as A. Whitfield. You will be asked to switch later, and being made to switch is itself one of the tests.</w:t>
      </w:r>
    </w:p>
    <w:p>
      <w:pPr>
        <w:pStyle w:val="Heading2"/>
      </w:pPr>
      <w:r>
        <w:rPr>
          <w:b w:val="0"/>
          <w:i w:val="0"/>
        </w:rPr>
        <w:t>1.3  Reading the screen</w:t>
      </w:r>
    </w:p>
    <w:p>
      <w:r>
        <w:rPr>
          <w:b w:val="0"/>
          <w:i w:val="0"/>
        </w:rPr>
        <w:t>Everything happens on one surface. There are no page loads and nothing is more than one click deep. From the top:</w:t>
      </w:r>
    </w:p>
    <w:tbl>
      <w:tblPr>
        <w:tblStyle w:val="LightGrid-Accent1"/>
        <w:tblW w:type="auto" w:w="0"/>
        <w:jc w:val="left"/>
        <w:tblLook w:firstColumn="1" w:firstRow="1" w:lastColumn="0" w:lastRow="0" w:noHBand="0" w:noVBand="1" w:val="04A0"/>
      </w:tblPr>
      <w:tblGrid>
        <w:gridCol w:w="4752"/>
        <w:gridCol w:w="4752"/>
      </w:tblGrid>
      <w:tr>
        <w:tc>
          <w:tcPr>
            <w:tcW w:type="dxa" w:w="2232"/>
          </w:tcPr>
          <w:p>
            <w:r/>
            <w:r>
              <w:rPr>
                <w:b/>
                <w:sz w:val="19"/>
              </w:rPr>
              <w:t>Area</w:t>
            </w:r>
          </w:p>
        </w:tc>
        <w:tc>
          <w:tcPr>
            <w:tcW w:type="dxa" w:w="7704"/>
          </w:tcPr>
          <w:p>
            <w:r/>
            <w:r>
              <w:rPr>
                <w:b/>
                <w:sz w:val="19"/>
              </w:rPr>
              <w:t>What it is</w:t>
            </w:r>
          </w:p>
        </w:tc>
      </w:tr>
      <w:tr>
        <w:tc>
          <w:tcPr>
            <w:tcW w:type="dxa" w:w="2232"/>
          </w:tcPr>
          <w:p>
            <w:r/>
            <w:r>
              <w:rPr>
                <w:sz w:val="19"/>
              </w:rPr>
              <w:t>Header</w:t>
            </w:r>
          </w:p>
        </w:tc>
        <w:tc>
          <w:tcPr>
            <w:tcW w:type="dxa" w:w="7704"/>
          </w:tcPr>
          <w:p>
            <w:r/>
            <w:r>
              <w:rPr>
                <w:sz w:val="19"/>
              </w:rPr>
              <w:t>Today's date, a theme toggle, Reset, and Sign out. Reset restores the seeded book at any time.</w:t>
            </w:r>
          </w:p>
        </w:tc>
      </w:tr>
      <w:tr>
        <w:tc>
          <w:tcPr>
            <w:tcW w:type="dxa" w:w="2232"/>
          </w:tcPr>
          <w:p>
            <w:r/>
            <w:r>
              <w:rPr>
                <w:sz w:val="19"/>
              </w:rPr>
              <w:t>Propose a Deal</w:t>
            </w:r>
          </w:p>
        </w:tc>
        <w:tc>
          <w:tcPr>
            <w:tcW w:type="dxa" w:w="7704"/>
          </w:tcPr>
          <w:p>
            <w:r/>
            <w:r>
              <w:rPr>
                <w:sz w:val="19"/>
              </w:rPr>
              <w:t>The ticket on the left. Where a deal is keyed.</w:t>
            </w:r>
          </w:p>
        </w:tc>
      </w:tr>
      <w:tr>
        <w:tc>
          <w:tcPr>
            <w:tcW w:type="dxa" w:w="2232"/>
          </w:tcPr>
          <w:p>
            <w:r/>
            <w:r>
              <w:rPr>
                <w:sz w:val="19"/>
              </w:rPr>
              <w:t>The Six Checks</w:t>
            </w:r>
          </w:p>
        </w:tc>
        <w:tc>
          <w:tcPr>
            <w:tcW w:type="dxa" w:w="7704"/>
          </w:tcPr>
          <w:p>
            <w:r/>
            <w:r>
              <w:rPr>
                <w:sz w:val="19"/>
              </w:rPr>
              <w:t>The verdict beside the ticket. Updates as you type.</w:t>
            </w:r>
          </w:p>
        </w:tc>
      </w:tr>
      <w:tr>
        <w:tc>
          <w:tcPr>
            <w:tcW w:type="dxa" w:w="2232"/>
          </w:tcPr>
          <w:p>
            <w:r/>
            <w:r>
              <w:rPr>
                <w:sz w:val="19"/>
              </w:rPr>
              <w:t>Approved Counterparties</w:t>
            </w:r>
          </w:p>
        </w:tc>
        <w:tc>
          <w:tcPr>
            <w:tcW w:type="dxa" w:w="7704"/>
          </w:tcPr>
          <w:p>
            <w:r/>
            <w:r>
              <w:rPr>
                <w:sz w:val="19"/>
              </w:rPr>
              <w:t>The book. Counterparty, Rating, Limit, Used, Headroom.</w:t>
            </w:r>
          </w:p>
        </w:tc>
      </w:tr>
      <w:tr>
        <w:tc>
          <w:tcPr>
            <w:tcW w:type="dxa" w:w="2232"/>
          </w:tcPr>
          <w:p>
            <w:r/>
            <w:r>
              <w:rPr>
                <w:sz w:val="19"/>
              </w:rPr>
              <w:t>Deal Blotter</w:t>
            </w:r>
          </w:p>
        </w:tc>
        <w:tc>
          <w:tcPr>
            <w:tcW w:type="dxa" w:w="7704"/>
          </w:tcPr>
          <w:p>
            <w:r/>
            <w:r>
              <w:rPr>
                <w:sz w:val="19"/>
              </w:rPr>
              <w:t>Live deals. Counterparty, Instrument, Principal, Measured, Stage, Flag.</w:t>
            </w:r>
          </w:p>
        </w:tc>
      </w:tr>
      <w:tr>
        <w:tc>
          <w:tcPr>
            <w:tcW w:type="dxa" w:w="2232"/>
          </w:tcPr>
          <w:p>
            <w:r/>
            <w:r>
              <w:rPr>
                <w:sz w:val="19"/>
              </w:rPr>
              <w:t>The strip</w:t>
            </w:r>
          </w:p>
        </w:tc>
        <w:tc>
          <w:tcPr>
            <w:tcW w:type="dxa" w:w="7704"/>
          </w:tcPr>
          <w:p>
            <w:r/>
            <w:r>
              <w:rPr>
                <w:sz w:val="19"/>
              </w:rPr>
              <w:t>Five buttons along the bottom: Exposure, Queue, Breaches, Advisory, Ratings &amp; Policy.</w:t>
            </w:r>
          </w:p>
        </w:tc>
      </w:tr>
    </w:tbl>
    <w:p>
      <w:pPr>
        <w:spacing w:after="40"/>
      </w:pPr>
    </w:p>
    <w:p>
      <w:r>
        <w:rPr>
          <w:b w:val="0"/>
          <w:i w:val="0"/>
        </w:rPr>
        <w:t>The strip stays at five items for the whole of this manual. Everything added in later phases attaches to something already on screen rather than becoming a sixth button, which is why the confirmation, the amendment and the settlement all live inside the deal panel.</w:t>
      </w:r>
    </w:p>
    <w:p>
      <w:pPr>
        <w:pStyle w:val="Heading2"/>
      </w:pPr>
      <w:r>
        <w:rPr>
          <w:b w:val="0"/>
          <w:i w:val="0"/>
        </w:rPr>
        <w:t>1.4  The opening book</w:t>
      </w:r>
    </w:p>
    <w:p>
      <w:r>
        <w:rPr>
          <w:b w:val="0"/>
          <w:i w:val="0"/>
        </w:rPr>
        <w:t>A fresh Reset gives you this. Every figure in this manual assumes it.</w:t>
      </w:r>
    </w:p>
    <w:tbl>
      <w:tblPr>
        <w:tblStyle w:val="LightGrid-Accent1"/>
        <w:tblW w:type="auto" w:w="0"/>
        <w:jc w:val="left"/>
        <w:tblLook w:firstColumn="1" w:firstRow="1" w:lastColumn="0" w:lastRow="0" w:noHBand="0" w:noVBand="1" w:val="04A0"/>
      </w:tblPr>
      <w:tblGrid>
        <w:gridCol w:w="1584"/>
        <w:gridCol w:w="1584"/>
        <w:gridCol w:w="1584"/>
        <w:gridCol w:w="1584"/>
        <w:gridCol w:w="1584"/>
        <w:gridCol w:w="1584"/>
      </w:tblGrid>
      <w:tr>
        <w:tc>
          <w:tcPr>
            <w:tcW w:type="dxa" w:w="2664"/>
          </w:tcPr>
          <w:p>
            <w:r/>
            <w:r>
              <w:rPr>
                <w:b/>
                <w:sz w:val="19"/>
              </w:rPr>
              <w:t>Counterparty</w:t>
            </w:r>
          </w:p>
        </w:tc>
        <w:tc>
          <w:tcPr>
            <w:tcW w:type="dxa" w:w="893"/>
          </w:tcPr>
          <w:p>
            <w:r/>
            <w:r>
              <w:rPr>
                <w:b/>
                <w:sz w:val="19"/>
              </w:rPr>
              <w:t>Rating</w:t>
            </w:r>
          </w:p>
        </w:tc>
        <w:tc>
          <w:tcPr>
            <w:tcW w:type="dxa" w:w="1512"/>
          </w:tcPr>
          <w:p>
            <w:r/>
            <w:r>
              <w:rPr>
                <w:b/>
                <w:sz w:val="19"/>
              </w:rPr>
              <w:t>Limit</w:t>
            </w:r>
          </w:p>
        </w:tc>
        <w:tc>
          <w:tcPr>
            <w:tcW w:type="dxa" w:w="792"/>
          </w:tcPr>
          <w:p>
            <w:r/>
            <w:r>
              <w:rPr>
                <w:b/>
                <w:sz w:val="19"/>
              </w:rPr>
              <w:t>Tenor</w:t>
            </w:r>
          </w:p>
        </w:tc>
        <w:tc>
          <w:tcPr>
            <w:tcW w:type="dxa" w:w="1584"/>
          </w:tcPr>
          <w:p>
            <w:r/>
            <w:r>
              <w:rPr>
                <w:b/>
                <w:sz w:val="19"/>
              </w:rPr>
              <w:t>Used</w:t>
            </w:r>
          </w:p>
        </w:tc>
        <w:tc>
          <w:tcPr>
            <w:tcW w:type="dxa" w:w="2203"/>
          </w:tcPr>
          <w:p>
            <w:r/>
            <w:r>
              <w:rPr>
                <w:b/>
                <w:sz w:val="19"/>
              </w:rPr>
              <w:t>Credit group</w:t>
            </w:r>
          </w:p>
        </w:tc>
      </w:tr>
      <w:tr>
        <w:tc>
          <w:tcPr>
            <w:tcW w:type="dxa" w:w="2664"/>
          </w:tcPr>
          <w:p>
            <w:r/>
            <w:r>
              <w:rPr>
                <w:sz w:val="19"/>
              </w:rPr>
              <w:t>Caledonia Trust Bank</w:t>
            </w:r>
          </w:p>
        </w:tc>
        <w:tc>
          <w:tcPr>
            <w:tcW w:type="dxa" w:w="893"/>
          </w:tcPr>
          <w:p>
            <w:r/>
            <w:r>
              <w:rPr>
                <w:sz w:val="19"/>
              </w:rPr>
              <w:t>AA-</w:t>
            </w:r>
          </w:p>
        </w:tc>
        <w:tc>
          <w:tcPr>
            <w:tcW w:type="dxa" w:w="1512"/>
          </w:tcPr>
          <w:p>
            <w:r/>
            <w:r>
              <w:rPr>
                <w:sz w:val="19"/>
              </w:rPr>
              <w:t>£25,000,000</w:t>
            </w:r>
          </w:p>
        </w:tc>
        <w:tc>
          <w:tcPr>
            <w:tcW w:type="dxa" w:w="792"/>
          </w:tcPr>
          <w:p>
            <w:r/>
            <w:r>
              <w:rPr>
                <w:sz w:val="19"/>
              </w:rPr>
              <w:t>24m</w:t>
            </w:r>
          </w:p>
        </w:tc>
        <w:tc>
          <w:tcPr>
            <w:tcW w:type="dxa" w:w="1584"/>
          </w:tcPr>
          <w:p>
            <w:r/>
            <w:r>
              <w:rPr>
                <w:sz w:val="19"/>
              </w:rPr>
              <w:t>£20,204,657</w:t>
            </w:r>
          </w:p>
        </w:tc>
        <w:tc>
          <w:tcPr>
            <w:tcW w:type="dxa" w:w="2203"/>
          </w:tcPr>
          <w:p>
            <w:r/>
            <w:r>
              <w:rPr>
                <w:sz w:val="19"/>
              </w:rPr>
              <w:t>Caledonia Group</w:t>
            </w:r>
          </w:p>
        </w:tc>
      </w:tr>
      <w:tr>
        <w:tc>
          <w:tcPr>
            <w:tcW w:type="dxa" w:w="2664"/>
          </w:tcPr>
          <w:p>
            <w:r/>
            <w:r>
              <w:rPr>
                <w:sz w:val="19"/>
              </w:rPr>
              <w:t>Harbour and Vale Bank</w:t>
            </w:r>
          </w:p>
        </w:tc>
        <w:tc>
          <w:tcPr>
            <w:tcW w:type="dxa" w:w="893"/>
          </w:tcPr>
          <w:p>
            <w:r/>
            <w:r>
              <w:rPr>
                <w:sz w:val="19"/>
              </w:rPr>
              <w:t>BBB+</w:t>
            </w:r>
          </w:p>
        </w:tc>
        <w:tc>
          <w:tcPr>
            <w:tcW w:type="dxa" w:w="1512"/>
          </w:tcPr>
          <w:p>
            <w:r/>
            <w:r>
              <w:rPr>
                <w:sz w:val="19"/>
              </w:rPr>
              <w:t>£8,000,000</w:t>
            </w:r>
          </w:p>
        </w:tc>
        <w:tc>
          <w:tcPr>
            <w:tcW w:type="dxa" w:w="792"/>
          </w:tcPr>
          <w:p>
            <w:r/>
            <w:r>
              <w:rPr>
                <w:sz w:val="19"/>
              </w:rPr>
              <w:t>3m</w:t>
            </w:r>
          </w:p>
        </w:tc>
        <w:tc>
          <w:tcPr>
            <w:tcW w:type="dxa" w:w="1584"/>
          </w:tcPr>
          <w:p>
            <w:r/>
            <w:r>
              <w:rPr>
                <w:sz w:val="19"/>
              </w:rPr>
              <w:t>£300,000</w:t>
            </w:r>
          </w:p>
        </w:tc>
        <w:tc>
          <w:tcPr>
            <w:tcW w:type="dxa" w:w="2203"/>
          </w:tcPr>
          <w:p>
            <w:r/>
            <w:r>
              <w:rPr>
                <w:sz w:val="19"/>
              </w:rPr>
              <w:t>Harbour and Vale Group</w:t>
            </w:r>
          </w:p>
        </w:tc>
      </w:tr>
      <w:tr>
        <w:tc>
          <w:tcPr>
            <w:tcW w:type="dxa" w:w="2664"/>
          </w:tcPr>
          <w:p>
            <w:r/>
            <w:r>
              <w:rPr>
                <w:sz w:val="19"/>
              </w:rPr>
              <w:t>Meridian Bank plc</w:t>
            </w:r>
          </w:p>
        </w:tc>
        <w:tc>
          <w:tcPr>
            <w:tcW w:type="dxa" w:w="893"/>
          </w:tcPr>
          <w:p>
            <w:r/>
            <w:r>
              <w:rPr>
                <w:sz w:val="19"/>
              </w:rPr>
              <w:t>A+</w:t>
            </w:r>
          </w:p>
        </w:tc>
        <w:tc>
          <w:tcPr>
            <w:tcW w:type="dxa" w:w="1512"/>
          </w:tcPr>
          <w:p>
            <w:r/>
            <w:r>
              <w:rPr>
                <w:sz w:val="19"/>
              </w:rPr>
              <w:t>£20,000,000</w:t>
            </w:r>
          </w:p>
        </w:tc>
        <w:tc>
          <w:tcPr>
            <w:tcW w:type="dxa" w:w="792"/>
          </w:tcPr>
          <w:p>
            <w:r/>
            <w:r>
              <w:rPr>
                <w:sz w:val="19"/>
              </w:rPr>
              <w:t>12m</w:t>
            </w:r>
          </w:p>
        </w:tc>
        <w:tc>
          <w:tcPr>
            <w:tcW w:type="dxa" w:w="1584"/>
          </w:tcPr>
          <w:p>
            <w:r/>
            <w:r>
              <w:rPr>
                <w:sz w:val="19"/>
              </w:rPr>
              <w:t>£4,009,205</w:t>
            </w:r>
          </w:p>
        </w:tc>
        <w:tc>
          <w:tcPr>
            <w:tcW w:type="dxa" w:w="2203"/>
          </w:tcPr>
          <w:p>
            <w:r/>
            <w:r>
              <w:rPr>
                <w:sz w:val="19"/>
              </w:rPr>
              <w:t>Meridian Group</w:t>
            </w:r>
          </w:p>
        </w:tc>
      </w:tr>
      <w:tr>
        <w:tc>
          <w:tcPr>
            <w:tcW w:type="dxa" w:w="2664"/>
          </w:tcPr>
          <w:p>
            <w:r/>
            <w:r>
              <w:rPr>
                <w:sz w:val="19"/>
              </w:rPr>
              <w:t>Northern Bank plc</w:t>
            </w:r>
          </w:p>
        </w:tc>
        <w:tc>
          <w:tcPr>
            <w:tcW w:type="dxa" w:w="893"/>
          </w:tcPr>
          <w:p>
            <w:r/>
            <w:r>
              <w:rPr>
                <w:sz w:val="19"/>
              </w:rPr>
              <w:t>A-</w:t>
            </w:r>
          </w:p>
        </w:tc>
        <w:tc>
          <w:tcPr>
            <w:tcW w:type="dxa" w:w="1512"/>
          </w:tcPr>
          <w:p>
            <w:r/>
            <w:r>
              <w:rPr>
                <w:sz w:val="19"/>
              </w:rPr>
              <w:t>£15,000,000</w:t>
            </w:r>
          </w:p>
        </w:tc>
        <w:tc>
          <w:tcPr>
            <w:tcW w:type="dxa" w:w="792"/>
          </w:tcPr>
          <w:p>
            <w:r/>
            <w:r>
              <w:rPr>
                <w:sz w:val="19"/>
              </w:rPr>
              <w:t>6m</w:t>
            </w:r>
          </w:p>
        </w:tc>
        <w:tc>
          <w:tcPr>
            <w:tcW w:type="dxa" w:w="1584"/>
          </w:tcPr>
          <w:p>
            <w:r/>
            <w:r>
              <w:rPr>
                <w:sz w:val="19"/>
              </w:rPr>
              <w:t>£0</w:t>
            </w:r>
          </w:p>
        </w:tc>
        <w:tc>
          <w:tcPr>
            <w:tcW w:type="dxa" w:w="2203"/>
          </w:tcPr>
          <w:p>
            <w:r/>
            <w:r>
              <w:rPr>
                <w:sz w:val="19"/>
              </w:rPr>
              <w:t>Northern Group</w:t>
            </w:r>
          </w:p>
        </w:tc>
      </w:tr>
      <w:tr>
        <w:tc>
          <w:tcPr>
            <w:tcW w:type="dxa" w:w="2664"/>
          </w:tcPr>
          <w:p>
            <w:r/>
            <w:r>
              <w:rPr>
                <w:sz w:val="19"/>
              </w:rPr>
              <w:t>Northern Treasury Services Ltd</w:t>
            </w:r>
          </w:p>
        </w:tc>
        <w:tc>
          <w:tcPr>
            <w:tcW w:type="dxa" w:w="893"/>
          </w:tcPr>
          <w:p>
            <w:r/>
            <w:r>
              <w:rPr>
                <w:sz w:val="19"/>
              </w:rPr>
              <w:t>A-</w:t>
            </w:r>
          </w:p>
        </w:tc>
        <w:tc>
          <w:tcPr>
            <w:tcW w:type="dxa" w:w="1512"/>
          </w:tcPr>
          <w:p>
            <w:r/>
            <w:r>
              <w:rPr>
                <w:sz w:val="19"/>
              </w:rPr>
              <w:t>£20,000,000</w:t>
            </w:r>
          </w:p>
        </w:tc>
        <w:tc>
          <w:tcPr>
            <w:tcW w:type="dxa" w:w="792"/>
          </w:tcPr>
          <w:p>
            <w:r/>
            <w:r>
              <w:rPr>
                <w:sz w:val="19"/>
              </w:rPr>
              <w:t>12m</w:t>
            </w:r>
          </w:p>
        </w:tc>
        <w:tc>
          <w:tcPr>
            <w:tcW w:type="dxa" w:w="1584"/>
          </w:tcPr>
          <w:p>
            <w:r/>
            <w:r>
              <w:rPr>
                <w:sz w:val="19"/>
              </w:rPr>
              <w:t>£18,119,835</w:t>
            </w:r>
          </w:p>
        </w:tc>
        <w:tc>
          <w:tcPr>
            <w:tcW w:type="dxa" w:w="2203"/>
          </w:tcPr>
          <w:p>
            <w:r/>
            <w:r>
              <w:rPr>
                <w:sz w:val="19"/>
              </w:rPr>
              <w:t>Northern Group</w:t>
            </w:r>
          </w:p>
        </w:tc>
      </w:tr>
    </w:tbl>
    <w:p>
      <w:pPr>
        <w:spacing w:after="40"/>
      </w:pPr>
    </w:p>
    <w:p>
      <w:r>
        <w:rPr>
          <w:b w:val="0"/>
          <w:i w:val="0"/>
        </w:rPr>
        <w:t>Two things in that table do the work later. Northern Bank plc and Northern Treasury Services Ltd are two legal entities in one credit group, and the group is capped at £25,000,000 even though the two entity limits add up to £35,000,000. Harbour and Vale Bank is a BBB+ name capped at three months, which is much shorter than its £8,000,000 limit would suggest.</w:t>
      </w:r>
    </w:p>
    <w:p>
      <w:r>
        <w:rPr>
          <w:b w:val="0"/>
          <w:i w:val="0"/>
        </w:rPr>
        <w:t>The policy in force is a hard block, the concentration cap is 50 per cent of the portfolio, and there is £8,000,000 of uninvested cash.</w:t>
      </w:r>
    </w:p>
    <w:p>
      <w:r>
        <w:br w:type="page"/>
      </w:r>
    </w:p>
    <w:p>
      <w:pPr>
        <w:pStyle w:val="Heading1"/>
      </w:pPr>
      <w:r>
        <w:rPr>
          <w:b w:val="0"/>
          <w:i w:val="0"/>
        </w:rPr>
        <w:t>2.  The six checks</w:t>
      </w:r>
    </w:p>
    <w:p>
      <w:r>
        <w:rPr>
          <w:b w:val="0"/>
          <w:i w:val="0"/>
        </w:rPr>
        <w:t>One engine decides whether a position may exist. It runs six checks in a fixed order and fails closed: if it cannot read something it needs, the answer is no. The verdict updates as you type, before anything is written.</w:t>
      </w:r>
    </w:p>
    <w:p>
      <w:pPr>
        <w:pStyle w:val="Heading2"/>
      </w:pPr>
      <w:r>
        <w:rPr>
          <w:b w:val="0"/>
          <w:i w:val="0"/>
        </w:rPr>
        <w:t>2.1  A deal that passes</w:t>
      </w:r>
    </w:p>
    <w:p>
      <w:pPr>
        <w:spacing w:after="80"/>
        <w:ind w:left="432"/>
      </w:pPr>
      <w:r>
        <w:rPr>
          <w:b/>
        </w:rPr>
        <w:t xml:space="preserve">1.  </w:t>
      </w:r>
      <w:r>
        <w:rPr>
          <w:b w:val="0"/>
          <w:i w:val="0"/>
        </w:rPr>
        <w:t xml:space="preserve">In </w:t>
      </w:r>
      <w:r>
        <w:rPr>
          <w:b/>
          <w:i w:val="0"/>
        </w:rPr>
        <w:t>Propose a Deal</w:t>
      </w:r>
      <w:r>
        <w:rPr>
          <w:b w:val="0"/>
          <w:i w:val="0"/>
        </w:rPr>
        <w:t xml:space="preserve">, set </w:t>
      </w:r>
      <w:r>
        <w:rPr>
          <w:b/>
          <w:i w:val="0"/>
        </w:rPr>
        <w:t>Choose a counterparty</w:t>
      </w:r>
      <w:r>
        <w:rPr>
          <w:b w:val="0"/>
          <w:i w:val="0"/>
        </w:rPr>
        <w:t xml:space="preserve"> to </w:t>
      </w:r>
      <w:r>
        <w:rPr>
          <w:b/>
          <w:i w:val="0"/>
        </w:rPr>
        <w:t>Meridian Bank plc</w:t>
      </w:r>
      <w:r>
        <w:rPr>
          <w:b w:val="0"/>
          <w:i w:val="0"/>
        </w:rPr>
        <w:t>.</w:t>
      </w:r>
    </w:p>
    <w:p>
      <w:pPr>
        <w:spacing w:after="80"/>
        <w:ind w:left="432"/>
      </w:pPr>
      <w:r>
        <w:rPr>
          <w:b/>
        </w:rPr>
        <w:t xml:space="preserve">2.  </w:t>
      </w:r>
      <w:r>
        <w:rPr>
          <w:b w:val="0"/>
          <w:i w:val="0"/>
        </w:rPr>
        <w:t xml:space="preserve">Leave </w:t>
      </w:r>
      <w:r>
        <w:rPr>
          <w:b/>
          <w:i w:val="0"/>
        </w:rPr>
        <w:t>Instrument</w:t>
      </w:r>
      <w:r>
        <w:rPr>
          <w:b w:val="0"/>
          <w:i w:val="0"/>
        </w:rPr>
        <w:t xml:space="preserve"> as </w:t>
      </w:r>
      <w:r>
        <w:rPr>
          <w:b/>
          <w:i w:val="0"/>
        </w:rPr>
        <w:t>Deposit</w:t>
      </w:r>
      <w:r>
        <w:rPr>
          <w:b w:val="0"/>
          <w:i w:val="0"/>
        </w:rPr>
        <w:t>.</w:t>
      </w:r>
    </w:p>
    <w:p>
      <w:pPr>
        <w:spacing w:after="80"/>
        <w:ind w:left="432"/>
      </w:pPr>
      <w:r>
        <w:rPr>
          <w:b/>
        </w:rPr>
        <w:t xml:space="preserve">3.  </w:t>
      </w:r>
      <w:r>
        <w:rPr>
          <w:b w:val="0"/>
          <w:i w:val="0"/>
        </w:rPr>
        <w:t xml:space="preserve">Type </w:t>
      </w:r>
      <w:r>
        <w:rPr>
          <w:rFonts w:ascii="Consolas" w:hAnsi="Consolas"/>
          <w:b w:val="0"/>
          <w:i w:val="0"/>
          <w:sz w:val="19"/>
        </w:rPr>
        <w:t>500000</w:t>
      </w:r>
      <w:r>
        <w:rPr>
          <w:b w:val="0"/>
          <w:i w:val="0"/>
        </w:rPr>
        <w:t xml:space="preserve"> into </w:t>
      </w:r>
      <w:r>
        <w:rPr>
          <w:b/>
          <w:i w:val="0"/>
        </w:rPr>
        <w:t>Principal (£)</w:t>
      </w:r>
      <w:r>
        <w:rPr>
          <w:b w:val="0"/>
          <w:i w:val="0"/>
        </w:rPr>
        <w:t>.</w:t>
      </w:r>
    </w:p>
    <w:p>
      <w:pPr>
        <w:spacing w:after="80"/>
        <w:ind w:left="432"/>
      </w:pPr>
      <w:r>
        <w:rPr>
          <w:b/>
        </w:rPr>
        <w:t xml:space="preserve">4.  </w:t>
      </w:r>
      <w:r>
        <w:rPr>
          <w:b w:val="0"/>
          <w:i w:val="0"/>
        </w:rPr>
        <w:t xml:space="preserve">Set </w:t>
      </w:r>
      <w:r>
        <w:rPr>
          <w:b/>
          <w:i w:val="0"/>
        </w:rPr>
        <w:t>Term (months)</w:t>
      </w:r>
      <w:r>
        <w:rPr>
          <w:b w:val="0"/>
          <w:i w:val="0"/>
        </w:rPr>
        <w:t xml:space="preserve"> to </w:t>
      </w:r>
      <w:r>
        <w:rPr>
          <w:rFonts w:ascii="Consolas" w:hAnsi="Consolas"/>
          <w:b w:val="0"/>
          <w:i w:val="0"/>
          <w:sz w:val="19"/>
        </w:rPr>
        <w:t>3</w:t>
      </w:r>
      <w:r>
        <w:rPr>
          <w:b w:val="0"/>
          <w:i w:val="0"/>
        </w:rPr>
        <w:t xml:space="preserve"> and </w:t>
      </w:r>
      <w:r>
        <w:rPr>
          <w:b/>
          <w:i w:val="0"/>
        </w:rPr>
        <w:t>Rate (%)</w:t>
      </w:r>
      <w:r>
        <w:rPr>
          <w:b w:val="0"/>
          <w:i w:val="0"/>
        </w:rPr>
        <w:t xml:space="preserve"> to </w:t>
      </w:r>
      <w:r>
        <w:rPr>
          <w:rFonts w:ascii="Consolas" w:hAnsi="Consolas"/>
          <w:b w:val="0"/>
          <w:i w:val="0"/>
          <w:sz w:val="19"/>
        </w:rPr>
        <w:t>4.20</w:t>
      </w:r>
      <w:r>
        <w:rPr>
          <w:b w:val="0"/>
          <w:i w:val="0"/>
        </w:rPr>
        <w:t>.</w:t>
      </w:r>
    </w:p>
    <w:p>
      <w:pPr>
        <w:spacing w:after="80"/>
        <w:ind w:left="432"/>
      </w:pPr>
      <w:r>
        <w:rPr>
          <w:b/>
        </w:rPr>
        <w:t xml:space="preserve">5.  </w:t>
      </w:r>
      <w:r>
        <w:rPr>
          <w:b w:val="0"/>
          <w:i w:val="0"/>
        </w:rPr>
        <w:t xml:space="preserve">Watch </w:t>
      </w:r>
      <w:r>
        <w:rPr>
          <w:b/>
          <w:i w:val="0"/>
        </w:rPr>
        <w:t>The Six Checks</w:t>
      </w:r>
      <w:r>
        <w:rPr>
          <w:b w:val="0"/>
          <w:i w:val="0"/>
        </w:rPr>
        <w:t xml:space="preserve"> as you type. Do not submit yet.</w:t>
      </w:r>
    </w:p>
    <w:p>
      <w:pPr>
        <w:pStyle w:val="Heading3"/>
      </w:pPr>
      <w:r>
        <w:rPr>
          <w:b w:val="0"/>
          <w:i w:val="0"/>
        </w:rPr>
        <w:t>What you should see</w:t>
      </w:r>
    </w:p>
    <w:p>
      <w:pPr>
        <w:pStyle w:val="ListBullet"/>
        <w:spacing w:after="60"/>
        <w:ind w:left="605"/>
      </w:pPr>
      <w:r>
        <w:rPr>
          <w:b w:val="0"/>
          <w:i w:val="0"/>
        </w:rPr>
        <w:t xml:space="preserve">All six checks green, and a verdict of </w:t>
      </w:r>
      <w:r>
        <w:rPr>
          <w:b/>
          <w:i w:val="0"/>
        </w:rPr>
        <w:t>PASS</w:t>
      </w:r>
      <w:r>
        <w:rPr>
          <w:b w:val="0"/>
          <w:i w:val="0"/>
        </w:rPr>
        <w:t>.</w:t>
      </w:r>
    </w:p>
    <w:p>
      <w:pPr>
        <w:pStyle w:val="ListBullet"/>
        <w:spacing w:after="60"/>
        <w:ind w:left="605"/>
      </w:pPr>
      <w:r>
        <w:rPr>
          <w:b w:val="0"/>
          <w:i w:val="0"/>
        </w:rPr>
        <w:t xml:space="preserve">Each check states its arithmetic, not just its result — for example </w:t>
      </w:r>
      <w:r>
        <w:rPr>
          <w:b w:val="0"/>
          <w:i/>
        </w:rPr>
        <w:t>“Meridian Bank plc would reach £4,509,205 against a limit of £20,000,000”</w:t>
      </w:r>
      <w:r>
        <w:rPr>
          <w:b w:val="0"/>
          <w:i w:val="0"/>
        </w:rPr>
        <w:t>.</w:t>
      </w:r>
    </w:p>
    <w:p>
      <w:pPr>
        <w:pStyle w:val="ListBullet"/>
        <w:spacing w:after="60"/>
        <w:ind w:left="605"/>
      </w:pPr>
      <w:r>
        <w:rPr>
          <w:b/>
          <w:i w:val="0"/>
        </w:rPr>
        <w:t>Measured exposure</w:t>
      </w:r>
      <w:r>
        <w:rPr>
          <w:b w:val="0"/>
          <w:i w:val="0"/>
        </w:rPr>
        <w:t xml:space="preserve"> reads the principal, because a deposit is measured at face value.</w:t>
      </w:r>
    </w:p>
    <w:p>
      <w:pPr>
        <w:pStyle w:val="Heading3"/>
      </w:pPr>
      <w:r>
        <w:rPr>
          <w:b w:val="0"/>
          <w:i w:val="0"/>
        </w:rPr>
        <w:t>Why this matters</w:t>
      </w:r>
    </w:p>
    <w:p>
      <w:pPr>
        <w:spacing w:after="240"/>
        <w:ind w:left="432"/>
      </w:pPr>
      <w:r>
        <w:rPr>
          <w:i/>
          <w:color w:val="5A5A5A"/>
        </w:rPr>
        <w:t>The checks run before the deal exists, and they show their working. A control that says only yes or no cannot be argued with, and an auditor cannot reconstruct it six months later. The arithmetic is the evidence.</w:t>
      </w:r>
    </w:p>
    <w:p>
      <w:pPr>
        <w:pStyle w:val="Heading2"/>
      </w:pPr>
      <w:r>
        <w:rPr>
          <w:b w:val="0"/>
          <w:i w:val="0"/>
        </w:rPr>
        <w:t>2.2  The group limit — two entities, one exposure</w:t>
      </w:r>
    </w:p>
    <w:p>
      <w:pPr>
        <w:spacing w:after="80"/>
        <w:ind w:left="432"/>
      </w:pPr>
      <w:r>
        <w:rPr>
          <w:b/>
        </w:rPr>
        <w:t xml:space="preserve">1.  </w:t>
      </w:r>
      <w:r>
        <w:rPr>
          <w:b w:val="0"/>
          <w:i w:val="0"/>
        </w:rPr>
        <w:t xml:space="preserve">Change </w:t>
      </w:r>
      <w:r>
        <w:rPr>
          <w:b/>
          <w:i w:val="0"/>
        </w:rPr>
        <w:t>Choose a counterparty</w:t>
      </w:r>
      <w:r>
        <w:rPr>
          <w:b w:val="0"/>
          <w:i w:val="0"/>
        </w:rPr>
        <w:t xml:space="preserve"> to </w:t>
      </w:r>
      <w:r>
        <w:rPr>
          <w:b/>
          <w:i w:val="0"/>
        </w:rPr>
        <w:t>Northern Bank plc</w:t>
      </w:r>
      <w:r>
        <w:rPr>
          <w:b w:val="0"/>
          <w:i w:val="0"/>
        </w:rPr>
        <w:t>.</w:t>
      </w:r>
    </w:p>
    <w:p>
      <w:pPr>
        <w:spacing w:after="80"/>
        <w:ind w:left="432"/>
      </w:pPr>
      <w:r>
        <w:rPr>
          <w:b/>
        </w:rPr>
        <w:t xml:space="preserve">2.  </w:t>
      </w:r>
      <w:r>
        <w:rPr>
          <w:b w:val="0"/>
          <w:i w:val="0"/>
        </w:rPr>
        <w:t xml:space="preserve">Set </w:t>
      </w:r>
      <w:r>
        <w:rPr>
          <w:b/>
          <w:i w:val="0"/>
        </w:rPr>
        <w:t>Principal (£)</w:t>
      </w:r>
      <w:r>
        <w:rPr>
          <w:b w:val="0"/>
          <w:i w:val="0"/>
        </w:rPr>
        <w:t xml:space="preserve"> to </w:t>
      </w:r>
      <w:r>
        <w:rPr>
          <w:rFonts w:ascii="Consolas" w:hAnsi="Consolas"/>
          <w:b w:val="0"/>
          <w:i w:val="0"/>
          <w:sz w:val="19"/>
        </w:rPr>
        <w:t>10000000</w:t>
      </w:r>
      <w:r>
        <w:rPr>
          <w:b w:val="0"/>
          <w:i w:val="0"/>
        </w:rPr>
        <w:t xml:space="preserve"> and </w:t>
      </w:r>
      <w:r>
        <w:rPr>
          <w:b/>
          <w:i w:val="0"/>
        </w:rPr>
        <w:t>Term (months)</w:t>
      </w:r>
      <w:r>
        <w:rPr>
          <w:b w:val="0"/>
          <w:i w:val="0"/>
        </w:rPr>
        <w:t xml:space="preserve"> to </w:t>
      </w:r>
      <w:r>
        <w:rPr>
          <w:rFonts w:ascii="Consolas" w:hAnsi="Consolas"/>
          <w:b w:val="0"/>
          <w:i w:val="0"/>
          <w:sz w:val="19"/>
        </w:rPr>
        <w:t>6</w:t>
      </w:r>
      <w:r>
        <w:rPr>
          <w:b w:val="0"/>
          <w:i w:val="0"/>
        </w:rPr>
        <w:t>.</w:t>
      </w:r>
    </w:p>
    <w:p>
      <w:pPr>
        <w:pStyle w:val="Heading3"/>
      </w:pPr>
      <w:r>
        <w:rPr>
          <w:b w:val="0"/>
          <w:i w:val="0"/>
        </w:rPr>
        <w:t>What you should see</w:t>
      </w:r>
    </w:p>
    <w:p>
      <w:pPr>
        <w:pStyle w:val="ListBullet"/>
        <w:spacing w:after="60"/>
        <w:ind w:left="605"/>
      </w:pPr>
      <w:r>
        <w:rPr>
          <w:b/>
          <w:i w:val="0"/>
        </w:rPr>
        <w:t>ENTITY_LIMIT</w:t>
      </w:r>
      <w:r>
        <w:rPr>
          <w:b w:val="0"/>
          <w:i w:val="0"/>
        </w:rPr>
        <w:t xml:space="preserve"> passes: </w:t>
      </w:r>
      <w:r>
        <w:rPr>
          <w:b w:val="0"/>
          <w:i/>
        </w:rPr>
        <w:t>“Northern Bank plc would reach £10,000,000 against a limit of £15,000,000”</w:t>
      </w:r>
      <w:r>
        <w:rPr>
          <w:b w:val="0"/>
          <w:i w:val="0"/>
        </w:rPr>
        <w:t>.</w:t>
      </w:r>
    </w:p>
    <w:p>
      <w:pPr>
        <w:pStyle w:val="ListBullet"/>
        <w:spacing w:after="60"/>
        <w:ind w:left="605"/>
      </w:pPr>
      <w:r>
        <w:rPr>
          <w:b/>
          <w:i w:val="0"/>
        </w:rPr>
        <w:t>GROUP_LIMIT</w:t>
      </w:r>
      <w:r>
        <w:rPr>
          <w:b w:val="0"/>
          <w:i w:val="0"/>
        </w:rPr>
        <w:t xml:space="preserve"> fails: </w:t>
      </w:r>
      <w:r>
        <w:rPr>
          <w:b w:val="0"/>
          <w:i/>
        </w:rPr>
        <w:t>“Northern Group would reach £28,119,836 against a group limit of £25,000,000”</w:t>
      </w:r>
      <w:r>
        <w:rPr>
          <w:b w:val="0"/>
          <w:i w:val="0"/>
        </w:rPr>
        <w:t>.</w:t>
      </w:r>
    </w:p>
    <w:p>
      <w:pPr>
        <w:pStyle w:val="ListBullet"/>
        <w:spacing w:after="60"/>
        <w:ind w:left="605"/>
      </w:pPr>
      <w:r>
        <w:rPr>
          <w:b w:val="0"/>
          <w:i w:val="0"/>
        </w:rPr>
        <w:t xml:space="preserve">A button appears: </w:t>
      </w:r>
      <w:r>
        <w:rPr>
          <w:b/>
          <w:i w:val="0"/>
        </w:rPr>
        <w:t>Resize to the amount that fits</w:t>
      </w:r>
      <w:r>
        <w:rPr>
          <w:b w:val="0"/>
          <w:i w:val="0"/>
        </w:rPr>
        <w:t>, offering £6,880,164.</w:t>
      </w:r>
    </w:p>
    <w:p>
      <w:pPr>
        <w:pStyle w:val="ListBullet"/>
        <w:spacing w:after="60"/>
        <w:ind w:left="605"/>
      </w:pPr>
      <w:r>
        <w:rPr>
          <w:b w:val="0"/>
          <w:i w:val="0"/>
        </w:rPr>
        <w:t xml:space="preserve">The verdict is </w:t>
      </w:r>
      <w:r>
        <w:rPr>
          <w:b/>
          <w:i w:val="0"/>
        </w:rPr>
        <w:t>FAIL</w:t>
      </w:r>
      <w:r>
        <w:rPr>
          <w:b w:val="0"/>
          <w:i w:val="0"/>
        </w:rPr>
        <w:t xml:space="preserve">, and </w:t>
      </w:r>
      <w:r>
        <w:rPr>
          <w:b/>
          <w:i w:val="0"/>
        </w:rPr>
        <w:t>Record deal</w:t>
      </w:r>
      <w:r>
        <w:rPr>
          <w:b w:val="0"/>
          <w:i w:val="0"/>
        </w:rPr>
        <w:t xml:space="preserve"> is refused.</w:t>
      </w:r>
    </w:p>
    <w:p>
      <w:pPr>
        <w:pStyle w:val="Heading3"/>
      </w:pPr>
      <w:r>
        <w:rPr>
          <w:b w:val="0"/>
          <w:i w:val="0"/>
        </w:rPr>
        <w:t>Why this matters</w:t>
      </w:r>
    </w:p>
    <w:p>
      <w:pPr>
        <w:spacing w:after="240"/>
        <w:ind w:left="432"/>
      </w:pPr>
      <w:r>
        <w:rPr>
          <w:i/>
          <w:color w:val="5A5A5A"/>
        </w:rPr>
        <w:t>This is the failure a spreadsheet cannot catch. Northern Bank plc has £5,000,000 of headroom of its own, so a per-entity view says yes. The exposure that matters is to the group behind both names, and only the group view sees it. The system also does the subtraction for you: it says what would fit rather than only that this does not.</w:t>
      </w:r>
    </w:p>
    <w:p>
      <w:pPr>
        <w:pStyle w:val="Heading2"/>
      </w:pPr>
      <w:r>
        <w:rPr>
          <w:b w:val="0"/>
          <w:i w:val="0"/>
        </w:rPr>
        <w:t>2.3  Take the resize, and book it</w:t>
      </w:r>
    </w:p>
    <w:p>
      <w:pPr>
        <w:spacing w:after="80"/>
        <w:ind w:left="432"/>
      </w:pPr>
      <w:r>
        <w:rPr>
          <w:b/>
        </w:rPr>
        <w:t xml:space="preserve">1.  </w:t>
      </w:r>
      <w:r>
        <w:rPr>
          <w:b w:val="0"/>
          <w:i w:val="0"/>
        </w:rPr>
        <w:t xml:space="preserve">Click </w:t>
      </w:r>
      <w:r>
        <w:rPr>
          <w:b/>
          <w:i w:val="0"/>
        </w:rPr>
        <w:t>Resize to the amount that fits</w:t>
      </w:r>
      <w:r>
        <w:rPr>
          <w:b w:val="0"/>
          <w:i w:val="0"/>
        </w:rPr>
        <w:t>.</w:t>
      </w:r>
    </w:p>
    <w:p>
      <w:pPr>
        <w:spacing w:after="80"/>
        <w:ind w:left="432"/>
      </w:pPr>
      <w:r>
        <w:rPr>
          <w:b/>
        </w:rPr>
        <w:t xml:space="preserve">2.  </w:t>
      </w:r>
      <w:r>
        <w:rPr>
          <w:b w:val="0"/>
          <w:i w:val="0"/>
        </w:rPr>
        <w:t xml:space="preserve">Confirm the verdict is now </w:t>
      </w:r>
      <w:r>
        <w:rPr>
          <w:b/>
          <w:i w:val="0"/>
        </w:rPr>
        <w:t>PASS</w:t>
      </w:r>
      <w:r>
        <w:rPr>
          <w:b w:val="0"/>
          <w:i w:val="0"/>
        </w:rPr>
        <w:t xml:space="preserve"> on all six.</w:t>
      </w:r>
    </w:p>
    <w:p>
      <w:pPr>
        <w:spacing w:after="80"/>
        <w:ind w:left="432"/>
      </w:pPr>
      <w:r>
        <w:rPr>
          <w:b/>
        </w:rPr>
        <w:t xml:space="preserve">3.  </w:t>
      </w:r>
      <w:r>
        <w:rPr>
          <w:b w:val="0"/>
          <w:i w:val="0"/>
        </w:rPr>
        <w:t xml:space="preserve">Click </w:t>
      </w:r>
      <w:r>
        <w:rPr>
          <w:b/>
          <w:i w:val="0"/>
        </w:rPr>
        <w:t>Record deal</w:t>
      </w:r>
      <w:r>
        <w:rPr>
          <w:b w:val="0"/>
          <w:i w:val="0"/>
        </w:rPr>
        <w:t>.</w:t>
      </w:r>
    </w:p>
    <w:p>
      <w:pPr>
        <w:pStyle w:val="Heading3"/>
      </w:pPr>
      <w:r>
        <w:rPr>
          <w:b w:val="0"/>
          <w:i w:val="0"/>
        </w:rPr>
        <w:t>What you should see</w:t>
      </w:r>
    </w:p>
    <w:p>
      <w:pPr>
        <w:pStyle w:val="ListBullet"/>
        <w:spacing w:after="60"/>
        <w:ind w:left="605"/>
      </w:pPr>
      <w:r>
        <w:rPr>
          <w:b w:val="0"/>
          <w:i w:val="0"/>
        </w:rPr>
        <w:t xml:space="preserve">The deal appears in </w:t>
      </w:r>
      <w:r>
        <w:rPr>
          <w:b/>
          <w:i w:val="0"/>
        </w:rPr>
        <w:t>Deal Blotter</w:t>
      </w:r>
      <w:r>
        <w:rPr>
          <w:b w:val="0"/>
          <w:i w:val="0"/>
        </w:rPr>
        <w:t xml:space="preserve"> with a </w:t>
      </w:r>
      <w:r>
        <w:rPr>
          <w:b/>
          <w:i w:val="0"/>
        </w:rPr>
        <w:t>Stage</w:t>
      </w:r>
      <w:r>
        <w:rPr>
          <w:b w:val="0"/>
          <w:i w:val="0"/>
        </w:rPr>
        <w:t xml:space="preserve"> of </w:t>
      </w:r>
      <w:r>
        <w:rPr>
          <w:b/>
          <w:i w:val="0"/>
        </w:rPr>
        <w:t>awaiting approval</w:t>
      </w:r>
      <w:r>
        <w:rPr>
          <w:b w:val="0"/>
          <w:i w:val="0"/>
        </w:rPr>
        <w:t>.</w:t>
      </w:r>
    </w:p>
    <w:p>
      <w:pPr>
        <w:pStyle w:val="ListBullet"/>
        <w:spacing w:after="60"/>
        <w:ind w:left="605"/>
      </w:pPr>
      <w:r>
        <w:rPr>
          <w:b/>
          <w:i w:val="0"/>
        </w:rPr>
        <w:t>Approved Counterparties</w:t>
      </w:r>
      <w:r>
        <w:rPr>
          <w:b w:val="0"/>
          <w:i w:val="0"/>
        </w:rPr>
        <w:t xml:space="preserve"> updates: Northern Group is now at its ceiling.</w:t>
      </w:r>
    </w:p>
    <w:p>
      <w:pPr>
        <w:pStyle w:val="Heading3"/>
      </w:pPr>
      <w:r>
        <w:rPr>
          <w:b w:val="0"/>
          <w:i w:val="0"/>
        </w:rPr>
        <w:t>Why this matters</w:t>
      </w:r>
    </w:p>
    <w:p>
      <w:pPr>
        <w:spacing w:after="240"/>
        <w:ind w:left="432"/>
      </w:pPr>
      <w:r>
        <w:rPr>
          <w:i/>
          <w:color w:val="5A5A5A"/>
        </w:rPr>
        <w:t>The resize is a decision the client makes, not one the system makes for them. The button fills the ticket in; it does not book anything. What the system will not do is let the original size through.</w:t>
      </w:r>
    </w:p>
    <w:p>
      <w:pPr>
        <w:pStyle w:val="Heading2"/>
      </w:pPr>
      <w:r>
        <w:rPr>
          <w:b w:val="0"/>
          <w:i w:val="0"/>
        </w:rPr>
        <w:t>2.4  The tenor band — a short leash on a weaker name</w:t>
      </w:r>
    </w:p>
    <w:p>
      <w:pPr>
        <w:spacing w:after="80"/>
        <w:ind w:left="432"/>
      </w:pPr>
      <w:r>
        <w:rPr>
          <w:b/>
        </w:rPr>
        <w:t xml:space="preserve">1.  </w:t>
      </w:r>
      <w:r>
        <w:rPr>
          <w:b w:val="0"/>
          <w:i w:val="0"/>
        </w:rPr>
        <w:t xml:space="preserve">Set </w:t>
      </w:r>
      <w:r>
        <w:rPr>
          <w:b/>
          <w:i w:val="0"/>
        </w:rPr>
        <w:t>Choose a counterparty</w:t>
      </w:r>
      <w:r>
        <w:rPr>
          <w:b w:val="0"/>
          <w:i w:val="0"/>
        </w:rPr>
        <w:t xml:space="preserve"> to </w:t>
      </w:r>
      <w:r>
        <w:rPr>
          <w:b/>
          <w:i w:val="0"/>
        </w:rPr>
        <w:t>Harbour and Vale Bank</w:t>
      </w:r>
      <w:r>
        <w:rPr>
          <w:b w:val="0"/>
          <w:i w:val="0"/>
        </w:rPr>
        <w:t>.</w:t>
      </w:r>
    </w:p>
    <w:p>
      <w:pPr>
        <w:spacing w:after="80"/>
        <w:ind w:left="432"/>
      </w:pPr>
      <w:r>
        <w:rPr>
          <w:b/>
        </w:rPr>
        <w:t xml:space="preserve">2.  </w:t>
      </w:r>
      <w:r>
        <w:rPr>
          <w:b w:val="0"/>
          <w:i w:val="0"/>
        </w:rPr>
        <w:t xml:space="preserve">Set </w:t>
      </w:r>
      <w:r>
        <w:rPr>
          <w:b/>
          <w:i w:val="0"/>
        </w:rPr>
        <w:t>Principal (£)</w:t>
      </w:r>
      <w:r>
        <w:rPr>
          <w:b w:val="0"/>
          <w:i w:val="0"/>
        </w:rPr>
        <w:t xml:space="preserve"> to </w:t>
      </w:r>
      <w:r>
        <w:rPr>
          <w:rFonts w:ascii="Consolas" w:hAnsi="Consolas"/>
          <w:b w:val="0"/>
          <w:i w:val="0"/>
          <w:sz w:val="19"/>
        </w:rPr>
        <w:t>1000000</w:t>
      </w:r>
      <w:r>
        <w:rPr>
          <w:b w:val="0"/>
          <w:i w:val="0"/>
        </w:rPr>
        <w:t xml:space="preserve"> and </w:t>
      </w:r>
      <w:r>
        <w:rPr>
          <w:b/>
          <w:i w:val="0"/>
        </w:rPr>
        <w:t>Term (months)</w:t>
      </w:r>
      <w:r>
        <w:rPr>
          <w:b w:val="0"/>
          <w:i w:val="0"/>
        </w:rPr>
        <w:t xml:space="preserve"> to </w:t>
      </w:r>
      <w:r>
        <w:rPr>
          <w:rFonts w:ascii="Consolas" w:hAnsi="Consolas"/>
          <w:b w:val="0"/>
          <w:i w:val="0"/>
          <w:sz w:val="19"/>
        </w:rPr>
        <w:t>6</w:t>
      </w:r>
      <w:r>
        <w:rPr>
          <w:b w:val="0"/>
          <w:i w:val="0"/>
        </w:rPr>
        <w:t>.</w:t>
      </w:r>
    </w:p>
    <w:p>
      <w:pPr>
        <w:pStyle w:val="Heading3"/>
      </w:pPr>
      <w:r>
        <w:rPr>
          <w:b w:val="0"/>
          <w:i w:val="0"/>
        </w:rPr>
        <w:t>What you should see</w:t>
      </w:r>
    </w:p>
    <w:p>
      <w:pPr>
        <w:pStyle w:val="ListBullet"/>
        <w:spacing w:after="60"/>
        <w:ind w:left="605"/>
      </w:pPr>
      <w:r>
        <w:rPr>
          <w:b w:val="0"/>
          <w:i w:val="0"/>
        </w:rPr>
        <w:t>Both limit checks pass — £1,300,000 against £8,000,000.</w:t>
      </w:r>
    </w:p>
    <w:p>
      <w:pPr>
        <w:pStyle w:val="ListBullet"/>
        <w:spacing w:after="60"/>
        <w:ind w:left="605"/>
      </w:pPr>
      <w:r>
        <w:rPr>
          <w:b/>
          <w:i w:val="0"/>
        </w:rPr>
        <w:t>TENOR_BAND</w:t>
      </w:r>
      <w:r>
        <w:rPr>
          <w:b w:val="0"/>
          <w:i w:val="0"/>
        </w:rPr>
        <w:t xml:space="preserve"> fails: </w:t>
      </w:r>
      <w:r>
        <w:rPr>
          <w:b w:val="0"/>
          <w:i/>
        </w:rPr>
        <w:t>“6 months, against a maximum of 3 in force at BBB+”</w:t>
      </w:r>
      <w:r>
        <w:rPr>
          <w:b w:val="0"/>
          <w:i w:val="0"/>
        </w:rPr>
        <w:t>.</w:t>
      </w:r>
    </w:p>
    <w:p>
      <w:pPr>
        <w:pStyle w:val="ListBullet"/>
        <w:spacing w:after="60"/>
        <w:ind w:left="605"/>
      </w:pPr>
      <w:r>
        <w:rPr>
          <w:b w:val="0"/>
          <w:i w:val="0"/>
        </w:rPr>
        <w:t>No resize is offered, because no amount of money fixes a term.</w:t>
      </w:r>
    </w:p>
    <w:p>
      <w:pPr>
        <w:pStyle w:val="Heading3"/>
      </w:pPr>
      <w:r>
        <w:rPr>
          <w:b w:val="0"/>
          <w:i w:val="0"/>
        </w:rPr>
        <w:t>Why this matters</w:t>
      </w:r>
    </w:p>
    <w:p>
      <w:pPr>
        <w:spacing w:after="240"/>
        <w:ind w:left="432"/>
      </w:pPr>
      <w:r>
        <w:rPr>
          <w:i/>
          <w:color w:val="5A5A5A"/>
        </w:rPr>
        <w:t>Amount and duration are separate risks. Lending a modest sum to a weaker name for six months can be worse than lending a large sum for one week, and a system that checks only the amount misses it entirely. Note that the failure names the rating: the band is a consequence of the credit view, not an arbitrary number.</w:t>
      </w:r>
    </w:p>
    <w:p>
      <w:pPr>
        <w:pStyle w:val="Heading2"/>
      </w:pPr>
      <w:r>
        <w:rPr>
          <w:b w:val="0"/>
          <w:i w:val="0"/>
        </w:rPr>
        <w:t>2.5  The queue</w:t>
      </w:r>
    </w:p>
    <w:p>
      <w:pPr>
        <w:spacing w:after="80"/>
        <w:ind w:left="432"/>
      </w:pPr>
      <w:r>
        <w:rPr>
          <w:b/>
        </w:rPr>
        <w:t xml:space="preserve">1.  </w:t>
      </w:r>
      <w:r>
        <w:rPr>
          <w:b w:val="0"/>
          <w:i w:val="0"/>
        </w:rPr>
        <w:t xml:space="preserve">With the failing Harbour deal still in the ticket, click </w:t>
      </w:r>
      <w:r>
        <w:rPr>
          <w:b/>
          <w:i w:val="0"/>
        </w:rPr>
        <w:t>Record deal</w:t>
      </w:r>
      <w:r>
        <w:rPr>
          <w:b w:val="0"/>
          <w:i w:val="0"/>
        </w:rPr>
        <w:t>.</w:t>
      </w:r>
    </w:p>
    <w:p>
      <w:pPr>
        <w:spacing w:after="80"/>
        <w:ind w:left="432"/>
      </w:pPr>
      <w:r>
        <w:rPr>
          <w:b/>
        </w:rPr>
        <w:t xml:space="preserve">2.  </w:t>
      </w:r>
      <w:r>
        <w:rPr>
          <w:b w:val="0"/>
          <w:i w:val="0"/>
        </w:rPr>
        <w:t xml:space="preserve">Open </w:t>
      </w:r>
      <w:r>
        <w:rPr>
          <w:b/>
          <w:i w:val="0"/>
        </w:rPr>
        <w:t>Queue</w:t>
      </w:r>
      <w:r>
        <w:rPr>
          <w:b w:val="0"/>
          <w:i w:val="0"/>
        </w:rPr>
        <w:t xml:space="preserve"> on the strip.</w:t>
      </w:r>
    </w:p>
    <w:p>
      <w:pPr>
        <w:pStyle w:val="Heading3"/>
      </w:pPr>
      <w:r>
        <w:rPr>
          <w:b w:val="0"/>
          <w:i w:val="0"/>
        </w:rPr>
        <w:t>What you should see</w:t>
      </w:r>
    </w:p>
    <w:p>
      <w:pPr>
        <w:pStyle w:val="ListBullet"/>
        <w:spacing w:after="60"/>
        <w:ind w:left="605"/>
      </w:pPr>
      <w:r>
        <w:rPr>
          <w:b w:val="0"/>
          <w:i w:val="0"/>
        </w:rPr>
        <w:t xml:space="preserve">One item, headed </w:t>
      </w:r>
      <w:r>
        <w:rPr>
          <w:b/>
          <w:i w:val="0"/>
        </w:rPr>
        <w:t>LIMIT FAILURE · TENOR BAND</w:t>
      </w:r>
      <w:r>
        <w:rPr>
          <w:b w:val="0"/>
          <w:i w:val="0"/>
        </w:rPr>
        <w:t>.</w:t>
      </w:r>
    </w:p>
    <w:p>
      <w:pPr>
        <w:pStyle w:val="ListBullet"/>
        <w:spacing w:after="60"/>
        <w:ind w:left="605"/>
      </w:pPr>
      <w:r>
        <w:rPr>
          <w:b w:val="0"/>
          <w:i w:val="0"/>
        </w:rPr>
        <w:t xml:space="preserve">Four resolutions: </w:t>
      </w:r>
      <w:r>
        <w:rPr>
          <w:b/>
          <w:i w:val="0"/>
        </w:rPr>
        <w:t>Resized</w:t>
      </w:r>
      <w:r>
        <w:rPr>
          <w:b w:val="0"/>
          <w:i w:val="0"/>
        </w:rPr>
        <w:t xml:space="preserve">, </w:t>
      </w:r>
      <w:r>
        <w:rPr>
          <w:b/>
          <w:i w:val="0"/>
        </w:rPr>
        <w:t>Rerouted</w:t>
      </w:r>
      <w:r>
        <w:rPr>
          <w:b w:val="0"/>
          <w:i w:val="0"/>
        </w:rPr>
        <w:t xml:space="preserve">, </w:t>
      </w:r>
      <w:r>
        <w:rPr>
          <w:b/>
          <w:i w:val="0"/>
        </w:rPr>
        <w:t>Override</w:t>
      </w:r>
      <w:r>
        <w:rPr>
          <w:b w:val="0"/>
          <w:i w:val="0"/>
        </w:rPr>
        <w:t xml:space="preserve"> and </w:t>
      </w:r>
      <w:r>
        <w:rPr>
          <w:b/>
          <w:i w:val="0"/>
        </w:rPr>
        <w:t>Cancelled</w:t>
      </w:r>
      <w:r>
        <w:rPr>
          <w:b w:val="0"/>
          <w:i w:val="0"/>
        </w:rPr>
        <w:t>.</w:t>
      </w:r>
    </w:p>
    <w:p>
      <w:pPr>
        <w:pStyle w:val="ListBullet"/>
        <w:spacing w:after="60"/>
        <w:ind w:left="605"/>
      </w:pPr>
      <w:r>
        <w:rPr>
          <w:b/>
          <w:i w:val="0"/>
        </w:rPr>
        <w:t>Override</w:t>
      </w:r>
      <w:r>
        <w:rPr>
          <w:b w:val="0"/>
          <w:i w:val="0"/>
        </w:rPr>
        <w:t xml:space="preserve"> is hidden, because the policy in force is a hard block. There is nothing to override.</w:t>
      </w:r>
    </w:p>
    <w:p>
      <w:pPr>
        <w:pStyle w:val="ListBullet"/>
        <w:spacing w:after="60"/>
        <w:ind w:left="605"/>
      </w:pPr>
      <w:r>
        <w:rPr>
          <w:b w:val="0"/>
          <w:i w:val="0"/>
        </w:rPr>
        <w:t xml:space="preserve">The strip shows </w:t>
      </w:r>
      <w:r>
        <w:rPr>
          <w:b/>
          <w:i w:val="0"/>
        </w:rPr>
        <w:t>Queue 1</w:t>
      </w:r>
      <w:r>
        <w:rPr>
          <w:b w:val="0"/>
          <w:i w:val="0"/>
        </w:rPr>
        <w:t>.</w:t>
      </w:r>
    </w:p>
    <w:p>
      <w:pPr>
        <w:pStyle w:val="Heading3"/>
      </w:pPr>
      <w:r>
        <w:rPr>
          <w:b w:val="0"/>
          <w:i w:val="0"/>
        </w:rPr>
        <w:t>Why this matters</w:t>
      </w:r>
    </w:p>
    <w:p>
      <w:pPr>
        <w:spacing w:after="240"/>
        <w:ind w:left="432"/>
      </w:pPr>
      <w:r>
        <w:rPr>
          <w:i/>
          <w:color w:val="5A5A5A"/>
        </w:rPr>
        <w:t>A blocked deal is not discarded. It becomes a piece of work with a reason code attached, because the interesting question afterwards is not how many deals were blocked but what was done about each one. Note there is one queue, not two: a confirmation mismatch in section 7 lands in the same place with a different cause.</w:t>
      </w:r>
    </w:p>
    <w:p>
      <w:pPr>
        <w:spacing w:after="80"/>
        <w:ind w:left="432"/>
      </w:pPr>
      <w:r>
        <w:rPr>
          <w:b/>
        </w:rPr>
        <w:t xml:space="preserve">1.  </w:t>
      </w:r>
      <w:r>
        <w:rPr>
          <w:b w:val="0"/>
          <w:i w:val="0"/>
        </w:rPr>
        <w:t xml:space="preserve">Resolve the item as </w:t>
      </w:r>
      <w:r>
        <w:rPr>
          <w:b/>
          <w:i w:val="0"/>
        </w:rPr>
        <w:t>Cancelled</w:t>
      </w:r>
      <w:r>
        <w:rPr>
          <w:b w:val="0"/>
          <w:i w:val="0"/>
        </w:rPr>
        <w:t xml:space="preserve"> before moving on.</w:t>
      </w:r>
    </w:p>
    <w:p>
      <w:r>
        <w:br w:type="page"/>
      </w:r>
    </w:p>
    <w:p>
      <w:pPr>
        <w:pStyle w:val="Heading1"/>
      </w:pPr>
      <w:r>
        <w:rPr>
          <w:b w:val="0"/>
          <w:i w:val="0"/>
        </w:rPr>
        <w:t>3.  Exposure</w:t>
      </w:r>
    </w:p>
    <w:p>
      <w:pPr>
        <w:spacing w:after="80"/>
        <w:ind w:left="432"/>
      </w:pPr>
      <w:r>
        <w:rPr>
          <w:b/>
        </w:rPr>
        <w:t xml:space="preserve">1.  </w:t>
      </w:r>
      <w:r>
        <w:rPr>
          <w:b w:val="0"/>
          <w:i w:val="0"/>
        </w:rPr>
        <w:t xml:space="preserve">Open </w:t>
      </w:r>
      <w:r>
        <w:rPr>
          <w:b/>
          <w:i w:val="0"/>
        </w:rPr>
        <w:t>Exposure</w:t>
      </w:r>
      <w:r>
        <w:rPr>
          <w:b w:val="0"/>
          <w:i w:val="0"/>
        </w:rPr>
        <w:t xml:space="preserve"> on the strip.</w:t>
      </w:r>
    </w:p>
    <w:p>
      <w:pPr>
        <w:pStyle w:val="Heading3"/>
      </w:pPr>
      <w:r>
        <w:rPr>
          <w:b w:val="0"/>
          <w:i w:val="0"/>
        </w:rPr>
        <w:t>What you should see</w:t>
      </w:r>
    </w:p>
    <w:p>
      <w:pPr>
        <w:pStyle w:val="ListBullet"/>
        <w:spacing w:after="60"/>
        <w:ind w:left="605"/>
      </w:pPr>
      <w:r>
        <w:rPr>
          <w:b w:val="0"/>
          <w:i w:val="0"/>
        </w:rPr>
        <w:t xml:space="preserve">Two tabs: </w:t>
      </w:r>
      <w:r>
        <w:rPr>
          <w:b/>
          <w:i w:val="0"/>
        </w:rPr>
        <w:t>Counterparty exposure</w:t>
      </w:r>
      <w:r>
        <w:rPr>
          <w:b w:val="0"/>
          <w:i w:val="0"/>
        </w:rPr>
        <w:t xml:space="preserve"> and </w:t>
      </w:r>
      <w:r>
        <w:rPr>
          <w:b/>
          <w:i w:val="0"/>
        </w:rPr>
        <w:t>Currency exposure</w:t>
      </w:r>
      <w:r>
        <w:rPr>
          <w:b w:val="0"/>
          <w:i w:val="0"/>
        </w:rPr>
        <w:t>.</w:t>
      </w:r>
    </w:p>
    <w:p>
      <w:pPr>
        <w:pStyle w:val="ListBullet"/>
        <w:spacing w:after="60"/>
        <w:ind w:left="605"/>
      </w:pPr>
      <w:r>
        <w:rPr>
          <w:b w:val="0"/>
          <w:i w:val="0"/>
        </w:rPr>
        <w:t xml:space="preserve">On the first: </w:t>
      </w:r>
      <w:r>
        <w:rPr>
          <w:b/>
          <w:i w:val="0"/>
        </w:rPr>
        <w:t>By credit group</w:t>
      </w:r>
      <w:r>
        <w:rPr>
          <w:b w:val="0"/>
          <w:i w:val="0"/>
        </w:rPr>
        <w:t xml:space="preserve">, </w:t>
      </w:r>
      <w:r>
        <w:rPr>
          <w:b/>
          <w:i w:val="0"/>
        </w:rPr>
        <w:t>By maturity bucket</w:t>
      </w:r>
      <w:r>
        <w:rPr>
          <w:b w:val="0"/>
          <w:i w:val="0"/>
        </w:rPr>
        <w:t xml:space="preserve">, </w:t>
      </w:r>
      <w:r>
        <w:rPr>
          <w:b/>
          <w:i w:val="0"/>
        </w:rPr>
        <w:t>By rating band</w:t>
      </w:r>
      <w:r>
        <w:rPr>
          <w:b w:val="0"/>
          <w:i w:val="0"/>
        </w:rPr>
        <w:t xml:space="preserve">, and </w:t>
      </w:r>
      <w:r>
        <w:rPr>
          <w:b/>
          <w:i w:val="0"/>
        </w:rPr>
        <w:t>Portfolio total</w:t>
      </w:r>
      <w:r>
        <w:rPr>
          <w:b w:val="0"/>
          <w:i w:val="0"/>
        </w:rPr>
        <w:t>.</w:t>
      </w:r>
    </w:p>
    <w:p>
      <w:pPr>
        <w:pStyle w:val="ListBullet"/>
        <w:spacing w:after="60"/>
        <w:ind w:left="605"/>
      </w:pPr>
      <w:r>
        <w:rPr>
          <w:b w:val="0"/>
          <w:i w:val="0"/>
        </w:rPr>
        <w:t>A dial showing each group's share of the portfolio against the 50 per cent cap.</w:t>
      </w:r>
    </w:p>
    <w:p>
      <w:pPr>
        <w:pStyle w:val="Heading3"/>
      </w:pPr>
      <w:r>
        <w:rPr>
          <w:b w:val="0"/>
          <w:i w:val="0"/>
        </w:rPr>
        <w:t>Why this matters</w:t>
      </w:r>
    </w:p>
    <w:p>
      <w:pPr>
        <w:spacing w:after="240"/>
        <w:ind w:left="432"/>
      </w:pPr>
      <w:r>
        <w:rPr>
          <w:i/>
          <w:color w:val="5A5A5A"/>
        </w:rPr>
        <w:t>The same book, cut four ways. A concentration that is invisible by counterparty is obvious by rating band, and a refinancing cliff is only visible by maturity. The currency tab is section 9; the two exposures are deliberately kept in separate tabs and are never added together.</w:t>
      </w:r>
    </w:p>
    <w:p>
      <w:pPr>
        <w:spacing w:after="80"/>
        <w:ind w:left="432"/>
      </w:pPr>
      <w:r>
        <w:rPr>
          <w:b/>
        </w:rPr>
        <w:t xml:space="preserve">1.  </w:t>
      </w:r>
      <w:r>
        <w:rPr>
          <w:b w:val="0"/>
          <w:i w:val="0"/>
        </w:rPr>
        <w:t xml:space="preserve">Click a row in </w:t>
      </w:r>
      <w:r>
        <w:rPr>
          <w:b/>
          <w:i w:val="0"/>
        </w:rPr>
        <w:t>Deal Blotter</w:t>
      </w:r>
      <w:r>
        <w:rPr>
          <w:b w:val="0"/>
          <w:i w:val="0"/>
        </w:rPr>
        <w:t xml:space="preserve"> to open a deal.</w:t>
      </w:r>
    </w:p>
    <w:p>
      <w:pPr>
        <w:pStyle w:val="Heading3"/>
      </w:pPr>
      <w:r>
        <w:rPr>
          <w:b w:val="0"/>
          <w:i w:val="0"/>
        </w:rPr>
        <w:t>What you should see</w:t>
      </w:r>
    </w:p>
    <w:p>
      <w:pPr>
        <w:pStyle w:val="ListBullet"/>
        <w:spacing w:after="60"/>
        <w:ind w:left="605"/>
      </w:pPr>
      <w:r>
        <w:rPr>
          <w:b w:val="0"/>
          <w:i w:val="0"/>
        </w:rPr>
        <w:t xml:space="preserve">A panel with </w:t>
      </w:r>
      <w:r>
        <w:rPr>
          <w:b/>
          <w:i w:val="0"/>
        </w:rPr>
        <w:t>Lifecycle</w:t>
      </w:r>
      <w:r>
        <w:rPr>
          <w:b w:val="0"/>
          <w:i w:val="0"/>
        </w:rPr>
        <w:t xml:space="preserve"> — every step from execution to close, dated.</w:t>
      </w:r>
    </w:p>
    <w:p>
      <w:pPr>
        <w:pStyle w:val="ListBullet"/>
        <w:spacing w:after="60"/>
        <w:ind w:left="605"/>
      </w:pPr>
      <w:r>
        <w:rPr>
          <w:b w:val="0"/>
          <w:i w:val="0"/>
        </w:rPr>
        <w:t xml:space="preserve">Steps outside the system are marked </w:t>
      </w:r>
      <w:r>
        <w:rPr>
          <w:b/>
          <w:i w:val="0"/>
        </w:rPr>
        <w:t>OUTSIDE</w:t>
      </w:r>
      <w:r>
        <w:rPr>
          <w:b w:val="0"/>
          <w:i w:val="0"/>
        </w:rPr>
        <w:t xml:space="preserve">; steps handled by Oracle are marked </w:t>
      </w:r>
      <w:r>
        <w:rPr>
          <w:b/>
          <w:i w:val="0"/>
        </w:rPr>
        <w:t>ORACLE</w:t>
      </w:r>
      <w:r>
        <w:rPr>
          <w:b w:val="0"/>
          <w:i w:val="0"/>
        </w:rPr>
        <w:t>.</w:t>
      </w:r>
    </w:p>
    <w:p>
      <w:pPr>
        <w:pStyle w:val="ListBullet"/>
        <w:spacing w:after="60"/>
        <w:ind w:left="605"/>
      </w:pPr>
      <w:r>
        <w:rPr>
          <w:b w:val="0"/>
          <w:i w:val="0"/>
        </w:rPr>
        <w:t xml:space="preserve">A </w:t>
      </w:r>
      <w:r>
        <w:rPr>
          <w:b/>
          <w:i w:val="0"/>
        </w:rPr>
        <w:t>The checks it passed</w:t>
      </w:r>
      <w:r>
        <w:rPr>
          <w:b w:val="0"/>
          <w:i w:val="0"/>
        </w:rPr>
        <w:t xml:space="preserve"> section. Seeded deals say they predate the gate, which is why the seed is illustrative rather than evidence.</w:t>
      </w:r>
    </w:p>
    <w:p>
      <w:pPr>
        <w:pStyle w:val="Heading3"/>
      </w:pPr>
      <w:r>
        <w:rPr>
          <w:b w:val="0"/>
          <w:i w:val="0"/>
        </w:rPr>
        <w:t>Why this matters</w:t>
      </w:r>
    </w:p>
    <w:p>
      <w:pPr>
        <w:spacing w:after="240"/>
        <w:ind w:left="432"/>
      </w:pPr>
      <w:r>
        <w:rPr>
          <w:i/>
          <w:color w:val="5A5A5A"/>
        </w:rPr>
        <w:t>The boundary of the system is drawn on the screen rather than hidden. A reader can see at a glance which facts this system owns and which it is repeating from somewhere else.</w:t>
      </w:r>
    </w:p>
    <w:p>
      <w:r>
        <w:br w:type="page"/>
      </w:r>
    </w:p>
    <w:p>
      <w:pPr>
        <w:pStyle w:val="Heading1"/>
      </w:pPr>
      <w:r>
        <w:rPr>
          <w:b w:val="0"/>
          <w:i w:val="0"/>
        </w:rPr>
        <w:t>4.  Ratings, and what a downgrade does</w:t>
      </w:r>
    </w:p>
    <w:p>
      <w:pPr>
        <w:pStyle w:val="Heading2"/>
      </w:pPr>
      <w:r>
        <w:rPr>
          <w:b w:val="0"/>
          <w:i w:val="0"/>
        </w:rPr>
        <w:t>4.1  A downgrade re-tests the whole book</w:t>
      </w:r>
    </w:p>
    <w:p>
      <w:pPr>
        <w:spacing w:after="80"/>
        <w:ind w:left="432"/>
      </w:pPr>
      <w:r>
        <w:rPr>
          <w:b/>
        </w:rPr>
        <w:t xml:space="preserve">1.  </w:t>
      </w:r>
      <w:r>
        <w:rPr>
          <w:b w:val="0"/>
          <w:i w:val="0"/>
        </w:rPr>
        <w:t xml:space="preserve">Open </w:t>
      </w:r>
      <w:r>
        <w:rPr>
          <w:b/>
          <w:i w:val="0"/>
        </w:rPr>
        <w:t>Ratings &amp; Policy</w:t>
      </w:r>
      <w:r>
        <w:rPr>
          <w:b w:val="0"/>
          <w:i w:val="0"/>
        </w:rPr>
        <w:t xml:space="preserve"> on the strip.</w:t>
      </w:r>
    </w:p>
    <w:p>
      <w:pPr>
        <w:spacing w:after="80"/>
        <w:ind w:left="432"/>
      </w:pPr>
      <w:r>
        <w:rPr>
          <w:b/>
        </w:rPr>
        <w:t xml:space="preserve">2.  </w:t>
      </w:r>
      <w:r>
        <w:rPr>
          <w:b w:val="0"/>
          <w:i w:val="0"/>
        </w:rPr>
        <w:t xml:space="preserve">Under </w:t>
      </w:r>
      <w:r>
        <w:rPr>
          <w:b/>
          <w:i w:val="0"/>
        </w:rPr>
        <w:t>Record a rating action</w:t>
      </w:r>
      <w:r>
        <w:rPr>
          <w:b w:val="0"/>
          <w:i w:val="0"/>
        </w:rPr>
        <w:t xml:space="preserve">, set </w:t>
      </w:r>
      <w:r>
        <w:rPr>
          <w:b/>
          <w:i w:val="0"/>
        </w:rPr>
        <w:t>Choose a counterparty</w:t>
      </w:r>
      <w:r>
        <w:rPr>
          <w:b w:val="0"/>
          <w:i w:val="0"/>
        </w:rPr>
        <w:t xml:space="preserve"> to </w:t>
      </w:r>
      <w:r>
        <w:rPr>
          <w:b/>
          <w:i w:val="0"/>
        </w:rPr>
        <w:t>Caledonia Trust Bank</w:t>
      </w:r>
      <w:r>
        <w:rPr>
          <w:b w:val="0"/>
          <w:i w:val="0"/>
        </w:rPr>
        <w:t>.</w:t>
      </w:r>
    </w:p>
    <w:p>
      <w:pPr>
        <w:spacing w:after="80"/>
        <w:ind w:left="432"/>
      </w:pPr>
      <w:r>
        <w:rPr>
          <w:b/>
        </w:rPr>
        <w:t xml:space="preserve">3.  </w:t>
      </w:r>
      <w:r>
        <w:rPr>
          <w:b w:val="0"/>
          <w:i w:val="0"/>
        </w:rPr>
        <w:t xml:space="preserve">Set </w:t>
      </w:r>
      <w:r>
        <w:rPr>
          <w:b/>
          <w:i w:val="0"/>
        </w:rPr>
        <w:t>Choose a rating</w:t>
      </w:r>
      <w:r>
        <w:rPr>
          <w:b w:val="0"/>
          <w:i w:val="0"/>
        </w:rPr>
        <w:t xml:space="preserve"> to </w:t>
      </w:r>
      <w:r>
        <w:rPr>
          <w:b/>
          <w:i w:val="0"/>
        </w:rPr>
        <w:t>BBB</w:t>
      </w:r>
      <w:r>
        <w:rPr>
          <w:b w:val="0"/>
          <w:i w:val="0"/>
        </w:rPr>
        <w:t>.</w:t>
      </w:r>
    </w:p>
    <w:p>
      <w:pPr>
        <w:spacing w:after="80"/>
        <w:ind w:left="432"/>
      </w:pPr>
      <w:r>
        <w:rPr>
          <w:b/>
        </w:rPr>
        <w:t xml:space="preserve">4.  </w:t>
      </w:r>
      <w:r>
        <w:rPr>
          <w:b w:val="0"/>
          <w:i w:val="0"/>
        </w:rPr>
        <w:t xml:space="preserve">Click </w:t>
      </w:r>
      <w:r>
        <w:rPr>
          <w:b/>
          <w:i w:val="0"/>
        </w:rPr>
        <w:t>Apply, and re-test the book</w:t>
      </w:r>
      <w:r>
        <w:rPr>
          <w:b w:val="0"/>
          <w:i w:val="0"/>
        </w:rPr>
        <w:t>.</w:t>
      </w:r>
    </w:p>
    <w:p>
      <w:pPr>
        <w:pStyle w:val="Heading3"/>
      </w:pPr>
      <w:r>
        <w:rPr>
          <w:b w:val="0"/>
          <w:i w:val="0"/>
        </w:rPr>
        <w:t>What you should see</w:t>
      </w:r>
    </w:p>
    <w:p>
      <w:pPr>
        <w:pStyle w:val="ListBullet"/>
        <w:spacing w:after="60"/>
        <w:ind w:left="605"/>
      </w:pPr>
      <w:r>
        <w:rPr>
          <w:b w:val="0"/>
          <w:i w:val="0"/>
        </w:rPr>
        <w:t>Caledonia's limit tightens automatically to the BBB band.</w:t>
      </w:r>
    </w:p>
    <w:p>
      <w:pPr>
        <w:pStyle w:val="ListBullet"/>
        <w:spacing w:after="60"/>
        <w:ind w:left="605"/>
      </w:pPr>
      <w:r>
        <w:rPr>
          <w:b w:val="0"/>
          <w:i w:val="0"/>
        </w:rPr>
        <w:t xml:space="preserve">Its existing £20,000,000 deposit is now outside that limit, and the strip shows </w:t>
      </w:r>
      <w:r>
        <w:rPr>
          <w:b/>
          <w:i w:val="0"/>
        </w:rPr>
        <w:t>Breaches 1</w:t>
      </w:r>
      <w:r>
        <w:rPr>
          <w:b w:val="0"/>
          <w:i w:val="0"/>
        </w:rPr>
        <w:t>.</w:t>
      </w:r>
    </w:p>
    <w:p>
      <w:pPr>
        <w:pStyle w:val="ListBullet"/>
        <w:spacing w:after="60"/>
        <w:ind w:left="605"/>
      </w:pPr>
      <w:r>
        <w:rPr>
          <w:b w:val="0"/>
          <w:i w:val="0"/>
        </w:rPr>
        <w:t xml:space="preserve">Open </w:t>
      </w:r>
      <w:r>
        <w:rPr>
          <w:b/>
          <w:i w:val="0"/>
        </w:rPr>
        <w:t>Breaches</w:t>
      </w:r>
      <w:r>
        <w:rPr>
          <w:b w:val="0"/>
          <w:i w:val="0"/>
        </w:rPr>
        <w:t xml:space="preserve"> to see it named, with the old and new positions.</w:t>
      </w:r>
    </w:p>
    <w:p>
      <w:pPr>
        <w:pStyle w:val="ListBullet"/>
        <w:spacing w:after="60"/>
        <w:ind w:left="605"/>
      </w:pPr>
      <w:r>
        <w:rPr>
          <w:b w:val="0"/>
          <w:i w:val="0"/>
        </w:rPr>
        <w:t xml:space="preserve">The blotter row carries a </w:t>
      </w:r>
      <w:r>
        <w:rPr>
          <w:b/>
          <w:i w:val="0"/>
        </w:rPr>
        <w:t>breach</w:t>
      </w:r>
      <w:r>
        <w:rPr>
          <w:b w:val="0"/>
          <w:i w:val="0"/>
        </w:rPr>
        <w:t xml:space="preserve"> flag.</w:t>
      </w:r>
    </w:p>
    <w:p>
      <w:pPr>
        <w:pStyle w:val="Heading3"/>
      </w:pPr>
      <w:r>
        <w:rPr>
          <w:b w:val="0"/>
          <w:i w:val="0"/>
        </w:rPr>
        <w:t>Why this matters</w:t>
      </w:r>
    </w:p>
    <w:p>
      <w:pPr>
        <w:spacing w:after="240"/>
        <w:ind w:left="432"/>
      </w:pPr>
      <w:r>
        <w:rPr>
          <w:i/>
          <w:color w:val="5A5A5A"/>
        </w:rPr>
        <w:t>Nothing about the deal changed. The world changed, and the book has to be re-read against it. A system that checks only at the moment of booking is blind from that moment onwards, which is exactly when credit risk actually arrives. Note the breach is raised rather than the deal being unwound: the position is real and someone has to decide what to do about it.</w:t>
      </w:r>
    </w:p>
    <w:p>
      <w:pPr>
        <w:pStyle w:val="Heading2"/>
      </w:pPr>
      <w:r>
        <w:rPr>
          <w:b w:val="0"/>
          <w:i w:val="0"/>
        </w:rPr>
        <w:t>4.2  An upgrade does not quietly widen a limit</w:t>
      </w:r>
    </w:p>
    <w:p>
      <w:pPr>
        <w:spacing w:after="80"/>
        <w:ind w:left="432"/>
      </w:pPr>
      <w:r>
        <w:rPr>
          <w:b/>
        </w:rPr>
        <w:t xml:space="preserve">1.  </w:t>
      </w:r>
      <w:r>
        <w:rPr>
          <w:b w:val="0"/>
          <w:i w:val="0"/>
        </w:rPr>
        <w:t xml:space="preserve">Record another rating action for </w:t>
      </w:r>
      <w:r>
        <w:rPr>
          <w:b/>
          <w:i w:val="0"/>
        </w:rPr>
        <w:t>Caledonia Trust Bank</w:t>
      </w:r>
      <w:r>
        <w:rPr>
          <w:b w:val="0"/>
          <w:i w:val="0"/>
        </w:rPr>
        <w:t xml:space="preserve">, this time to </w:t>
      </w:r>
      <w:r>
        <w:rPr>
          <w:b/>
          <w:i w:val="0"/>
        </w:rPr>
        <w:t>AAA</w:t>
      </w:r>
      <w:r>
        <w:rPr>
          <w:b w:val="0"/>
          <w:i w:val="0"/>
        </w:rPr>
        <w:t>.</w:t>
      </w:r>
    </w:p>
    <w:p>
      <w:pPr>
        <w:pStyle w:val="Heading3"/>
      </w:pPr>
      <w:r>
        <w:rPr>
          <w:b w:val="0"/>
          <w:i w:val="0"/>
        </w:rPr>
        <w:t>What you should see</w:t>
      </w:r>
    </w:p>
    <w:p>
      <w:pPr>
        <w:pStyle w:val="ListBullet"/>
        <w:spacing w:after="60"/>
        <w:ind w:left="605"/>
      </w:pPr>
      <w:r>
        <w:rPr>
          <w:b w:val="0"/>
          <w:i w:val="0"/>
        </w:rPr>
        <w:t>The breach clears, because the position is inside the band again.</w:t>
      </w:r>
    </w:p>
    <w:p>
      <w:pPr>
        <w:pStyle w:val="ListBullet"/>
        <w:spacing w:after="60"/>
        <w:ind w:left="605"/>
      </w:pPr>
      <w:r>
        <w:rPr>
          <w:b w:val="0"/>
          <w:i w:val="0"/>
        </w:rPr>
        <w:t xml:space="preserve">The limit does </w:t>
      </w:r>
      <w:r>
        <w:rPr>
          <w:b/>
          <w:i/>
        </w:rPr>
        <w:t>not</w:t>
      </w:r>
      <w:r>
        <w:rPr>
          <w:b w:val="0"/>
          <w:i w:val="0"/>
        </w:rPr>
        <w:t xml:space="preserve"> jump to the AAA maximum. It returns to what a person approved.</w:t>
      </w:r>
    </w:p>
    <w:p>
      <w:pPr>
        <w:pStyle w:val="Heading3"/>
      </w:pPr>
      <w:r>
        <w:rPr>
          <w:b w:val="0"/>
          <w:i w:val="0"/>
        </w:rPr>
        <w:t>Why this matters</w:t>
      </w:r>
    </w:p>
    <w:p>
      <w:pPr>
        <w:spacing w:after="240"/>
        <w:ind w:left="432"/>
      </w:pPr>
      <w:r>
        <w:rPr>
          <w:i/>
          <w:color w:val="5A5A5A"/>
        </w:rPr>
        <w:t>This one is easy to get wrong, and getting it wrong is expensive. If a rating upgrade automatically raised the limit, a rating agency would effectively hold the pen on your credit appetite. Tightening on a downgrade is prudence and can be automatic. Widening is a decision, and a person has to make it.</w:t>
      </w:r>
    </w:p>
    <w:p>
      <w:pPr>
        <w:spacing w:after="80"/>
        <w:ind w:left="432"/>
      </w:pPr>
      <w:r>
        <w:rPr>
          <w:b/>
        </w:rPr>
        <w:t xml:space="preserve">1.  </w:t>
      </w:r>
      <w:r>
        <w:rPr>
          <w:b w:val="0"/>
          <w:i w:val="0"/>
        </w:rPr>
        <w:t xml:space="preserve">Click </w:t>
      </w:r>
      <w:r>
        <w:rPr>
          <w:b/>
          <w:i w:val="0"/>
        </w:rPr>
        <w:t>Reset</w:t>
      </w:r>
      <w:r>
        <w:rPr>
          <w:b w:val="0"/>
          <w:i w:val="0"/>
        </w:rPr>
        <w:t xml:space="preserve"> in the header before the next section.</w:t>
      </w:r>
    </w:p>
    <w:p>
      <w:r>
        <w:br w:type="page"/>
      </w:r>
    </w:p>
    <w:p>
      <w:pPr>
        <w:pStyle w:val="Heading1"/>
      </w:pPr>
      <w:r>
        <w:rPr>
          <w:b w:val="0"/>
          <w:i w:val="0"/>
        </w:rPr>
        <w:t>5.  Who may sign what</w:t>
      </w:r>
    </w:p>
    <w:p>
      <w:r>
        <w:rPr>
          <w:b w:val="0"/>
          <w:i w:val="0"/>
        </w:rPr>
        <w:t>You are still signed in as A. Whitfield, an analyst, who may sign up to £1,000,000.</w:t>
      </w:r>
    </w:p>
    <w:p>
      <w:pPr>
        <w:spacing w:after="80"/>
        <w:ind w:left="432"/>
      </w:pPr>
      <w:r>
        <w:rPr>
          <w:b/>
        </w:rPr>
        <w:t xml:space="preserve">1.  </w:t>
      </w:r>
      <w:r>
        <w:rPr>
          <w:b w:val="0"/>
          <w:i w:val="0"/>
        </w:rPr>
        <w:t xml:space="preserve">Key a </w:t>
      </w:r>
      <w:r>
        <w:rPr>
          <w:b/>
          <w:i w:val="0"/>
        </w:rPr>
        <w:t>Deposit</w:t>
      </w:r>
      <w:r>
        <w:rPr>
          <w:b w:val="0"/>
          <w:i w:val="0"/>
        </w:rPr>
        <w:t xml:space="preserve"> with </w:t>
      </w:r>
      <w:r>
        <w:rPr>
          <w:b/>
          <w:i w:val="0"/>
        </w:rPr>
        <w:t>Meridian Bank plc</w:t>
      </w:r>
      <w:r>
        <w:rPr>
          <w:b w:val="0"/>
          <w:i w:val="0"/>
        </w:rPr>
        <w:t xml:space="preserve"> for </w:t>
      </w:r>
      <w:r>
        <w:rPr>
          <w:rFonts w:ascii="Consolas" w:hAnsi="Consolas"/>
          <w:b w:val="0"/>
          <w:i w:val="0"/>
          <w:sz w:val="19"/>
        </w:rPr>
        <w:t>5000000</w:t>
      </w:r>
      <w:r>
        <w:rPr>
          <w:b w:val="0"/>
          <w:i w:val="0"/>
        </w:rPr>
        <w:t xml:space="preserve"> over </w:t>
      </w:r>
      <w:r>
        <w:rPr>
          <w:rFonts w:ascii="Consolas" w:hAnsi="Consolas"/>
          <w:b w:val="0"/>
          <w:i w:val="0"/>
          <w:sz w:val="19"/>
        </w:rPr>
        <w:t>3</w:t>
      </w:r>
      <w:r>
        <w:rPr>
          <w:b w:val="0"/>
          <w:i w:val="0"/>
        </w:rPr>
        <w:t xml:space="preserve"> months at </w:t>
      </w:r>
      <w:r>
        <w:rPr>
          <w:rFonts w:ascii="Consolas" w:hAnsi="Consolas"/>
          <w:b w:val="0"/>
          <w:i w:val="0"/>
          <w:sz w:val="19"/>
        </w:rPr>
        <w:t>4.20</w:t>
      </w:r>
      <w:r>
        <w:rPr>
          <w:b w:val="0"/>
          <w:i w:val="0"/>
        </w:rPr>
        <w:t>.</w:t>
      </w:r>
    </w:p>
    <w:p>
      <w:pPr>
        <w:spacing w:after="80"/>
        <w:ind w:left="432"/>
      </w:pPr>
      <w:r>
        <w:rPr>
          <w:b/>
        </w:rPr>
        <w:t xml:space="preserve">2.  </w:t>
      </w:r>
      <w:r>
        <w:rPr>
          <w:b w:val="0"/>
          <w:i w:val="0"/>
        </w:rPr>
        <w:t xml:space="preserve">Confirm the verdict is </w:t>
      </w:r>
      <w:r>
        <w:rPr>
          <w:b/>
          <w:i w:val="0"/>
        </w:rPr>
        <w:t>PASS</w:t>
      </w:r>
      <w:r>
        <w:rPr>
          <w:b w:val="0"/>
          <w:i w:val="0"/>
        </w:rPr>
        <w:t xml:space="preserve">, then click </w:t>
      </w:r>
      <w:r>
        <w:rPr>
          <w:b/>
          <w:i w:val="0"/>
        </w:rPr>
        <w:t>Record deal</w:t>
      </w:r>
      <w:r>
        <w:rPr>
          <w:b w:val="0"/>
          <w:i w:val="0"/>
        </w:rPr>
        <w:t>.</w:t>
      </w:r>
    </w:p>
    <w:p>
      <w:pPr>
        <w:spacing w:after="80"/>
        <w:ind w:left="432"/>
      </w:pPr>
      <w:r>
        <w:rPr>
          <w:b/>
        </w:rPr>
        <w:t xml:space="preserve">3.  </w:t>
      </w:r>
      <w:r>
        <w:rPr>
          <w:b w:val="0"/>
          <w:i w:val="0"/>
        </w:rPr>
        <w:t xml:space="preserve">Open the new row in </w:t>
      </w:r>
      <w:r>
        <w:rPr>
          <w:b/>
          <w:i w:val="0"/>
        </w:rPr>
        <w:t>Deal Blotter</w:t>
      </w:r>
      <w:r>
        <w:rPr>
          <w:b w:val="0"/>
          <w:i w:val="0"/>
        </w:rPr>
        <w:t>.</w:t>
      </w:r>
    </w:p>
    <w:p>
      <w:pPr>
        <w:spacing w:after="80"/>
        <w:ind w:left="432"/>
      </w:pPr>
      <w:r>
        <w:rPr>
          <w:b/>
        </w:rPr>
        <w:t xml:space="preserve">4.  </w:t>
      </w:r>
      <w:r>
        <w:rPr>
          <w:b w:val="0"/>
          <w:i w:val="0"/>
        </w:rPr>
        <w:t>Try to approve it.</w:t>
      </w:r>
    </w:p>
    <w:p>
      <w:pPr>
        <w:pStyle w:val="Heading3"/>
      </w:pPr>
      <w:r>
        <w:rPr>
          <w:b w:val="0"/>
          <w:i w:val="0"/>
        </w:rPr>
        <w:t>What you should see</w:t>
      </w:r>
    </w:p>
    <w:p>
      <w:pPr>
        <w:pStyle w:val="ListBullet"/>
        <w:spacing w:after="60"/>
        <w:ind w:left="605"/>
      </w:pPr>
      <w:r>
        <w:rPr>
          <w:b w:val="0"/>
          <w:i w:val="0"/>
        </w:rPr>
        <w:t xml:space="preserve">The verdict named the approver required before you committed — </w:t>
      </w:r>
      <w:r>
        <w:rPr>
          <w:b/>
          <w:i w:val="0"/>
        </w:rPr>
        <w:t>HEAD_OF_TREASURY</w:t>
      </w:r>
      <w:r>
        <w:rPr>
          <w:b w:val="0"/>
          <w:i w:val="0"/>
        </w:rPr>
        <w:t xml:space="preserve"> for this size.</w:t>
      </w:r>
    </w:p>
    <w:p>
      <w:pPr>
        <w:pStyle w:val="ListBullet"/>
        <w:spacing w:after="60"/>
        <w:ind w:left="605"/>
      </w:pPr>
      <w:r>
        <w:rPr>
          <w:b w:val="0"/>
          <w:i w:val="0"/>
        </w:rPr>
        <w:t xml:space="preserve">Approval is refused for A. Whitfield. The deal sits at </w:t>
      </w:r>
      <w:r>
        <w:rPr>
          <w:b/>
          <w:i w:val="0"/>
        </w:rPr>
        <w:t>awaiting approval</w:t>
      </w:r>
      <w:r>
        <w:rPr>
          <w:b w:val="0"/>
          <w:i w:val="0"/>
        </w:rPr>
        <w:t>.</w:t>
      </w:r>
    </w:p>
    <w:p>
      <w:pPr>
        <w:spacing w:after="80"/>
        <w:ind w:left="432"/>
      </w:pPr>
      <w:r>
        <w:rPr>
          <w:b/>
        </w:rPr>
        <w:t xml:space="preserve">1.  </w:t>
      </w:r>
      <w:r>
        <w:rPr>
          <w:b w:val="0"/>
          <w:i w:val="0"/>
        </w:rPr>
        <w:t xml:space="preserve">Click </w:t>
      </w:r>
      <w:r>
        <w:rPr>
          <w:b/>
          <w:i w:val="0"/>
        </w:rPr>
        <w:t>Sign out</w:t>
      </w:r>
      <w:r>
        <w:rPr>
          <w:b w:val="0"/>
          <w:i w:val="0"/>
        </w:rPr>
        <w:t xml:space="preserve">, then sign in as </w:t>
      </w:r>
      <w:r>
        <w:rPr>
          <w:rFonts w:ascii="Consolas" w:hAnsi="Consolas"/>
          <w:b w:val="0"/>
          <w:i w:val="0"/>
          <w:sz w:val="19"/>
        </w:rPr>
        <w:t>m.doran@northgate.example</w:t>
      </w:r>
      <w:r>
        <w:rPr>
          <w:b w:val="0"/>
          <w:i w:val="0"/>
        </w:rPr>
        <w:t>.</w:t>
      </w:r>
    </w:p>
    <w:p>
      <w:pPr>
        <w:spacing w:after="80"/>
        <w:ind w:left="432"/>
      </w:pPr>
      <w:r>
        <w:rPr>
          <w:b/>
        </w:rPr>
        <w:t xml:space="preserve">2.  </w:t>
      </w:r>
      <w:r>
        <w:rPr>
          <w:b w:val="0"/>
          <w:i w:val="0"/>
        </w:rPr>
        <w:t>Open the same blotter row and approve it.</w:t>
      </w:r>
    </w:p>
    <w:p>
      <w:pPr>
        <w:pStyle w:val="Heading3"/>
      </w:pPr>
      <w:r>
        <w:rPr>
          <w:b w:val="0"/>
          <w:i w:val="0"/>
        </w:rPr>
        <w:t>What you should see</w:t>
      </w:r>
    </w:p>
    <w:p>
      <w:pPr>
        <w:pStyle w:val="ListBullet"/>
        <w:spacing w:after="60"/>
        <w:ind w:left="605"/>
      </w:pPr>
      <w:r>
        <w:rPr>
          <w:b w:val="0"/>
          <w:i w:val="0"/>
        </w:rPr>
        <w:t xml:space="preserve">The deal moves to </w:t>
      </w:r>
      <w:r>
        <w:rPr>
          <w:b/>
          <w:i w:val="0"/>
        </w:rPr>
        <w:t>accruing</w:t>
      </w:r>
      <w:r>
        <w:rPr>
          <w:b w:val="0"/>
          <w:i w:val="0"/>
        </w:rPr>
        <w:t>, and the lifecycle records who signed and when.</w:t>
      </w:r>
    </w:p>
    <w:p>
      <w:pPr>
        <w:pStyle w:val="ListBullet"/>
        <w:spacing w:after="60"/>
        <w:ind w:left="605"/>
      </w:pPr>
      <w:r>
        <w:rPr>
          <w:b w:val="0"/>
          <w:i w:val="0"/>
        </w:rPr>
        <w:t>The checks re-run at the moment of approval, not just at capture.</w:t>
      </w:r>
    </w:p>
    <w:p>
      <w:pPr>
        <w:pStyle w:val="Heading3"/>
      </w:pPr>
      <w:r>
        <w:rPr>
          <w:b w:val="0"/>
          <w:i w:val="0"/>
        </w:rPr>
        <w:t>Why this matters</w:t>
      </w:r>
    </w:p>
    <w:p>
      <w:pPr>
        <w:spacing w:after="240"/>
        <w:ind w:left="432"/>
      </w:pPr>
      <w:r>
        <w:rPr>
          <w:i/>
          <w:color w:val="5A5A5A"/>
        </w:rPr>
        <w:t>Two separate ideas are being tested. The first is segregation of duties: the person who proposes cannot be the only person who approves. The second is that the ticket tells you who will need to sign before you commit, rather than after — a control that surprises you at the end wastes everybody's afternoon. The re-check on approval matters because time passes between keying and signing, and the book may have moved.</w:t>
      </w:r>
    </w:p>
    <w:p>
      <w:r>
        <w:br w:type="page"/>
      </w:r>
    </w:p>
    <w:p>
      <w:pPr>
        <w:pStyle w:val="Heading1"/>
      </w:pPr>
      <w:r>
        <w:rPr>
          <w:b w:val="0"/>
          <w:i w:val="0"/>
        </w:rPr>
        <w:t>6.  Accounting, and the nightly job</w:t>
      </w:r>
    </w:p>
    <w:p>
      <w:r>
        <w:rPr>
          <w:b w:val="0"/>
          <w:i w:val="0"/>
        </w:rPr>
        <w:t>The nightly job has no button. It is a scheduled job, and putting a control in the interface that would not exist in production would be a worse lie than the inconvenience of running it by hand. Run it from a command prompt.</w:t>
      </w:r>
    </w:p>
    <w:p>
      <w:pPr>
        <w:spacing w:after="60"/>
      </w:pPr>
      <w:r>
        <w:rPr>
          <w:b w:val="0"/>
          <w:i w:val="0"/>
        </w:rPr>
        <w:t>First get a token:</w:t>
      </w:r>
    </w:p>
    <w:p>
      <w:pPr>
        <w:spacing w:before="60" w:after="180"/>
        <w:ind w:left="432"/>
      </w:pPr>
      <w:r>
        <w:rPr>
          <w:rFonts w:ascii="Consolas" w:hAnsi="Consolas"/>
          <w:sz w:val="18"/>
        </w:rPr>
        <w:t>curl -s -X POST http://localhost:8000/api/v1/auth/token ^</w:t>
        <w:br/>
        <w:t xml:space="preserve">  -H "Content-Type: application/json" ^</w:t>
        <w:br/>
        <w:t xml:space="preserve">  -d "{\"email\":\"m.doran@northgate.example\",\"password\":\"treasury\"}"</w:t>
      </w:r>
    </w:p>
    <w:p>
      <w:pPr>
        <w:spacing w:after="60"/>
      </w:pPr>
      <w:r>
        <w:rPr>
          <w:b w:val="0"/>
          <w:i w:val="0"/>
        </w:rPr>
        <w:t>Then run the job, pasting the token in place of TOKEN:</w:t>
      </w:r>
    </w:p>
    <w:p>
      <w:pPr>
        <w:spacing w:before="60" w:after="180"/>
        <w:ind w:left="432"/>
      </w:pPr>
      <w:r>
        <w:rPr>
          <w:rFonts w:ascii="Consolas" w:hAnsi="Consolas"/>
          <w:sz w:val="18"/>
        </w:rPr>
        <w:t>curl -s -X POST http://localhost:8000/api/v1/jobs/nightly ^</w:t>
        <w:br/>
        <w:t xml:space="preserve">  -H "Authorization: Bearer TOKEN" ^</w:t>
        <w:br/>
        <w:t xml:space="preserve">  -H "Content-Type: application/json" -d "{}"</w:t>
      </w:r>
    </w:p>
    <w:p>
      <w:pPr>
        <w:pStyle w:val="Heading3"/>
      </w:pPr>
      <w:r>
        <w:rPr>
          <w:b w:val="0"/>
          <w:i w:val="0"/>
        </w:rPr>
        <w:t>What you should see</w:t>
      </w:r>
    </w:p>
    <w:p>
      <w:pPr>
        <w:pStyle w:val="ListBullet"/>
        <w:spacing w:after="60"/>
        <w:ind w:left="605"/>
      </w:pPr>
      <w:r>
        <w:rPr>
          <w:b w:val="0"/>
          <w:i w:val="0"/>
        </w:rPr>
        <w:t>A response naming the accrual rows written and the journals built — around 170 of each on a fresh book.</w:t>
      </w:r>
    </w:p>
    <w:p>
      <w:pPr>
        <w:pStyle w:val="ListBullet"/>
        <w:spacing w:after="60"/>
        <w:ind w:left="605"/>
      </w:pPr>
      <w:r>
        <w:rPr>
          <w:b w:val="0"/>
          <w:i w:val="0"/>
        </w:rPr>
        <w:t>An advisory outcome, which section 7 covers.</w:t>
      </w:r>
    </w:p>
    <w:p>
      <w:pPr>
        <w:spacing w:after="80"/>
        <w:ind w:left="432"/>
      </w:pPr>
      <w:r>
        <w:rPr>
          <w:b/>
        </w:rPr>
        <w:t xml:space="preserve">1.  </w:t>
      </w:r>
      <w:r>
        <w:rPr>
          <w:b w:val="0"/>
          <w:i w:val="0"/>
        </w:rPr>
        <w:t xml:space="preserve">Reload the browser and open any deal from </w:t>
      </w:r>
      <w:r>
        <w:rPr>
          <w:b/>
          <w:i w:val="0"/>
        </w:rPr>
        <w:t>Deal Blotter</w:t>
      </w:r>
      <w:r>
        <w:rPr>
          <w:b w:val="0"/>
          <w:i w:val="0"/>
        </w:rPr>
        <w:t>.</w:t>
      </w:r>
    </w:p>
    <w:p>
      <w:pPr>
        <w:pStyle w:val="Heading3"/>
      </w:pPr>
      <w:r>
        <w:rPr>
          <w:b w:val="0"/>
          <w:i w:val="0"/>
        </w:rPr>
        <w:t>What you should see</w:t>
      </w:r>
    </w:p>
    <w:p>
      <w:pPr>
        <w:pStyle w:val="ListBullet"/>
        <w:spacing w:after="60"/>
        <w:ind w:left="605"/>
      </w:pPr>
      <w:r>
        <w:rPr>
          <w:b w:val="0"/>
          <w:i w:val="0"/>
        </w:rPr>
        <w:t xml:space="preserve">A </w:t>
      </w:r>
      <w:r>
        <w:rPr>
          <w:b/>
          <w:i w:val="0"/>
        </w:rPr>
        <w:t>Recognised, per day</w:t>
      </w:r>
      <w:r>
        <w:rPr>
          <w:b w:val="0"/>
          <w:i w:val="0"/>
        </w:rPr>
        <w:t xml:space="preserve"> section, showing the day count and the total.</w:t>
      </w:r>
    </w:p>
    <w:p>
      <w:pPr>
        <w:pStyle w:val="ListBullet"/>
        <w:spacing w:after="60"/>
        <w:ind w:left="605"/>
      </w:pPr>
      <w:r>
        <w:rPr>
          <w:b w:val="0"/>
          <w:i w:val="0"/>
        </w:rPr>
        <w:t>Journals listed by period, each with a status.</w:t>
      </w:r>
    </w:p>
    <w:p>
      <w:pPr>
        <w:pStyle w:val="ListBullet"/>
        <w:spacing w:after="60"/>
        <w:ind w:left="605"/>
      </w:pPr>
      <w:r>
        <w:rPr>
          <w:b w:val="0"/>
          <w:i w:val="0"/>
        </w:rPr>
        <w:t xml:space="preserve">The blotter </w:t>
      </w:r>
      <w:r>
        <w:rPr>
          <w:b/>
          <w:i w:val="0"/>
        </w:rPr>
        <w:t>Measured</w:t>
      </w:r>
      <w:r>
        <w:rPr>
          <w:b w:val="0"/>
          <w:i w:val="0"/>
        </w:rPr>
        <w:t xml:space="preserve"> column now reads principal plus interest accrued to date.</w:t>
      </w:r>
    </w:p>
    <w:p>
      <w:pPr>
        <w:pStyle w:val="Heading3"/>
      </w:pPr>
      <w:r>
        <w:rPr>
          <w:b w:val="0"/>
          <w:i w:val="0"/>
        </w:rPr>
        <w:t>Why this matters</w:t>
      </w:r>
    </w:p>
    <w:p>
      <w:pPr>
        <w:spacing w:after="240"/>
        <w:ind w:left="432"/>
      </w:pPr>
      <w:r>
        <w:rPr>
          <w:i/>
          <w:color w:val="5A5A5A"/>
        </w:rPr>
        <w:t>Interest is recognised per day and stored, not recomputed when somebody asks. What was recognised on a given day is a fact about that day. If it were recalculated on read, a later change to a rate would silently rewrite history, and the ledger would stop agreeing with itself. This is the one deliberate exception to the rule that figures are computed rather than stored, and section 8 shows why it has to be.</w:t>
      </w:r>
    </w:p>
    <w:p>
      <w:r>
        <w:br w:type="page"/>
      </w:r>
    </w:p>
    <w:p>
      <w:pPr>
        <w:pStyle w:val="Heading1"/>
      </w:pPr>
      <w:r>
        <w:rPr>
          <w:b w:val="0"/>
          <w:i w:val="0"/>
        </w:rPr>
        <w:t>7.  The advisory layer</w:t>
      </w:r>
    </w:p>
    <w:p>
      <w:r>
        <w:rPr>
          <w:b w:val="0"/>
          <w:i w:val="0"/>
        </w:rPr>
        <w:t>This is the only part of the system that calls a language model. What it is allowed to do is narrow, and the narrowness is the design.</w:t>
      </w:r>
    </w:p>
    <w:p>
      <w:pPr>
        <w:spacing w:after="80"/>
        <w:ind w:left="432"/>
      </w:pPr>
      <w:r>
        <w:rPr>
          <w:b/>
        </w:rPr>
        <w:t xml:space="preserve">1.  </w:t>
      </w:r>
      <w:r>
        <w:rPr>
          <w:b w:val="0"/>
          <w:i w:val="0"/>
        </w:rPr>
        <w:t xml:space="preserve">Open </w:t>
      </w:r>
      <w:r>
        <w:rPr>
          <w:b/>
          <w:i w:val="0"/>
        </w:rPr>
        <w:t>Advisory</w:t>
      </w:r>
      <w:r>
        <w:rPr>
          <w:b w:val="0"/>
          <w:i w:val="0"/>
        </w:rPr>
        <w:t xml:space="preserve"> on the strip.</w:t>
      </w:r>
    </w:p>
    <w:p>
      <w:pPr>
        <w:spacing w:after="80"/>
        <w:ind w:left="432"/>
      </w:pPr>
      <w:r>
        <w:rPr>
          <w:b/>
        </w:rPr>
        <w:t xml:space="preserve">2.  </w:t>
      </w:r>
      <w:r>
        <w:rPr>
          <w:b w:val="0"/>
          <w:i w:val="0"/>
        </w:rPr>
        <w:t xml:space="preserve">Click </w:t>
      </w:r>
      <w:r>
        <w:rPr>
          <w:b/>
          <w:i w:val="0"/>
        </w:rPr>
        <w:t>See the full run</w:t>
      </w:r>
      <w:r>
        <w:rPr>
          <w:b w:val="0"/>
          <w:i w:val="0"/>
        </w:rPr>
        <w:t>.</w:t>
      </w:r>
    </w:p>
    <w:p>
      <w:pPr>
        <w:pStyle w:val="Heading3"/>
      </w:pPr>
      <w:r>
        <w:rPr>
          <w:b w:val="0"/>
          <w:i w:val="0"/>
        </w:rPr>
        <w:t>What you should see</w:t>
      </w:r>
    </w:p>
    <w:p>
      <w:pPr>
        <w:pStyle w:val="ListBullet"/>
        <w:spacing w:after="60"/>
        <w:ind w:left="605"/>
      </w:pPr>
      <w:r>
        <w:rPr>
          <w:b w:val="0"/>
          <w:i w:val="0"/>
        </w:rPr>
        <w:t xml:space="preserve">Six stages listed: </w:t>
      </w:r>
      <w:r>
        <w:rPr>
          <w:b/>
          <w:i w:val="0"/>
        </w:rPr>
        <w:t>Detect the gap</w:t>
      </w:r>
      <w:r>
        <w:rPr>
          <w:b w:val="0"/>
          <w:i w:val="0"/>
        </w:rPr>
        <w:t xml:space="preserve">, </w:t>
      </w:r>
      <w:r>
        <w:rPr>
          <w:b/>
          <w:i w:val="0"/>
        </w:rPr>
        <w:t>Assemble context</w:t>
      </w:r>
      <w:r>
        <w:rPr>
          <w:b w:val="0"/>
          <w:i w:val="0"/>
        </w:rPr>
        <w:t xml:space="preserve">, </w:t>
      </w:r>
      <w:r>
        <w:rPr>
          <w:b/>
          <w:i w:val="0"/>
        </w:rPr>
        <w:t>Build candidates</w:t>
      </w:r>
      <w:r>
        <w:rPr>
          <w:b w:val="0"/>
          <w:i w:val="0"/>
        </w:rPr>
        <w:t xml:space="preserve">, </w:t>
      </w:r>
      <w:r>
        <w:rPr>
          <w:b/>
          <w:i w:val="0"/>
        </w:rPr>
        <w:t>Rank and explain</w:t>
      </w:r>
      <w:r>
        <w:rPr>
          <w:b w:val="0"/>
          <w:i w:val="0"/>
        </w:rPr>
        <w:t xml:space="preserve">, </w:t>
      </w:r>
      <w:r>
        <w:rPr>
          <w:b/>
          <w:i w:val="0"/>
        </w:rPr>
        <w:t>Validate</w:t>
      </w:r>
      <w:r>
        <w:rPr>
          <w:b w:val="0"/>
          <w:i w:val="0"/>
        </w:rPr>
        <w:t xml:space="preserve">, </w:t>
      </w:r>
      <w:r>
        <w:rPr>
          <w:b/>
          <w:i w:val="0"/>
        </w:rPr>
        <w:t>Accept or edit</w:t>
      </w:r>
      <w:r>
        <w:rPr>
          <w:b w:val="0"/>
          <w:i w:val="0"/>
        </w:rPr>
        <w:t>.</w:t>
      </w:r>
    </w:p>
    <w:p>
      <w:pPr>
        <w:pStyle w:val="ListBullet"/>
        <w:spacing w:after="60"/>
        <w:ind w:left="605"/>
      </w:pPr>
      <w:r>
        <w:rPr>
          <w:b w:val="0"/>
          <w:i w:val="0"/>
        </w:rPr>
        <w:t xml:space="preserve">Five of the six are marked </w:t>
      </w:r>
      <w:r>
        <w:rPr>
          <w:b/>
          <w:i w:val="0"/>
        </w:rPr>
        <w:t>Deterministic</w:t>
      </w:r>
      <w:r>
        <w:rPr>
          <w:b w:val="0"/>
          <w:i w:val="0"/>
        </w:rPr>
        <w:t xml:space="preserve">. Only </w:t>
      </w:r>
      <w:r>
        <w:rPr>
          <w:b/>
          <w:i w:val="0"/>
        </w:rPr>
        <w:t>Rank and explain</w:t>
      </w:r>
      <w:r>
        <w:rPr>
          <w:b w:val="0"/>
          <w:i w:val="0"/>
        </w:rPr>
        <w:t xml:space="preserve"> is marked </w:t>
      </w:r>
      <w:r>
        <w:rPr>
          <w:b/>
          <w:i w:val="0"/>
        </w:rPr>
        <w:t>The model</w:t>
      </w:r>
      <w:r>
        <w:rPr>
          <w:b w:val="0"/>
          <w:i w:val="0"/>
        </w:rPr>
        <w:t>.</w:t>
      </w:r>
    </w:p>
    <w:p>
      <w:pPr>
        <w:pStyle w:val="ListBullet"/>
        <w:spacing w:after="60"/>
        <w:ind w:left="605"/>
      </w:pPr>
      <w:r>
        <w:rPr>
          <w:b w:val="0"/>
          <w:i w:val="0"/>
        </w:rPr>
        <w:t xml:space="preserve">Under </w:t>
      </w:r>
      <w:r>
        <w:rPr>
          <w:b/>
          <w:i w:val="0"/>
        </w:rPr>
        <w:t>Candidates, priced</w:t>
      </w:r>
      <w:r>
        <w:rPr>
          <w:b w:val="0"/>
          <w:i w:val="0"/>
        </w:rPr>
        <w:t>, a short list of proposals with reasoning.</w:t>
      </w:r>
    </w:p>
    <w:p>
      <w:pPr>
        <w:pStyle w:val="ListBullet"/>
        <w:spacing w:after="60"/>
        <w:ind w:left="605"/>
      </w:pPr>
      <w:r>
        <w:rPr>
          <w:b w:val="0"/>
          <w:i w:val="0"/>
        </w:rPr>
        <w:t xml:space="preserve">A line stating that the layer </w:t>
      </w:r>
      <w:r>
        <w:rPr>
          <w:b w:val="0"/>
          <w:i/>
        </w:rPr>
        <w:t>“Records a decision and returns a ticket. Books nothing.”</w:t>
      </w:r>
    </w:p>
    <w:p>
      <w:pPr>
        <w:pStyle w:val="Heading3"/>
      </w:pPr>
      <w:r>
        <w:rPr>
          <w:b w:val="0"/>
          <w:i w:val="0"/>
        </w:rPr>
        <w:t>Why this matters</w:t>
      </w:r>
    </w:p>
    <w:p>
      <w:pPr>
        <w:spacing w:after="240"/>
        <w:ind w:left="432"/>
      </w:pPr>
      <w:r>
        <w:rPr>
          <w:i/>
          <w:color w:val="5A5A5A"/>
        </w:rPr>
        <w:t>The model ranks options that the deterministic code has already built and already checked. It cannot invent a counterparty, cannot exceed a limit, and cannot write a deal. If the model is unavailable or returns something malformed, the run falls back to a weighted score and says so. That is why the edge from this layer to the book is drawn as a dashed line: the advisory layer proposes, and the ordinary deal path — with its six checks — disposes.</w:t>
      </w:r>
    </w:p>
    <w:p>
      <w:pPr>
        <w:spacing w:after="80"/>
        <w:ind w:left="432"/>
      </w:pPr>
      <w:r>
        <w:rPr>
          <w:b/>
        </w:rPr>
        <w:t xml:space="preserve">1.  </w:t>
      </w:r>
      <w:r>
        <w:rPr>
          <w:b w:val="0"/>
          <w:i w:val="0"/>
        </w:rPr>
        <w:t xml:space="preserve">Click </w:t>
      </w:r>
      <w:r>
        <w:rPr>
          <w:b/>
          <w:i w:val="0"/>
        </w:rPr>
        <w:t>Accept and load the ticket</w:t>
      </w:r>
      <w:r>
        <w:rPr>
          <w:b w:val="0"/>
          <w:i w:val="0"/>
        </w:rPr>
        <w:t xml:space="preserve"> on any candidate.</w:t>
      </w:r>
    </w:p>
    <w:p>
      <w:pPr>
        <w:pStyle w:val="Heading3"/>
      </w:pPr>
      <w:r>
        <w:rPr>
          <w:b w:val="0"/>
          <w:i w:val="0"/>
        </w:rPr>
        <w:t>What you should see</w:t>
      </w:r>
    </w:p>
    <w:p>
      <w:pPr>
        <w:pStyle w:val="ListBullet"/>
        <w:spacing w:after="60"/>
        <w:ind w:left="605"/>
      </w:pPr>
      <w:r>
        <w:rPr>
          <w:b w:val="0"/>
          <w:i w:val="0"/>
        </w:rPr>
        <w:t xml:space="preserve">The proposal is loaded into </w:t>
      </w:r>
      <w:r>
        <w:rPr>
          <w:b/>
          <w:i w:val="0"/>
        </w:rPr>
        <w:t>Propose a Deal</w:t>
      </w:r>
      <w:r>
        <w:rPr>
          <w:b w:val="0"/>
          <w:i w:val="0"/>
        </w:rPr>
        <w:t>.</w:t>
      </w:r>
    </w:p>
    <w:p>
      <w:pPr>
        <w:pStyle w:val="ListBullet"/>
        <w:spacing w:after="60"/>
        <w:ind w:left="605"/>
      </w:pPr>
      <w:r>
        <w:rPr>
          <w:b/>
          <w:i w:val="0"/>
        </w:rPr>
        <w:t>The Six Checks</w:t>
      </w:r>
      <w:r>
        <w:rPr>
          <w:b w:val="0"/>
          <w:i w:val="0"/>
        </w:rPr>
        <w:t xml:space="preserve"> re-runs from scratch on the loaded values.</w:t>
      </w:r>
    </w:p>
    <w:p>
      <w:pPr>
        <w:pStyle w:val="ListBullet"/>
        <w:spacing w:after="60"/>
        <w:ind w:left="605"/>
      </w:pPr>
      <w:r>
        <w:rPr>
          <w:b w:val="0"/>
          <w:i w:val="0"/>
        </w:rPr>
        <w:t xml:space="preserve">Nothing has been booked. You still have to click </w:t>
      </w:r>
      <w:r>
        <w:rPr>
          <w:b/>
          <w:i w:val="0"/>
        </w:rPr>
        <w:t>Record deal</w:t>
      </w:r>
      <w:r>
        <w:rPr>
          <w:b w:val="0"/>
          <w:i w:val="0"/>
        </w:rPr>
        <w:t>.</w:t>
      </w:r>
    </w:p>
    <w:p>
      <w:pPr>
        <w:pStyle w:val="Heading3"/>
      </w:pPr>
      <w:r>
        <w:rPr>
          <w:b w:val="0"/>
          <w:i w:val="0"/>
        </w:rPr>
        <w:t>Why this matters</w:t>
      </w:r>
    </w:p>
    <w:p>
      <w:pPr>
        <w:spacing w:after="240"/>
        <w:ind w:left="432"/>
      </w:pPr>
      <w:r>
        <w:rPr>
          <w:i/>
          <w:color w:val="5A5A5A"/>
        </w:rPr>
        <w:t>An accepted recommendation is an intention, not a transaction. It enters the book by exactly the same door as a hand-keyed deal, and passes exactly the same checks. If you reject a candidate you are asked to say why, and the reason is kept — the record of what was declined is as useful as the record of what was taken.</w:t>
      </w:r>
    </w:p>
    <w:p>
      <w:r>
        <w:br w:type="page"/>
      </w:r>
    </w:p>
    <w:p>
      <w:pPr>
        <w:pStyle w:val="Heading1"/>
      </w:pPr>
      <w:r>
        <w:rPr>
          <w:b w:val="0"/>
          <w:i w:val="0"/>
        </w:rPr>
        <w:t>8.  The deal lifecycle, capture to close</w:t>
      </w:r>
    </w:p>
    <w:p>
      <w:r>
        <w:rPr>
          <w:b w:val="0"/>
          <w:i w:val="0"/>
        </w:rPr>
        <w:t>This is the largest section and the one worth doing carefully. It covers the confirmation, a mismatch, an amendment, and settlement. Click Reset first, then run the nightly job from section 6 so there are accruals to work with.</w:t>
      </w:r>
    </w:p>
    <w:p>
      <w:pPr>
        <w:pStyle w:val="Heading2"/>
      </w:pPr>
      <w:r>
        <w:rPr>
          <w:b w:val="0"/>
          <w:i w:val="0"/>
        </w:rPr>
        <w:t>8.1  A confirmation that agrees</w:t>
      </w:r>
    </w:p>
    <w:p>
      <w:r>
        <w:rPr>
          <w:b w:val="0"/>
          <w:i w:val="0"/>
        </w:rPr>
        <w:t>Confirmations arrive from the counterparty on their own route, so there is no screen to type one into. Send one with:</w:t>
      </w:r>
    </w:p>
    <w:p>
      <w:pPr>
        <w:spacing w:before="60" w:after="180"/>
        <w:ind w:left="432"/>
      </w:pPr>
      <w:r>
        <w:rPr>
          <w:rFonts w:ascii="Consolas" w:hAnsi="Consolas"/>
          <w:sz w:val="18"/>
        </w:rPr>
        <w:t>curl -s -X POST http://localhost:8000/api/v1/confirmations ^</w:t>
        <w:br/>
        <w:t xml:space="preserve">  -H "Authorization: Bearer TOKEN" -H "Content-Type: application/json" ^</w:t>
        <w:br/>
        <w:t xml:space="preserve">  -d "{\"message_type\":\"MT320\",\"reference\":\"HAR-1\",\"counterparty_id\":\"cp_harbour\",\"instrument\":\"FX_FORWARD\",\"principal_pence\":300000000,\"rate_bp\":11740,\"value_date\":\"2026-08-04\",\"maturity_date\":\"2026-11-04\"}"</w:t>
      </w:r>
    </w:p>
    <w:p>
      <w:pPr>
        <w:pStyle w:val="Heading3"/>
      </w:pPr>
      <w:r>
        <w:rPr>
          <w:b w:val="0"/>
          <w:i w:val="0"/>
        </w:rPr>
        <w:t>What you should see</w:t>
      </w:r>
    </w:p>
    <w:p>
      <w:pPr>
        <w:pStyle w:val="ListBullet"/>
        <w:spacing w:after="60"/>
        <w:ind w:left="605"/>
      </w:pPr>
      <w:r>
        <w:rPr>
          <w:b w:val="0"/>
          <w:i w:val="0"/>
        </w:rPr>
        <w:t xml:space="preserve">A response of </w:t>
      </w:r>
      <w:r>
        <w:rPr>
          <w:b/>
          <w:i w:val="0"/>
        </w:rPr>
        <w:t>MATCHED</w:t>
      </w:r>
      <w:r>
        <w:rPr>
          <w:b w:val="0"/>
          <w:i w:val="0"/>
        </w:rPr>
        <w:t xml:space="preserve"> with an empty differences list.</w:t>
      </w:r>
    </w:p>
    <w:p>
      <w:pPr>
        <w:pStyle w:val="ListBullet"/>
        <w:spacing w:after="60"/>
        <w:ind w:left="605"/>
      </w:pPr>
      <w:r>
        <w:rPr>
          <w:b w:val="0"/>
          <w:i w:val="0"/>
        </w:rPr>
        <w:t xml:space="preserve">Open the Harbour row in </w:t>
      </w:r>
      <w:r>
        <w:rPr>
          <w:b/>
          <w:i w:val="0"/>
        </w:rPr>
        <w:t>Deal Blotter</w:t>
      </w:r>
      <w:r>
        <w:rPr>
          <w:b w:val="0"/>
          <w:i w:val="0"/>
        </w:rPr>
        <w:t xml:space="preserve">: the confirmation section now reads </w:t>
      </w:r>
      <w:r>
        <w:rPr>
          <w:b/>
          <w:i w:val="0"/>
        </w:rPr>
        <w:t>MATCHED</w:t>
      </w:r>
      <w:r>
        <w:rPr>
          <w:b w:val="0"/>
          <w:i w:val="0"/>
        </w:rPr>
        <w:t xml:space="preserve"> and </w:t>
      </w:r>
      <w:r>
        <w:rPr>
          <w:b w:val="0"/>
          <w:i/>
        </w:rPr>
        <w:t>“Every field agreed.”</w:t>
      </w:r>
    </w:p>
    <w:p>
      <w:pPr>
        <w:pStyle w:val="Heading3"/>
      </w:pPr>
      <w:r>
        <w:rPr>
          <w:b w:val="0"/>
          <w:i w:val="0"/>
        </w:rPr>
        <w:t>Why this matters</w:t>
      </w:r>
    </w:p>
    <w:p>
      <w:pPr>
        <w:spacing w:after="240"/>
        <w:ind w:left="432"/>
      </w:pPr>
      <w:r>
        <w:rPr>
          <w:i/>
          <w:color w:val="5A5A5A"/>
        </w:rPr>
        <w:t>A confirmation is a table of its own, not a column on the deal. Fold it into the deal record and there is nothing left to compare against, and the control quietly disappears while still looking like it is there. It has to arrive by its own route for the same reason.</w:t>
      </w:r>
    </w:p>
    <w:p>
      <w:pPr>
        <w:pStyle w:val="Heading2"/>
      </w:pPr>
      <w:r>
        <w:rPr>
          <w:b w:val="0"/>
          <w:i w:val="0"/>
        </w:rPr>
        <w:t>8.2  A confirmation that disagrees</w:t>
      </w:r>
    </w:p>
    <w:p>
      <w:r>
        <w:rPr>
          <w:b w:val="0"/>
          <w:i w:val="0"/>
        </w:rPr>
        <w:t>Send the same message again with a different rate — 11700 rather than 11740 — and a new reference:</w:t>
      </w:r>
    </w:p>
    <w:p>
      <w:pPr>
        <w:spacing w:before="60" w:after="180"/>
        <w:ind w:left="432"/>
      </w:pPr>
      <w:r>
        <w:rPr>
          <w:rFonts w:ascii="Consolas" w:hAnsi="Consolas"/>
          <w:sz w:val="18"/>
        </w:rPr>
        <w:t>... \"reference\":\"HAR-2\", ... \"rate_bp\":11700, ...</w:t>
      </w:r>
    </w:p>
    <w:p>
      <w:pPr>
        <w:pStyle w:val="Heading3"/>
      </w:pPr>
      <w:r>
        <w:rPr>
          <w:b w:val="0"/>
          <w:i w:val="0"/>
        </w:rPr>
        <w:t>What you should see</w:t>
      </w:r>
    </w:p>
    <w:p>
      <w:pPr>
        <w:pStyle w:val="ListBullet"/>
        <w:spacing w:after="60"/>
        <w:ind w:left="605"/>
      </w:pPr>
      <w:r>
        <w:rPr>
          <w:b w:val="0"/>
          <w:i w:val="0"/>
        </w:rPr>
        <w:t xml:space="preserve">A response of </w:t>
      </w:r>
      <w:r>
        <w:rPr>
          <w:b/>
          <w:i w:val="0"/>
        </w:rPr>
        <w:t>MISMATCHED</w:t>
      </w:r>
      <w:r>
        <w:rPr>
          <w:b w:val="0"/>
          <w:i w:val="0"/>
        </w:rPr>
        <w:t xml:space="preserve"> naming the field.</w:t>
      </w:r>
    </w:p>
    <w:p>
      <w:pPr>
        <w:pStyle w:val="ListBullet"/>
        <w:spacing w:after="60"/>
        <w:ind w:left="605"/>
      </w:pPr>
      <w:r>
        <w:rPr>
          <w:b w:val="0"/>
          <w:i w:val="0"/>
        </w:rPr>
        <w:t xml:space="preserve">The strip shows </w:t>
      </w:r>
      <w:r>
        <w:rPr>
          <w:b/>
          <w:i w:val="0"/>
        </w:rPr>
        <w:t>Queue 1</w:t>
      </w:r>
      <w:r>
        <w:rPr>
          <w:b w:val="0"/>
          <w:i w:val="0"/>
        </w:rPr>
        <w:t>.</w:t>
      </w:r>
    </w:p>
    <w:p>
      <w:pPr>
        <w:pStyle w:val="ListBullet"/>
        <w:spacing w:after="60"/>
        <w:ind w:left="605"/>
      </w:pPr>
      <w:r>
        <w:rPr>
          <w:b w:val="0"/>
          <w:i w:val="0"/>
        </w:rPr>
        <w:t xml:space="preserve">Open </w:t>
      </w:r>
      <w:r>
        <w:rPr>
          <w:b/>
          <w:i w:val="0"/>
        </w:rPr>
        <w:t>Queue</w:t>
      </w:r>
      <w:r>
        <w:rPr>
          <w:b w:val="0"/>
          <w:i w:val="0"/>
        </w:rPr>
        <w:t xml:space="preserve">: the item is headed </w:t>
      </w:r>
      <w:r>
        <w:rPr>
          <w:b/>
          <w:i w:val="0"/>
        </w:rPr>
        <w:t>CONFIRMATION MISMATCH · RATE BP</w:t>
      </w:r>
      <w:r>
        <w:rPr>
          <w:b w:val="0"/>
          <w:i w:val="0"/>
        </w:rPr>
        <w:t xml:space="preserve">, reading </w:t>
      </w:r>
      <w:r>
        <w:rPr>
          <w:b w:val="0"/>
          <w:i/>
        </w:rPr>
        <w:t>“The rate was keyed at 1.1740 and confirmed at 1.1700.”</w:t>
      </w:r>
    </w:p>
    <w:p>
      <w:pPr>
        <w:pStyle w:val="ListBullet"/>
        <w:spacing w:after="60"/>
        <w:ind w:left="605"/>
      </w:pPr>
      <w:r>
        <w:rPr>
          <w:b w:val="0"/>
          <w:i w:val="0"/>
        </w:rPr>
        <w:t xml:space="preserve">A table with columns </w:t>
      </w:r>
      <w:r>
        <w:rPr>
          <w:b/>
          <w:i w:val="0"/>
        </w:rPr>
        <w:t>Field</w:t>
      </w:r>
      <w:r>
        <w:rPr>
          <w:b w:val="0"/>
          <w:i w:val="0"/>
        </w:rPr>
        <w:t xml:space="preserve">, </w:t>
      </w:r>
      <w:r>
        <w:rPr>
          <w:b/>
          <w:i w:val="0"/>
        </w:rPr>
        <w:t>Keyed</w:t>
      </w:r>
      <w:r>
        <w:rPr>
          <w:b w:val="0"/>
          <w:i w:val="0"/>
        </w:rPr>
        <w:t xml:space="preserve"> and </w:t>
      </w:r>
      <w:r>
        <w:rPr>
          <w:b/>
          <w:i w:val="0"/>
        </w:rPr>
        <w:t>Confirmed</w:t>
      </w:r>
      <w:r>
        <w:rPr>
          <w:b w:val="0"/>
          <w:i w:val="0"/>
        </w:rPr>
        <w:t>.</w:t>
      </w:r>
    </w:p>
    <w:p>
      <w:pPr>
        <w:pStyle w:val="ListBullet"/>
        <w:spacing w:after="60"/>
        <w:ind w:left="605"/>
      </w:pPr>
      <w:r>
        <w:rPr>
          <w:b w:val="0"/>
          <w:i w:val="0"/>
        </w:rPr>
        <w:t xml:space="preserve">Three resolutions only: </w:t>
      </w:r>
      <w:r>
        <w:rPr>
          <w:b/>
          <w:i w:val="0"/>
        </w:rPr>
        <w:t>Correct the deal</w:t>
      </w:r>
      <w:r>
        <w:rPr>
          <w:b w:val="0"/>
          <w:i w:val="0"/>
        </w:rPr>
        <w:t xml:space="preserve">, </w:t>
      </w:r>
      <w:r>
        <w:rPr>
          <w:b/>
          <w:i w:val="0"/>
        </w:rPr>
        <w:t>Challenge the bank</w:t>
      </w:r>
      <w:r>
        <w:rPr>
          <w:b w:val="0"/>
          <w:i w:val="0"/>
        </w:rPr>
        <w:t xml:space="preserve">, </w:t>
      </w:r>
      <w:r>
        <w:rPr>
          <w:b/>
          <w:i w:val="0"/>
        </w:rPr>
        <w:t>Cancelled</w:t>
      </w:r>
      <w:r>
        <w:rPr>
          <w:b w:val="0"/>
          <w:i w:val="0"/>
        </w:rPr>
        <w:t>.</w:t>
      </w:r>
    </w:p>
    <w:p>
      <w:pPr>
        <w:pStyle w:val="Heading3"/>
      </w:pPr>
      <w:r>
        <w:rPr>
          <w:b w:val="0"/>
          <w:i w:val="0"/>
        </w:rPr>
        <w:t>Why this matters</w:t>
      </w:r>
    </w:p>
    <w:p>
      <w:pPr>
        <w:spacing w:after="240"/>
        <w:ind w:left="432"/>
      </w:pPr>
      <w:r>
        <w:rPr>
          <w:i/>
          <w:color w:val="5A5A5A"/>
        </w:rPr>
        <w:t>Two things are worth noticing. The first is that a forward's rate reads as 1.1740, an exchange rate, not 117.40 per cent — the same column holds an interest rate for a deposit and an exchange rate for a forward, and rendering it wrongly gives a figure that is out by a hundredfold and still looks plausible. The second is that this mismatch lands in the same queue as the limit failure from section 2, with a different cause, and is offered only its own resolutions. A limit failure happens before the deal exists and is fixed by changing the deal. A mismatch happens after it exists and is fixed by agreeing what was actually traded.</w:t>
      </w:r>
    </w:p>
    <w:p>
      <w:pPr>
        <w:spacing w:after="80"/>
        <w:ind w:left="432"/>
      </w:pPr>
      <w:r>
        <w:rPr>
          <w:b/>
        </w:rPr>
        <w:t xml:space="preserve">1.  </w:t>
      </w:r>
      <w:r>
        <w:rPr>
          <w:b w:val="0"/>
          <w:i w:val="0"/>
        </w:rPr>
        <w:t xml:space="preserve">Resolve the item as </w:t>
      </w:r>
      <w:r>
        <w:rPr>
          <w:b/>
          <w:i w:val="0"/>
        </w:rPr>
        <w:t>Correct the deal</w:t>
      </w:r>
      <w:r>
        <w:rPr>
          <w:b w:val="0"/>
          <w:i w:val="0"/>
        </w:rPr>
        <w:t>.</w:t>
      </w:r>
    </w:p>
    <w:p>
      <w:pPr>
        <w:pStyle w:val="Heading3"/>
      </w:pPr>
      <w:r>
        <w:rPr>
          <w:b w:val="0"/>
          <w:i w:val="0"/>
        </w:rPr>
        <w:t>What you should see</w:t>
      </w:r>
    </w:p>
    <w:p>
      <w:pPr>
        <w:pStyle w:val="ListBullet"/>
        <w:spacing w:after="60"/>
        <w:ind w:left="605"/>
      </w:pPr>
      <w:r>
        <w:rPr>
          <w:b w:val="0"/>
          <w:i w:val="0"/>
        </w:rPr>
        <w:t xml:space="preserve">The deal takes the confirmed rate, and the six checks re-run — a check run with a purpose of </w:t>
      </w:r>
      <w:r>
        <w:rPr>
          <w:b/>
          <w:i w:val="0"/>
        </w:rPr>
        <w:t>CORRECTION</w:t>
      </w:r>
      <w:r>
        <w:rPr>
          <w:b w:val="0"/>
          <w:i w:val="0"/>
        </w:rPr>
        <w:t xml:space="preserve"> is written.</w:t>
      </w:r>
    </w:p>
    <w:p>
      <w:pPr>
        <w:pStyle w:val="Heading3"/>
      </w:pPr>
      <w:r>
        <w:rPr>
          <w:b w:val="0"/>
          <w:i w:val="0"/>
        </w:rPr>
        <w:t>Why this matters</w:t>
      </w:r>
    </w:p>
    <w:p>
      <w:pPr>
        <w:spacing w:after="240"/>
        <w:ind w:left="432"/>
      </w:pPr>
      <w:r>
        <w:rPr>
          <w:i/>
          <w:color w:val="5A5A5A"/>
        </w:rPr>
        <w:t>A corrected rate changes the accrual and can change the measured exposure. That makes it a new decision about a position rather than a data fix, so it goes through the gate like anything else.</w:t>
      </w:r>
    </w:p>
    <w:p>
      <w:pPr>
        <w:pStyle w:val="Heading2"/>
      </w:pPr>
      <w:r>
        <w:rPr>
          <w:b w:val="0"/>
          <w:i w:val="0"/>
        </w:rPr>
        <w:t>8.3  An amendment — a correction is an entry, not an edit</w:t>
      </w:r>
    </w:p>
    <w:p>
      <w:pPr>
        <w:spacing w:after="80"/>
        <w:ind w:left="432"/>
      </w:pPr>
      <w:r>
        <w:rPr>
          <w:b/>
        </w:rPr>
        <w:t xml:space="preserve">1.  </w:t>
      </w:r>
      <w:r>
        <w:rPr>
          <w:b w:val="0"/>
          <w:i w:val="0"/>
        </w:rPr>
        <w:t xml:space="preserve">Open the </w:t>
      </w:r>
      <w:r>
        <w:rPr>
          <w:b/>
          <w:i w:val="0"/>
        </w:rPr>
        <w:t>Meridian Bank plc</w:t>
      </w:r>
      <w:r>
        <w:rPr>
          <w:b w:val="0"/>
          <w:i w:val="0"/>
        </w:rPr>
        <w:t xml:space="preserve"> deposit in </w:t>
      </w:r>
      <w:r>
        <w:rPr>
          <w:b/>
          <w:i w:val="0"/>
        </w:rPr>
        <w:t>Deal Blotter</w:t>
      </w:r>
      <w:r>
        <w:rPr>
          <w:b w:val="0"/>
          <w:i w:val="0"/>
        </w:rPr>
        <w:t>.</w:t>
      </w:r>
    </w:p>
    <w:p>
      <w:pPr>
        <w:spacing w:after="80"/>
        <w:ind w:left="432"/>
      </w:pPr>
      <w:r>
        <w:rPr>
          <w:b/>
        </w:rPr>
        <w:t xml:space="preserve">2.  </w:t>
      </w:r>
      <w:r>
        <w:rPr>
          <w:b w:val="0"/>
          <w:i w:val="0"/>
        </w:rPr>
        <w:t xml:space="preserve">Find the </w:t>
      </w:r>
      <w:r>
        <w:rPr>
          <w:b/>
          <w:i w:val="0"/>
        </w:rPr>
        <w:t>Amendments</w:t>
      </w:r>
      <w:r>
        <w:rPr>
          <w:b w:val="0"/>
          <w:i w:val="0"/>
        </w:rPr>
        <w:t xml:space="preserve"> section and click </w:t>
      </w:r>
      <w:r>
        <w:rPr>
          <w:b/>
          <w:i w:val="0"/>
        </w:rPr>
        <w:t>Raise one</w:t>
      </w:r>
      <w:r>
        <w:rPr>
          <w:b w:val="0"/>
          <w:i w:val="0"/>
        </w:rPr>
        <w:t>.</w:t>
      </w:r>
    </w:p>
    <w:p>
      <w:pPr>
        <w:spacing w:after="80"/>
        <w:ind w:left="432"/>
      </w:pPr>
      <w:r>
        <w:rPr>
          <w:b/>
        </w:rPr>
        <w:t xml:space="preserve">3.  </w:t>
      </w:r>
      <w:r>
        <w:rPr>
          <w:b w:val="0"/>
          <w:i w:val="0"/>
        </w:rPr>
        <w:t xml:space="preserve">Set </w:t>
      </w:r>
      <w:r>
        <w:rPr>
          <w:b/>
          <w:i w:val="0"/>
        </w:rPr>
        <w:t>Type</w:t>
      </w:r>
      <w:r>
        <w:rPr>
          <w:b w:val="0"/>
          <w:i w:val="0"/>
        </w:rPr>
        <w:t xml:space="preserve"> to </w:t>
      </w:r>
      <w:r>
        <w:rPr>
          <w:b/>
          <w:i w:val="0"/>
        </w:rPr>
        <w:t>Correction</w:t>
      </w:r>
      <w:r>
        <w:rPr>
          <w:b w:val="0"/>
          <w:i w:val="0"/>
        </w:rPr>
        <w:t>.</w:t>
      </w:r>
    </w:p>
    <w:p>
      <w:pPr>
        <w:spacing w:after="80"/>
        <w:ind w:left="432"/>
      </w:pPr>
      <w:r>
        <w:rPr>
          <w:b/>
        </w:rPr>
        <w:t xml:space="preserve">4.  </w:t>
      </w:r>
      <w:r>
        <w:rPr>
          <w:b w:val="0"/>
          <w:i w:val="0"/>
        </w:rPr>
        <w:t xml:space="preserve">Set </w:t>
      </w:r>
      <w:r>
        <w:rPr>
          <w:b/>
          <w:i w:val="0"/>
        </w:rPr>
        <w:t>Effective from</w:t>
      </w:r>
      <w:r>
        <w:rPr>
          <w:b w:val="0"/>
          <w:i w:val="0"/>
        </w:rPr>
        <w:t xml:space="preserve"> to the first of this month.</w:t>
      </w:r>
    </w:p>
    <w:p>
      <w:pPr>
        <w:spacing w:after="80"/>
        <w:ind w:left="432"/>
      </w:pPr>
      <w:r>
        <w:rPr>
          <w:b/>
        </w:rPr>
        <w:t xml:space="preserve">5.  </w:t>
      </w:r>
      <w:r>
        <w:rPr>
          <w:b w:val="0"/>
          <w:i w:val="0"/>
        </w:rPr>
        <w:t xml:space="preserve">Set </w:t>
      </w:r>
      <w:r>
        <w:rPr>
          <w:b/>
          <w:i w:val="0"/>
        </w:rPr>
        <w:t>New rate (%), if it changed</w:t>
      </w:r>
      <w:r>
        <w:rPr>
          <w:b w:val="0"/>
          <w:i w:val="0"/>
        </w:rPr>
        <w:t xml:space="preserve"> to </w:t>
      </w:r>
      <w:r>
        <w:rPr>
          <w:rFonts w:ascii="Consolas" w:hAnsi="Consolas"/>
          <w:b w:val="0"/>
          <w:i w:val="0"/>
          <w:sz w:val="19"/>
        </w:rPr>
        <w:t>4.18</w:t>
      </w:r>
      <w:r>
        <w:rPr>
          <w:b w:val="0"/>
          <w:i w:val="0"/>
        </w:rPr>
        <w:t>.</w:t>
      </w:r>
    </w:p>
    <w:p>
      <w:pPr>
        <w:spacing w:after="80"/>
        <w:ind w:left="432"/>
      </w:pPr>
      <w:r>
        <w:rPr>
          <w:b/>
        </w:rPr>
        <w:t xml:space="preserve">6.  </w:t>
      </w:r>
      <w:r>
        <w:rPr>
          <w:b w:val="0"/>
          <w:i w:val="0"/>
        </w:rPr>
        <w:t xml:space="preserve">Type a </w:t>
      </w:r>
      <w:r>
        <w:rPr>
          <w:b/>
          <w:i w:val="0"/>
        </w:rPr>
        <w:t>Reason</w:t>
      </w:r>
      <w:r>
        <w:rPr>
          <w:b w:val="0"/>
          <w:i w:val="0"/>
        </w:rPr>
        <w:t xml:space="preserve"> — it is required.</w:t>
      </w:r>
    </w:p>
    <w:p>
      <w:pPr>
        <w:spacing w:after="80"/>
        <w:ind w:left="432"/>
      </w:pPr>
      <w:r>
        <w:rPr>
          <w:b/>
        </w:rPr>
        <w:t xml:space="preserve">7.  </w:t>
      </w:r>
      <w:r>
        <w:rPr>
          <w:b w:val="0"/>
          <w:i w:val="0"/>
        </w:rPr>
        <w:t xml:space="preserve">Click </w:t>
      </w:r>
      <w:r>
        <w:rPr>
          <w:b/>
          <w:i w:val="0"/>
        </w:rPr>
        <w:t>Raise, and show what it would change</w:t>
      </w:r>
      <w:r>
        <w:rPr>
          <w:b w:val="0"/>
          <w:i w:val="0"/>
        </w:rPr>
        <w:t>.</w:t>
      </w:r>
    </w:p>
    <w:p>
      <w:pPr>
        <w:pStyle w:val="Heading3"/>
      </w:pPr>
      <w:r>
        <w:rPr>
          <w:b w:val="0"/>
          <w:i w:val="0"/>
        </w:rPr>
        <w:t>What you should see</w:t>
      </w:r>
    </w:p>
    <w:p>
      <w:pPr>
        <w:pStyle w:val="ListBullet"/>
        <w:spacing w:after="60"/>
        <w:ind w:left="605"/>
      </w:pPr>
      <w:r>
        <w:rPr>
          <w:b w:val="0"/>
          <w:i w:val="0"/>
        </w:rPr>
        <w:t>A preview: how many days would be reversed and for how much, and which accounting periods are touched.</w:t>
      </w:r>
    </w:p>
    <w:p>
      <w:pPr>
        <w:pStyle w:val="ListBullet"/>
        <w:spacing w:after="60"/>
        <w:ind w:left="605"/>
      </w:pPr>
      <w:r>
        <w:rPr>
          <w:b w:val="0"/>
          <w:i w:val="0"/>
        </w:rPr>
        <w:t>Nothing has changed yet. Raising records what is proposed.</w:t>
      </w:r>
    </w:p>
    <w:p>
      <w:pPr>
        <w:pStyle w:val="Heading3"/>
      </w:pPr>
      <w:r>
        <w:rPr>
          <w:b w:val="0"/>
          <w:i w:val="0"/>
        </w:rPr>
        <w:t>Why this matters</w:t>
      </w:r>
    </w:p>
    <w:p>
      <w:pPr>
        <w:spacing w:after="240"/>
        <w:ind w:left="432"/>
      </w:pPr>
      <w:r>
        <w:rPr>
          <w:i/>
          <w:color w:val="5A5A5A"/>
        </w:rPr>
        <w:t>Recalculating is the easy half of an amendment. Knowing what was already recognised is the hard half, and it is only possible because accrual is stored per day rather than computed on read. The preview exists because reversing three weeks of interest across a period boundary is the sort of thing people want to see before they agree to it.</w:t>
      </w:r>
    </w:p>
    <w:p>
      <w:pPr>
        <w:spacing w:after="80"/>
        <w:ind w:left="432"/>
      </w:pPr>
      <w:r>
        <w:rPr>
          <w:b/>
        </w:rPr>
        <w:t xml:space="preserve">1.  </w:t>
      </w:r>
      <w:r>
        <w:rPr>
          <w:b w:val="0"/>
          <w:i w:val="0"/>
        </w:rPr>
        <w:t xml:space="preserve">Click </w:t>
      </w:r>
      <w:r>
        <w:rPr>
          <w:b/>
          <w:i w:val="0"/>
        </w:rPr>
        <w:t>Apply. Re-test, reverse and repost.</w:t>
      </w:r>
      <w:r>
        <w:rPr>
          <w:b w:val="0"/>
          <w:i w:val="0"/>
        </w:rPr>
        <w:t>.</w:t>
      </w:r>
    </w:p>
    <w:p>
      <w:pPr>
        <w:pStyle w:val="Heading3"/>
      </w:pPr>
      <w:r>
        <w:rPr>
          <w:b w:val="0"/>
          <w:i w:val="0"/>
        </w:rPr>
        <w:t>What you should see</w:t>
      </w:r>
    </w:p>
    <w:p>
      <w:pPr>
        <w:pStyle w:val="ListBullet"/>
        <w:spacing w:after="60"/>
        <w:ind w:left="605"/>
      </w:pPr>
      <w:r>
        <w:rPr>
          <w:b w:val="0"/>
          <w:i w:val="0"/>
        </w:rPr>
        <w:t>The deal rate becomes 4.18%.</w:t>
      </w:r>
    </w:p>
    <w:p>
      <w:pPr>
        <w:pStyle w:val="ListBullet"/>
        <w:spacing w:after="60"/>
        <w:ind w:left="605"/>
      </w:pPr>
      <w:r>
        <w:rPr>
          <w:b w:val="0"/>
          <w:i w:val="0"/>
        </w:rPr>
        <w:t xml:space="preserve">The </w:t>
      </w:r>
      <w:r>
        <w:rPr>
          <w:b/>
          <w:i w:val="0"/>
        </w:rPr>
        <w:t>Recognised, per day</w:t>
      </w:r>
      <w:r>
        <w:rPr>
          <w:b w:val="0"/>
          <w:i w:val="0"/>
        </w:rPr>
        <w:t xml:space="preserve"> section now reads something like </w:t>
      </w:r>
      <w:r>
        <w:rPr>
          <w:b w:val="0"/>
          <w:i/>
        </w:rPr>
        <w:t>“23 days, 3 reversed”</w:t>
      </w:r>
      <w:r>
        <w:rPr>
          <w:b w:val="0"/>
          <w:i w:val="0"/>
        </w:rPr>
        <w:t xml:space="preserve"> — the original rows are still there.</w:t>
      </w:r>
    </w:p>
    <w:p>
      <w:pPr>
        <w:pStyle w:val="ListBullet"/>
        <w:spacing w:after="60"/>
        <w:ind w:left="605"/>
      </w:pPr>
      <w:r>
        <w:rPr>
          <w:b w:val="0"/>
          <w:i w:val="0"/>
        </w:rPr>
        <w:t xml:space="preserve">The amendment is listed as </w:t>
      </w:r>
      <w:r>
        <w:rPr>
          <w:b/>
          <w:i w:val="0"/>
        </w:rPr>
        <w:t>correction, applied</w:t>
      </w:r>
      <w:r>
        <w:rPr>
          <w:b w:val="0"/>
          <w:i w:val="0"/>
        </w:rPr>
        <w:t xml:space="preserve"> with its effective date and reason.</w:t>
      </w:r>
    </w:p>
    <w:p>
      <w:pPr>
        <w:pStyle w:val="Heading3"/>
      </w:pPr>
      <w:r>
        <w:rPr>
          <w:b w:val="0"/>
          <w:i w:val="0"/>
        </w:rPr>
        <w:t>Why this matters</w:t>
      </w:r>
    </w:p>
    <w:p>
      <w:pPr>
        <w:spacing w:after="240"/>
        <w:ind w:left="432"/>
      </w:pPr>
      <w:r>
        <w:rPr>
          <w:i/>
          <w:color w:val="5A5A5A"/>
        </w:rPr>
        <w:t>The original accrual rows survive and reversals are written against them. That is the difference between an entry and an edit, and it is why the ledger can still be explained afterwards. Notice also that the measured figure and the stored accrual now differ slightly: days before the effective date keep the old rate. Both figures are correct, and they are answering different questions.</w:t>
      </w:r>
    </w:p>
    <w:p>
      <w:pPr>
        <w:pStyle w:val="Heading2"/>
      </w:pPr>
      <w:r>
        <w:rPr>
          <w:b w:val="0"/>
          <w:i w:val="0"/>
        </w:rPr>
        <w:t>8.4  An amendment into a closed period is refused</w:t>
      </w:r>
    </w:p>
    <w:p>
      <w:pPr>
        <w:spacing w:after="80"/>
        <w:ind w:left="432"/>
      </w:pPr>
      <w:r>
        <w:rPr>
          <w:b/>
        </w:rPr>
        <w:t xml:space="preserve">1.  </w:t>
      </w:r>
      <w:r>
        <w:rPr>
          <w:b w:val="0"/>
          <w:i w:val="0"/>
        </w:rPr>
        <w:t>Raise another correction, this time effective inside a period whose journals have been posted.</w:t>
      </w:r>
    </w:p>
    <w:p>
      <w:pPr>
        <w:spacing w:after="80"/>
        <w:ind w:left="432"/>
      </w:pPr>
      <w:r>
        <w:rPr>
          <w:b/>
        </w:rPr>
        <w:t xml:space="preserve">2.  </w:t>
      </w:r>
      <w:r>
        <w:rPr>
          <w:b w:val="0"/>
          <w:i w:val="0"/>
        </w:rPr>
        <w:t xml:space="preserve">Click </w:t>
      </w:r>
      <w:r>
        <w:rPr>
          <w:b/>
          <w:i w:val="0"/>
        </w:rPr>
        <w:t>Apply. Re-test, reverse and repost.</w:t>
      </w:r>
      <w:r>
        <w:rPr>
          <w:b w:val="0"/>
          <w:i w:val="0"/>
        </w:rPr>
        <w:t>.</w:t>
      </w:r>
    </w:p>
    <w:p>
      <w:pPr>
        <w:pStyle w:val="Heading3"/>
      </w:pPr>
      <w:r>
        <w:rPr>
          <w:b w:val="0"/>
          <w:i w:val="0"/>
        </w:rPr>
        <w:t>What you should see</w:t>
      </w:r>
    </w:p>
    <w:p>
      <w:pPr>
        <w:pStyle w:val="ListBullet"/>
        <w:spacing w:after="60"/>
        <w:ind w:left="605"/>
      </w:pPr>
      <w:r>
        <w:rPr>
          <w:b w:val="0"/>
          <w:i w:val="0"/>
        </w:rPr>
        <w:t xml:space="preserve">Refused, naming the period, with the code </w:t>
      </w:r>
      <w:r>
        <w:rPr>
          <w:b/>
          <w:i w:val="0"/>
        </w:rPr>
        <w:t>CLOSED_PERIOD_LOCKED</w:t>
      </w:r>
      <w:r>
        <w:rPr>
          <w:b w:val="0"/>
          <w:i w:val="0"/>
        </w:rPr>
        <w:t>.</w:t>
      </w:r>
    </w:p>
    <w:p>
      <w:pPr>
        <w:pStyle w:val="Heading3"/>
      </w:pPr>
      <w:r>
        <w:rPr>
          <w:b w:val="0"/>
          <w:i w:val="0"/>
        </w:rPr>
        <w:t>Why this matters</w:t>
      </w:r>
    </w:p>
    <w:p>
      <w:pPr>
        <w:spacing w:after="240"/>
        <w:ind w:left="432"/>
      </w:pPr>
      <w:r>
        <w:rPr>
          <w:i/>
          <w:color w:val="5A5A5A"/>
        </w:rPr>
        <w:t>Whether a closed accounting period may be reopened is a policy decision for the customer's accountants, not a technical one, and the answer differs between firms. The system surfaces it as a distinct refusal rather than deciding it quietly in either direction.</w:t>
      </w:r>
    </w:p>
    <w:p>
      <w:pPr>
        <w:pStyle w:val="Heading2"/>
      </w:pPr>
      <w:r>
        <w:rPr>
          <w:b w:val="0"/>
          <w:i w:val="0"/>
        </w:rPr>
        <w:t>8.5  The amendment gate</w:t>
      </w:r>
    </w:p>
    <w:p>
      <w:r>
        <w:rPr>
          <w:b w:val="0"/>
          <w:i w:val="0"/>
        </w:rPr>
        <w:t>This is the newest control and the one most worth testing, because without it an amendment is a way round the entire system.</w:t>
      </w:r>
    </w:p>
    <w:p>
      <w:pPr>
        <w:spacing w:after="80"/>
        <w:ind w:left="432"/>
      </w:pPr>
      <w:r>
        <w:rPr>
          <w:b/>
        </w:rPr>
        <w:t xml:space="preserve">1.  </w:t>
      </w:r>
      <w:r>
        <w:rPr>
          <w:b w:val="0"/>
          <w:i w:val="0"/>
        </w:rPr>
        <w:t xml:space="preserve">Open the </w:t>
      </w:r>
      <w:r>
        <w:rPr>
          <w:b/>
          <w:i w:val="0"/>
        </w:rPr>
        <w:t>Harbour and Vale Bank</w:t>
      </w:r>
      <w:r>
        <w:rPr>
          <w:b w:val="0"/>
          <w:i w:val="0"/>
        </w:rPr>
        <w:t xml:space="preserve"> forward. Its limit is £8,000,000.</w:t>
      </w:r>
    </w:p>
    <w:p>
      <w:pPr>
        <w:spacing w:after="80"/>
        <w:ind w:left="432"/>
      </w:pPr>
      <w:r>
        <w:rPr>
          <w:b/>
        </w:rPr>
        <w:t xml:space="preserve">2.  </w:t>
      </w:r>
      <w:r>
        <w:rPr>
          <w:b w:val="0"/>
          <w:i w:val="0"/>
        </w:rPr>
        <w:t xml:space="preserve">Under </w:t>
      </w:r>
      <w:r>
        <w:rPr>
          <w:b/>
          <w:i w:val="0"/>
        </w:rPr>
        <w:t>Amendments</w:t>
      </w:r>
      <w:r>
        <w:rPr>
          <w:b w:val="0"/>
          <w:i w:val="0"/>
        </w:rPr>
        <w:t xml:space="preserve">, click </w:t>
      </w:r>
      <w:r>
        <w:rPr>
          <w:b/>
          <w:i w:val="0"/>
        </w:rPr>
        <w:t>Raise one</w:t>
      </w:r>
      <w:r>
        <w:rPr>
          <w:b w:val="0"/>
          <w:i w:val="0"/>
        </w:rPr>
        <w:t>.</w:t>
      </w:r>
    </w:p>
    <w:p>
      <w:pPr>
        <w:spacing w:after="80"/>
        <w:ind w:left="432"/>
      </w:pPr>
      <w:r>
        <w:rPr>
          <w:b/>
        </w:rPr>
        <w:t xml:space="preserve">3.  </w:t>
      </w:r>
      <w:r>
        <w:rPr>
          <w:b w:val="0"/>
          <w:i w:val="0"/>
        </w:rPr>
        <w:t xml:space="preserve">Set </w:t>
      </w:r>
      <w:r>
        <w:rPr>
          <w:b/>
          <w:i w:val="0"/>
        </w:rPr>
        <w:t>Type</w:t>
      </w:r>
      <w:r>
        <w:rPr>
          <w:b w:val="0"/>
          <w:i w:val="0"/>
        </w:rPr>
        <w:t xml:space="preserve"> to </w:t>
      </w:r>
      <w:r>
        <w:rPr>
          <w:b/>
          <w:i w:val="0"/>
        </w:rPr>
        <w:t>Correction</w:t>
      </w:r>
      <w:r>
        <w:rPr>
          <w:b w:val="0"/>
          <w:i w:val="0"/>
        </w:rPr>
        <w:t>, give a reason, and raise it with a principal of £500,000,000. (The principal field appears for a correction.)</w:t>
      </w:r>
    </w:p>
    <w:p>
      <w:pPr>
        <w:spacing w:after="80"/>
        <w:ind w:left="432"/>
      </w:pPr>
      <w:r>
        <w:rPr>
          <w:b/>
        </w:rPr>
        <w:t xml:space="preserve">4.  </w:t>
      </w:r>
      <w:r>
        <w:rPr>
          <w:b w:val="0"/>
          <w:i w:val="0"/>
        </w:rPr>
        <w:t xml:space="preserve">Click </w:t>
      </w:r>
      <w:r>
        <w:rPr>
          <w:b/>
          <w:i w:val="0"/>
        </w:rPr>
        <w:t>Apply. Re-test, reverse and repost.</w:t>
      </w:r>
      <w:r>
        <w:rPr>
          <w:b w:val="0"/>
          <w:i w:val="0"/>
        </w:rPr>
        <w:t>.</w:t>
      </w:r>
    </w:p>
    <w:p>
      <w:pPr>
        <w:pStyle w:val="Heading3"/>
      </w:pPr>
      <w:r>
        <w:rPr>
          <w:b w:val="0"/>
          <w:i w:val="0"/>
        </w:rPr>
        <w:t>What you should see</w:t>
      </w:r>
    </w:p>
    <w:p>
      <w:pPr>
        <w:pStyle w:val="ListBullet"/>
        <w:spacing w:after="60"/>
        <w:ind w:left="605"/>
      </w:pPr>
      <w:r>
        <w:rPr>
          <w:b w:val="0"/>
          <w:i w:val="0"/>
        </w:rPr>
        <w:t xml:space="preserve">Refused, with the code </w:t>
      </w:r>
      <w:r>
        <w:rPr>
          <w:b/>
          <w:i w:val="0"/>
        </w:rPr>
        <w:t>AMENDMENT_FAILS_CHECKS</w:t>
      </w:r>
      <w:r>
        <w:rPr>
          <w:b w:val="0"/>
          <w:i w:val="0"/>
        </w:rPr>
        <w:t xml:space="preserve"> and the failing check quoted.</w:t>
      </w:r>
    </w:p>
    <w:p>
      <w:pPr>
        <w:pStyle w:val="ListBullet"/>
        <w:spacing w:after="60"/>
        <w:ind w:left="605"/>
      </w:pPr>
      <w:r>
        <w:rPr>
          <w:b w:val="0"/>
          <w:i w:val="0"/>
        </w:rPr>
        <w:t>Nothing was reversed. The deal and the book are exactly as they were.</w:t>
      </w:r>
    </w:p>
    <w:p>
      <w:pPr>
        <w:pStyle w:val="ListBullet"/>
        <w:spacing w:after="60"/>
        <w:ind w:left="605"/>
      </w:pPr>
      <w:r>
        <w:rPr>
          <w:b w:val="0"/>
          <w:i w:val="0"/>
        </w:rPr>
        <w:t xml:space="preserve">The strip shows a new </w:t>
      </w:r>
      <w:r>
        <w:rPr>
          <w:b/>
          <w:i w:val="0"/>
        </w:rPr>
        <w:t>Queue</w:t>
      </w:r>
      <w:r>
        <w:rPr>
          <w:b w:val="0"/>
          <w:i w:val="0"/>
        </w:rPr>
        <w:t xml:space="preserve"> item — a limit failure, with the arithmetic.</w:t>
      </w:r>
    </w:p>
    <w:p>
      <w:pPr>
        <w:pStyle w:val="Heading3"/>
      </w:pPr>
      <w:r>
        <w:rPr>
          <w:b w:val="0"/>
          <w:i w:val="0"/>
        </w:rPr>
        <w:t>Why this matters</w:t>
      </w:r>
    </w:p>
    <w:p>
      <w:pPr>
        <w:spacing w:after="240"/>
        <w:ind w:left="432"/>
      </w:pPr>
      <w:r>
        <w:rPr>
          <w:i/>
          <w:color w:val="5A5A5A"/>
        </w:rPr>
        <w:t>An amendment is a new decision about a position, so it passes the same six checks a booking does. Without this gate you could raise a partial drawdown, put the principal up rather than down, and land a deal of any size with no check run, no queue item and no breach — the counterparty would sit at several hundred per cent of its limit and every indicator on the screen would read zero. The check runs before anything is reversed, so a refusal leaves the ledger untouched, and the check run is written anyway, because a refusal with no evidence is one somebody has to take on trust.</w:t>
      </w:r>
    </w:p>
    <w:p>
      <w:pPr>
        <w:pStyle w:val="Heading2"/>
      </w:pPr>
      <w:r>
        <w:rPr>
          <w:b w:val="0"/>
          <w:i w:val="0"/>
        </w:rPr>
        <w:t>8.6  The type has to describe what happened</w:t>
      </w:r>
    </w:p>
    <w:p>
      <w:pPr>
        <w:spacing w:after="80"/>
        <w:ind w:left="432"/>
      </w:pPr>
      <w:r>
        <w:rPr>
          <w:b/>
        </w:rPr>
        <w:t xml:space="preserve">1.  </w:t>
      </w:r>
      <w:r>
        <w:rPr>
          <w:b w:val="0"/>
          <w:i w:val="0"/>
        </w:rPr>
        <w:t xml:space="preserve">Raise an amendment of </w:t>
      </w:r>
      <w:r>
        <w:rPr>
          <w:b/>
          <w:i w:val="0"/>
        </w:rPr>
        <w:t>Type</w:t>
      </w:r>
      <w:r>
        <w:rPr>
          <w:b w:val="0"/>
          <w:i w:val="0"/>
        </w:rPr>
        <w:t xml:space="preserve"> </w:t>
      </w:r>
      <w:r>
        <w:rPr>
          <w:b/>
          <w:i w:val="0"/>
        </w:rPr>
        <w:t>Partial drawdown</w:t>
      </w:r>
      <w:r>
        <w:rPr>
          <w:b w:val="0"/>
          <w:i w:val="0"/>
        </w:rPr>
        <w:t xml:space="preserve"> with a principal </w:t>
      </w:r>
      <w:r>
        <w:rPr>
          <w:b w:val="0"/>
          <w:i/>
        </w:rPr>
        <w:t>larger</w:t>
      </w:r>
      <w:r>
        <w:rPr>
          <w:b w:val="0"/>
          <w:i w:val="0"/>
        </w:rPr>
        <w:t xml:space="preserve"> than the current one.</w:t>
      </w:r>
    </w:p>
    <w:p>
      <w:pPr>
        <w:pStyle w:val="Heading3"/>
      </w:pPr>
      <w:r>
        <w:rPr>
          <w:b w:val="0"/>
          <w:i w:val="0"/>
        </w:rPr>
        <w:t>What you should see</w:t>
      </w:r>
    </w:p>
    <w:p>
      <w:pPr>
        <w:pStyle w:val="ListBullet"/>
        <w:spacing w:after="60"/>
        <w:ind w:left="605"/>
      </w:pPr>
      <w:r>
        <w:rPr>
          <w:b w:val="0"/>
          <w:i w:val="0"/>
        </w:rPr>
        <w:t xml:space="preserve">Refused immediately, with the code </w:t>
      </w:r>
      <w:r>
        <w:rPr>
          <w:b/>
          <w:i w:val="0"/>
        </w:rPr>
        <w:t>AMENDMENT_TYPE_INVALID</w:t>
      </w:r>
      <w:r>
        <w:rPr>
          <w:b w:val="0"/>
          <w:i w:val="0"/>
        </w:rPr>
        <w:t>, before anything is previewed.</w:t>
      </w:r>
    </w:p>
    <w:p>
      <w:pPr>
        <w:pStyle w:val="ListBullet"/>
        <w:spacing w:after="60"/>
        <w:ind w:left="605"/>
      </w:pPr>
      <w:r>
        <w:rPr>
          <w:b w:val="0"/>
          <w:i w:val="0"/>
        </w:rPr>
        <w:t xml:space="preserve">A </w:t>
      </w:r>
      <w:r>
        <w:rPr>
          <w:b/>
          <w:i w:val="0"/>
        </w:rPr>
        <w:t>Roll</w:t>
      </w:r>
      <w:r>
        <w:rPr>
          <w:b w:val="0"/>
          <w:i w:val="0"/>
        </w:rPr>
        <w:t xml:space="preserve"> without a later maturity date is refused the same way.</w:t>
      </w:r>
    </w:p>
    <w:p>
      <w:pPr>
        <w:pStyle w:val="Heading3"/>
      </w:pPr>
      <w:r>
        <w:rPr>
          <w:b w:val="0"/>
          <w:i w:val="0"/>
        </w:rPr>
        <w:t>Why this matters</w:t>
      </w:r>
    </w:p>
    <w:p>
      <w:pPr>
        <w:spacing w:after="240"/>
        <w:ind w:left="432"/>
      </w:pPr>
      <w:r>
        <w:rPr>
          <w:i/>
          <w:color w:val="5A5A5A"/>
        </w:rPr>
        <w:t>The type is not decoration; it is the word that will appear in the audit trail. A drawdown that increases the principal is not a drawdown, and accepting one means the record no longer describes what happened. A correction is the deliberate exception — it exists to undo a keying error, so any field may move in any direction — but it still passes the gate.</w:t>
      </w:r>
    </w:p>
    <w:p>
      <w:pPr>
        <w:pStyle w:val="Heading2"/>
      </w:pPr>
      <w:r>
        <w:rPr>
          <w:b w:val="0"/>
          <w:i w:val="0"/>
        </w:rPr>
        <w:t>8.7  Settlement — two of three is not enough</w:t>
      </w:r>
    </w:p>
    <w:p>
      <w:pPr>
        <w:spacing w:after="80"/>
        <w:ind w:left="432"/>
      </w:pPr>
      <w:r>
        <w:rPr>
          <w:b/>
        </w:rPr>
        <w:t xml:space="preserve">1.  </w:t>
      </w:r>
      <w:r>
        <w:rPr>
          <w:b w:val="0"/>
          <w:i w:val="0"/>
        </w:rPr>
        <w:t xml:space="preserve">Open a deal and find the </w:t>
      </w:r>
      <w:r>
        <w:rPr>
          <w:b/>
          <w:i w:val="0"/>
        </w:rPr>
        <w:t>Settlement</w:t>
      </w:r>
      <w:r>
        <w:rPr>
          <w:b w:val="0"/>
          <w:i w:val="0"/>
        </w:rPr>
        <w:t xml:space="preserve"> section.</w:t>
      </w:r>
    </w:p>
    <w:p>
      <w:pPr>
        <w:spacing w:after="80"/>
        <w:ind w:left="432"/>
      </w:pPr>
      <w:r>
        <w:rPr>
          <w:b/>
        </w:rPr>
        <w:t xml:space="preserve">2.  </w:t>
      </w:r>
      <w:r>
        <w:rPr>
          <w:b w:val="0"/>
          <w:i w:val="0"/>
        </w:rPr>
        <w:t xml:space="preserve">Click </w:t>
      </w:r>
      <w:r>
        <w:rPr>
          <w:b/>
          <w:i w:val="0"/>
        </w:rPr>
        <w:t>Match three sources</w:t>
      </w:r>
      <w:r>
        <w:rPr>
          <w:b w:val="0"/>
          <w:i w:val="0"/>
        </w:rPr>
        <w:t>.</w:t>
      </w:r>
    </w:p>
    <w:p>
      <w:pPr>
        <w:spacing w:after="80"/>
        <w:ind w:left="432"/>
      </w:pPr>
      <w:r>
        <w:rPr>
          <w:b/>
        </w:rPr>
        <w:t xml:space="preserve">3.  </w:t>
      </w:r>
      <w:r>
        <w:rPr>
          <w:b w:val="0"/>
          <w:i w:val="0"/>
        </w:rPr>
        <w:t xml:space="preserve">Click </w:t>
      </w:r>
      <w:r>
        <w:rPr>
          <w:b/>
          <w:i w:val="0"/>
        </w:rPr>
        <w:t>Record a matching line and settle</w:t>
      </w:r>
      <w:r>
        <w:rPr>
          <w:b w:val="0"/>
          <w:i w:val="0"/>
        </w:rPr>
        <w:t>.</w:t>
      </w:r>
    </w:p>
    <w:p>
      <w:pPr>
        <w:pStyle w:val="Heading3"/>
      </w:pPr>
      <w:r>
        <w:rPr>
          <w:b w:val="0"/>
          <w:i w:val="0"/>
        </w:rPr>
        <w:t>What you should see</w:t>
      </w:r>
    </w:p>
    <w:p>
      <w:pPr>
        <w:pStyle w:val="ListBullet"/>
        <w:spacing w:after="60"/>
        <w:ind w:left="605"/>
      </w:pPr>
      <w:r>
        <w:rPr>
          <w:b w:val="0"/>
          <w:i w:val="0"/>
        </w:rPr>
        <w:t xml:space="preserve">Three figures listed: </w:t>
      </w:r>
      <w:r>
        <w:rPr>
          <w:b/>
          <w:i w:val="0"/>
        </w:rPr>
        <w:t>Record</w:t>
      </w:r>
      <w:r>
        <w:rPr>
          <w:b w:val="0"/>
          <w:i w:val="0"/>
        </w:rPr>
        <w:t xml:space="preserve">, </w:t>
      </w:r>
      <w:r>
        <w:rPr>
          <w:b/>
          <w:i w:val="0"/>
        </w:rPr>
        <w:t>Confirmation</w:t>
      </w:r>
      <w:r>
        <w:rPr>
          <w:b w:val="0"/>
          <w:i w:val="0"/>
        </w:rPr>
        <w:t xml:space="preserve">, </w:t>
      </w:r>
      <w:r>
        <w:rPr>
          <w:b/>
          <w:i w:val="0"/>
        </w:rPr>
        <w:t>Statement</w:t>
      </w:r>
      <w:r>
        <w:rPr>
          <w:b w:val="0"/>
          <w:i w:val="0"/>
        </w:rPr>
        <w:t>.</w:t>
      </w:r>
    </w:p>
    <w:p>
      <w:pPr>
        <w:pStyle w:val="ListBullet"/>
        <w:spacing w:after="60"/>
        <w:ind w:left="605"/>
      </w:pPr>
      <w:r>
        <w:rPr>
          <w:b w:val="0"/>
          <w:i w:val="0"/>
        </w:rPr>
        <w:t xml:space="preserve">If the deal has no confirmation, the result is </w:t>
      </w:r>
      <w:r>
        <w:rPr>
          <w:b w:val="0"/>
          <w:i/>
        </w:rPr>
        <w:t>“Waiting on a third source”</w:t>
      </w:r>
      <w:r>
        <w:rPr>
          <w:b w:val="0"/>
          <w:i w:val="0"/>
        </w:rPr>
        <w:t xml:space="preserve"> — it does not close.</w:t>
      </w:r>
    </w:p>
    <w:p>
      <w:pPr>
        <w:pStyle w:val="ListBullet"/>
        <w:spacing w:after="60"/>
        <w:ind w:left="605"/>
      </w:pPr>
      <w:r>
        <w:rPr>
          <w:b w:val="0"/>
          <w:i w:val="0"/>
        </w:rPr>
        <w:t xml:space="preserve">With all three present and agreeing: </w:t>
      </w:r>
      <w:r>
        <w:rPr>
          <w:b w:val="0"/>
          <w:i/>
        </w:rPr>
        <w:t>“All three agree”</w:t>
      </w:r>
      <w:r>
        <w:rPr>
          <w:b w:val="0"/>
          <w:i w:val="0"/>
        </w:rPr>
        <w:t xml:space="preserve">, and the deal </w:t>
      </w:r>
      <w:r>
        <w:rPr>
          <w:b/>
          <w:i w:val="0"/>
        </w:rPr>
        <w:t>Stage</w:t>
      </w:r>
      <w:r>
        <w:rPr>
          <w:b w:val="0"/>
          <w:i w:val="0"/>
        </w:rPr>
        <w:t xml:space="preserve"> becomes </w:t>
      </w:r>
      <w:r>
        <w:rPr>
          <w:b/>
          <w:i w:val="0"/>
        </w:rPr>
        <w:t>closed</w:t>
      </w:r>
      <w:r>
        <w:rPr>
          <w:b w:val="0"/>
          <w:i w:val="0"/>
        </w:rPr>
        <w:t>.</w:t>
      </w:r>
    </w:p>
    <w:p>
      <w:pPr>
        <w:pStyle w:val="ListBullet"/>
        <w:spacing w:after="60"/>
        <w:ind w:left="605"/>
      </w:pPr>
      <w:r>
        <w:rPr>
          <w:b w:val="0"/>
          <w:i w:val="0"/>
        </w:rPr>
        <w:t xml:space="preserve">Check </w:t>
      </w:r>
      <w:r>
        <w:rPr>
          <w:b/>
          <w:i w:val="0"/>
        </w:rPr>
        <w:t>Approved Counterparties</w:t>
      </w:r>
      <w:r>
        <w:rPr>
          <w:b w:val="0"/>
          <w:i w:val="0"/>
        </w:rPr>
        <w:t>: the counterparty's headroom has returned.</w:t>
      </w:r>
    </w:p>
    <w:p>
      <w:pPr>
        <w:pStyle w:val="Heading3"/>
      </w:pPr>
      <w:r>
        <w:rPr>
          <w:b w:val="0"/>
          <w:i w:val="0"/>
        </w:rPr>
        <w:t>Why this matters</w:t>
      </w:r>
    </w:p>
    <w:p>
      <w:pPr>
        <w:spacing w:after="240"/>
        <w:ind w:left="432"/>
      </w:pPr>
      <w:r>
        <w:rPr>
          <w:i/>
          <w:color w:val="5A5A5A"/>
        </w:rPr>
        <w:t>If the deal record and the confirmation agree but the bank statement differs, the money did not arrive as promised — and that is precisely the case two-way matching cannot see. The break names which two agree and by how much the third differs. Closing matters for a reason that is easy to miss: until a deal closes, the counterparty still holds the headroom, and the next deal can be blocked for no reason at all. Closing is part of the control system, not an accounting formality.</w:t>
      </w:r>
    </w:p>
    <w:p>
      <w:r>
        <w:rPr>
          <w:b w:val="0"/>
          <w:i/>
          <w:color w:val="5A5A5A"/>
        </w:rPr>
        <w:t>The second button exists because the bank statement feed is not built. It records a line for exactly what the deal expects so the three-way match is a real comparison rather than a simulated one.</w:t>
      </w:r>
    </w:p>
    <w:p>
      <w:r>
        <w:br w:type="page"/>
      </w:r>
    </w:p>
    <w:p>
      <w:pPr>
        <w:pStyle w:val="Heading1"/>
      </w:pPr>
      <w:r>
        <w:rPr>
          <w:b w:val="0"/>
          <w:i w:val="0"/>
        </w:rPr>
        <w:t>9.  Currency exposure and hedging</w:t>
      </w:r>
    </w:p>
    <w:p>
      <w:r>
        <w:rPr>
          <w:b w:val="0"/>
          <w:i w:val="0"/>
        </w:rPr>
        <w:t>This is the second thing called exposure, and keeping the two apart is the whole point of the section.</w:t>
      </w:r>
    </w:p>
    <w:p>
      <w:pPr>
        <w:spacing w:after="80"/>
        <w:ind w:left="432"/>
      </w:pPr>
      <w:r>
        <w:rPr>
          <w:b/>
        </w:rPr>
        <w:t xml:space="preserve">1.  </w:t>
      </w:r>
      <w:r>
        <w:rPr>
          <w:b w:val="0"/>
          <w:i w:val="0"/>
        </w:rPr>
        <w:t xml:space="preserve">Open </w:t>
      </w:r>
      <w:r>
        <w:rPr>
          <w:b/>
          <w:i w:val="0"/>
        </w:rPr>
        <w:t>Exposure</w:t>
      </w:r>
      <w:r>
        <w:rPr>
          <w:b w:val="0"/>
          <w:i w:val="0"/>
        </w:rPr>
        <w:t xml:space="preserve"> and switch to the </w:t>
      </w:r>
      <w:r>
        <w:rPr>
          <w:b/>
          <w:i w:val="0"/>
        </w:rPr>
        <w:t>Currency exposure</w:t>
      </w:r>
      <w:r>
        <w:rPr>
          <w:b w:val="0"/>
          <w:i w:val="0"/>
        </w:rPr>
        <w:t xml:space="preserve"> tab.</w:t>
      </w:r>
    </w:p>
    <w:p>
      <w:pPr>
        <w:pStyle w:val="Heading3"/>
      </w:pPr>
      <w:r>
        <w:rPr>
          <w:b w:val="0"/>
          <w:i w:val="0"/>
        </w:rPr>
        <w:t>What you should see</w:t>
      </w:r>
    </w:p>
    <w:p>
      <w:pPr>
        <w:pStyle w:val="ListBullet"/>
        <w:spacing w:after="60"/>
        <w:ind w:left="605"/>
      </w:pPr>
      <w:r>
        <w:rPr>
          <w:b w:val="0"/>
          <w:i w:val="0"/>
        </w:rPr>
        <w:t>A warning at the top of the tab stating that counterparty exposure and currency exposure are never netted.</w:t>
      </w:r>
    </w:p>
    <w:p>
      <w:pPr>
        <w:pStyle w:val="ListBullet"/>
        <w:spacing w:after="60"/>
        <w:ind w:left="605"/>
      </w:pPr>
      <w:r>
        <w:rPr>
          <w:b w:val="0"/>
          <w:i w:val="0"/>
        </w:rPr>
        <w:t>Four time buckets, each with a coverage bar against a target.</w:t>
      </w:r>
    </w:p>
    <w:p>
      <w:pPr>
        <w:pStyle w:val="ListBullet"/>
        <w:spacing w:after="60"/>
        <w:ind w:left="605"/>
      </w:pPr>
      <w:r>
        <w:rPr>
          <w:b w:val="0"/>
          <w:i w:val="0"/>
        </w:rPr>
        <w:t xml:space="preserve">An </w:t>
      </w:r>
      <w:r>
        <w:rPr>
          <w:b/>
          <w:i w:val="0"/>
        </w:rPr>
        <w:t>Obligations, and what covers each</w:t>
      </w:r>
      <w:r>
        <w:rPr>
          <w:b w:val="0"/>
          <w:i w:val="0"/>
        </w:rPr>
        <w:t xml:space="preserve"> section, empty on a fresh book.</w:t>
      </w:r>
    </w:p>
    <w:p>
      <w:pPr>
        <w:pStyle w:val="Heading3"/>
      </w:pPr>
      <w:r>
        <w:rPr>
          <w:b w:val="0"/>
          <w:i w:val="0"/>
        </w:rPr>
        <w:t>Why this matters</w:t>
      </w:r>
    </w:p>
    <w:p>
      <w:pPr>
        <w:spacing w:after="240"/>
        <w:ind w:left="432"/>
      </w:pPr>
      <w:r>
        <w:rPr>
          <w:i/>
          <w:color w:val="5A5A5A"/>
        </w:rPr>
        <w:t>A forward increases counterparty exposure and reduces currency exposure at the same time. They move in opposite directions, are measured in different units, and must never be added together. They are kept in separate tabs, in separate tables, with no shared key and no endpoint that returns both — the warning is on the screen rather than only in the documentation because the screen is where somebody would try it.</w:t>
      </w:r>
    </w:p>
    <w:p>
      <w:pPr>
        <w:pStyle w:val="Heading2"/>
      </w:pPr>
      <w:r>
        <w:rPr>
          <w:b w:val="0"/>
          <w:i w:val="0"/>
        </w:rPr>
        <w:t>9.1  Record what you owe</w:t>
      </w:r>
    </w:p>
    <w:p>
      <w:pPr>
        <w:spacing w:after="80"/>
        <w:ind w:left="432"/>
      </w:pPr>
      <w:r>
        <w:rPr>
          <w:b/>
        </w:rPr>
        <w:t xml:space="preserve">1.  </w:t>
      </w:r>
      <w:r>
        <w:rPr>
          <w:b w:val="0"/>
          <w:i w:val="0"/>
        </w:rPr>
        <w:t xml:space="preserve">Click </w:t>
      </w:r>
      <w:r>
        <w:rPr>
          <w:b/>
          <w:i w:val="0"/>
        </w:rPr>
        <w:t>Record an obligation</w:t>
      </w:r>
      <w:r>
        <w:rPr>
          <w:b w:val="0"/>
          <w:i w:val="0"/>
        </w:rPr>
        <w:t>.</w:t>
      </w:r>
    </w:p>
    <w:p>
      <w:pPr>
        <w:spacing w:after="80"/>
        <w:ind w:left="432"/>
      </w:pPr>
      <w:r>
        <w:rPr>
          <w:b/>
        </w:rPr>
        <w:t xml:space="preserve">2.  </w:t>
      </w:r>
      <w:r>
        <w:rPr>
          <w:b w:val="0"/>
          <w:i w:val="0"/>
        </w:rPr>
        <w:t xml:space="preserve">Set </w:t>
      </w:r>
      <w:r>
        <w:rPr>
          <w:b/>
          <w:i w:val="0"/>
        </w:rPr>
        <w:t>Direction</w:t>
      </w:r>
      <w:r>
        <w:rPr>
          <w:b w:val="0"/>
          <w:i w:val="0"/>
        </w:rPr>
        <w:t xml:space="preserve"> to </w:t>
      </w:r>
      <w:r>
        <w:rPr>
          <w:b/>
          <w:i w:val="0"/>
        </w:rPr>
        <w:t>Payable</w:t>
      </w:r>
      <w:r>
        <w:rPr>
          <w:b w:val="0"/>
          <w:i w:val="0"/>
        </w:rPr>
        <w:t xml:space="preserve"> and </w:t>
      </w:r>
      <w:r>
        <w:rPr>
          <w:b/>
          <w:i w:val="0"/>
        </w:rPr>
        <w:t>Source</w:t>
      </w:r>
      <w:r>
        <w:rPr>
          <w:b w:val="0"/>
          <w:i w:val="0"/>
        </w:rPr>
        <w:t xml:space="preserve"> to </w:t>
      </w:r>
      <w:r>
        <w:rPr>
          <w:b/>
          <w:i w:val="0"/>
        </w:rPr>
        <w:t>Purchase order</w:t>
      </w:r>
      <w:r>
        <w:rPr>
          <w:b w:val="0"/>
          <w:i w:val="0"/>
        </w:rPr>
        <w:t>.</w:t>
      </w:r>
    </w:p>
    <w:p>
      <w:pPr>
        <w:spacing w:after="80"/>
        <w:ind w:left="432"/>
      </w:pPr>
      <w:r>
        <w:rPr>
          <w:b/>
        </w:rPr>
        <w:t xml:space="preserve">3.  </w:t>
      </w:r>
      <w:r>
        <w:rPr>
          <w:b w:val="0"/>
          <w:i w:val="0"/>
        </w:rPr>
        <w:t xml:space="preserve">Enter a </w:t>
      </w:r>
      <w:r>
        <w:rPr>
          <w:b/>
          <w:i w:val="0"/>
        </w:rPr>
        <w:t>Reference</w:t>
      </w:r>
      <w:r>
        <w:rPr>
          <w:b w:val="0"/>
          <w:i w:val="0"/>
        </w:rPr>
        <w:t xml:space="preserve"> such as </w:t>
      </w:r>
      <w:r>
        <w:rPr>
          <w:rFonts w:ascii="Consolas" w:hAnsi="Consolas"/>
          <w:b w:val="0"/>
          <w:i w:val="0"/>
          <w:sz w:val="19"/>
        </w:rPr>
        <w:t>PO-2026-4471</w:t>
      </w:r>
      <w:r>
        <w:rPr>
          <w:b w:val="0"/>
          <w:i w:val="0"/>
        </w:rPr>
        <w:t>.</w:t>
      </w:r>
    </w:p>
    <w:p>
      <w:pPr>
        <w:spacing w:after="80"/>
        <w:ind w:left="432"/>
      </w:pPr>
      <w:r>
        <w:rPr>
          <w:b/>
        </w:rPr>
        <w:t xml:space="preserve">4.  </w:t>
      </w:r>
      <w:r>
        <w:rPr>
          <w:b w:val="0"/>
          <w:i w:val="0"/>
        </w:rPr>
        <w:t xml:space="preserve">Enter </w:t>
      </w:r>
      <w:r>
        <w:rPr>
          <w:rFonts w:ascii="Consolas" w:hAnsi="Consolas"/>
          <w:b w:val="0"/>
          <w:i w:val="0"/>
          <w:sz w:val="19"/>
        </w:rPr>
        <w:t>4000000</w:t>
      </w:r>
      <w:r>
        <w:rPr>
          <w:b w:val="0"/>
          <w:i w:val="0"/>
        </w:rPr>
        <w:t xml:space="preserve"> as the amount and a date about two months out.</w:t>
      </w:r>
    </w:p>
    <w:p>
      <w:pPr>
        <w:spacing w:after="80"/>
        <w:ind w:left="432"/>
      </w:pPr>
      <w:r>
        <w:rPr>
          <w:b/>
        </w:rPr>
        <w:t xml:space="preserve">5.  </w:t>
      </w:r>
      <w:r>
        <w:rPr>
          <w:b w:val="0"/>
          <w:i w:val="0"/>
        </w:rPr>
        <w:t>Submit the form.</w:t>
      </w:r>
    </w:p>
    <w:p>
      <w:pPr>
        <w:pStyle w:val="Heading3"/>
      </w:pPr>
      <w:r>
        <w:rPr>
          <w:b w:val="0"/>
          <w:i w:val="0"/>
        </w:rPr>
        <w:t>What you should see</w:t>
      </w:r>
    </w:p>
    <w:p>
      <w:pPr>
        <w:pStyle w:val="ListBullet"/>
        <w:spacing w:after="60"/>
        <w:ind w:left="605"/>
      </w:pPr>
      <w:r>
        <w:rPr>
          <w:b w:val="0"/>
          <w:i w:val="0"/>
        </w:rPr>
        <w:t xml:space="preserve">A row reading </w:t>
      </w:r>
      <w:r>
        <w:rPr>
          <w:b/>
          <w:i w:val="0"/>
        </w:rPr>
        <w:t>€4,000,000 PAYABLE</w:t>
      </w:r>
      <w:r>
        <w:rPr>
          <w:b w:val="0"/>
          <w:i w:val="0"/>
        </w:rPr>
        <w:t xml:space="preserve"> with status </w:t>
      </w:r>
      <w:r>
        <w:rPr>
          <w:b/>
          <w:i w:val="0"/>
        </w:rPr>
        <w:t>IDENTIFIED</w:t>
      </w:r>
      <w:r>
        <w:rPr>
          <w:b w:val="0"/>
          <w:i w:val="0"/>
        </w:rPr>
        <w:t>.</w:t>
      </w:r>
    </w:p>
    <w:p>
      <w:pPr>
        <w:pStyle w:val="ListBullet"/>
        <w:spacing w:after="60"/>
        <w:ind w:left="605"/>
      </w:pPr>
      <w:r>
        <w:rPr>
          <w:b w:val="0"/>
          <w:i w:val="0"/>
        </w:rPr>
        <w:t xml:space="preserve">The </w:t>
      </w:r>
      <w:r>
        <w:rPr>
          <w:b/>
          <w:i w:val="0"/>
        </w:rPr>
        <w:t>0 3m</w:t>
      </w:r>
      <w:r>
        <w:rPr>
          <w:b w:val="0"/>
          <w:i w:val="0"/>
        </w:rPr>
        <w:t xml:space="preserve"> bucket now reads </w:t>
      </w:r>
      <w:r>
        <w:rPr>
          <w:b w:val="0"/>
          <w:i/>
        </w:rPr>
        <w:t>“€0 covered of €4,000,000”</w:t>
      </w:r>
      <w:r>
        <w:rPr>
          <w:b w:val="0"/>
          <w:i w:val="0"/>
        </w:rPr>
        <w:t xml:space="preserve"> and </w:t>
      </w:r>
      <w:r>
        <w:rPr>
          <w:b w:val="0"/>
          <w:i/>
        </w:rPr>
        <w:t>“0.00% covered, against a target of 80.00%. €3,200,000 short.”</w:t>
      </w:r>
    </w:p>
    <w:p>
      <w:pPr>
        <w:pStyle w:val="Heading3"/>
      </w:pPr>
      <w:r>
        <w:rPr>
          <w:b w:val="0"/>
          <w:i w:val="0"/>
        </w:rPr>
        <w:t>Why this matters</w:t>
      </w:r>
    </w:p>
    <w:p>
      <w:pPr>
        <w:spacing w:after="240"/>
        <w:ind w:left="432"/>
      </w:pPr>
      <w:r>
        <w:rPr>
          <w:i/>
          <w:color w:val="5A5A5A"/>
        </w:rPr>
        <w:t>An exposure exists before any hedge and often outlives several of them, so it is recorded in its own right. Every figure carries its currency beside it and is held in minor units — nothing on this tab is in pence, and there is no total that spans the two tabs, because there is no query that could produce one.</w:t>
      </w:r>
    </w:p>
    <w:p>
      <w:pPr>
        <w:pStyle w:val="Heading2"/>
      </w:pPr>
      <w:r>
        <w:rPr>
          <w:b w:val="0"/>
          <w:i w:val="0"/>
        </w:rPr>
        <w:t>9.2  Cover it with a forward</w:t>
      </w:r>
    </w:p>
    <w:p>
      <w:pPr>
        <w:spacing w:after="80"/>
        <w:ind w:left="432"/>
      </w:pPr>
      <w:r>
        <w:rPr>
          <w:b/>
        </w:rPr>
        <w:t xml:space="preserve">1.  </w:t>
      </w:r>
      <w:r>
        <w:rPr>
          <w:b w:val="0"/>
          <w:i w:val="0"/>
        </w:rPr>
        <w:t xml:space="preserve">Click </w:t>
      </w:r>
      <w:r>
        <w:rPr>
          <w:b/>
          <w:i w:val="0"/>
        </w:rPr>
        <w:t>Link a forward</w:t>
      </w:r>
      <w:r>
        <w:rPr>
          <w:b w:val="0"/>
          <w:i w:val="0"/>
        </w:rPr>
        <w:t xml:space="preserve"> on the obligation row.</w:t>
      </w:r>
    </w:p>
    <w:p>
      <w:pPr>
        <w:spacing w:after="80"/>
        <w:ind w:left="432"/>
      </w:pPr>
      <w:r>
        <w:rPr>
          <w:b/>
        </w:rPr>
        <w:t xml:space="preserve">2.  </w:t>
      </w:r>
      <w:r>
        <w:rPr>
          <w:b w:val="0"/>
          <w:i w:val="0"/>
        </w:rPr>
        <w:t xml:space="preserve">Choose the Harbour and Vale forward and enter </w:t>
      </w:r>
      <w:r>
        <w:rPr>
          <w:rFonts w:ascii="Consolas" w:hAnsi="Consolas"/>
          <w:b w:val="0"/>
          <w:i w:val="0"/>
          <w:sz w:val="19"/>
        </w:rPr>
        <w:t>3200000</w:t>
      </w:r>
      <w:r>
        <w:rPr>
          <w:b w:val="0"/>
          <w:i w:val="0"/>
        </w:rPr>
        <w:t xml:space="preserve"> as the amount covered.</w:t>
      </w:r>
    </w:p>
    <w:p>
      <w:pPr>
        <w:spacing w:after="80"/>
        <w:ind w:left="432"/>
      </w:pPr>
      <w:r>
        <w:rPr>
          <w:b/>
        </w:rPr>
        <w:t xml:space="preserve">3.  </w:t>
      </w:r>
      <w:r>
        <w:rPr>
          <w:b w:val="0"/>
          <w:i w:val="0"/>
        </w:rPr>
        <w:t xml:space="preserve">Click </w:t>
      </w:r>
      <w:r>
        <w:rPr>
          <w:b/>
          <w:i w:val="0"/>
        </w:rPr>
        <w:t>Link</w:t>
      </w:r>
      <w:r>
        <w:rPr>
          <w:b w:val="0"/>
          <w:i w:val="0"/>
        </w:rPr>
        <w:t>.</w:t>
      </w:r>
    </w:p>
    <w:p>
      <w:pPr>
        <w:pStyle w:val="Heading3"/>
      </w:pPr>
      <w:r>
        <w:rPr>
          <w:b w:val="0"/>
          <w:i w:val="0"/>
        </w:rPr>
        <w:t>What you should see</w:t>
      </w:r>
    </w:p>
    <w:p>
      <w:pPr>
        <w:pStyle w:val="ListBullet"/>
        <w:spacing w:after="60"/>
        <w:ind w:left="605"/>
      </w:pPr>
      <w:r>
        <w:rPr>
          <w:b w:val="0"/>
          <w:i w:val="0"/>
        </w:rPr>
        <w:t>Coverage moves from 0% to 80% and the bar turns green — the target is met.</w:t>
      </w:r>
    </w:p>
    <w:p>
      <w:pPr>
        <w:pStyle w:val="ListBullet"/>
        <w:spacing w:after="60"/>
        <w:ind w:left="605"/>
      </w:pPr>
      <w:r>
        <w:rPr>
          <w:b w:val="0"/>
          <w:i w:val="0"/>
        </w:rPr>
        <w:t xml:space="preserve">The status becomes </w:t>
      </w:r>
      <w:r>
        <w:rPr>
          <w:b/>
          <w:i w:val="0"/>
        </w:rPr>
        <w:t>PARTIALLY COVERED</w:t>
      </w:r>
      <w:r>
        <w:rPr>
          <w:b w:val="0"/>
          <w:i w:val="0"/>
        </w:rPr>
        <w:t>.</w:t>
      </w:r>
    </w:p>
    <w:p>
      <w:pPr>
        <w:pStyle w:val="ListBullet"/>
        <w:spacing w:after="60"/>
        <w:ind w:left="605"/>
      </w:pPr>
      <w:r>
        <w:rPr>
          <w:b w:val="0"/>
          <w:i w:val="0"/>
        </w:rPr>
        <w:t>The hedge is shown indented beneath the obligation it covers, named by counterparty.</w:t>
      </w:r>
    </w:p>
    <w:p>
      <w:pPr>
        <w:pStyle w:val="Heading3"/>
      </w:pPr>
      <w:r>
        <w:rPr>
          <w:b w:val="0"/>
          <w:i w:val="0"/>
        </w:rPr>
        <w:t>Why this matters</w:t>
      </w:r>
    </w:p>
    <w:p>
      <w:pPr>
        <w:spacing w:after="240"/>
        <w:ind w:left="432"/>
      </w:pPr>
      <w:r>
        <w:rPr>
          <w:i/>
          <w:color w:val="5A5A5A"/>
        </w:rPr>
        <w:t>A forward is an ordinary row in the deal table; there is no separate hedge table. What matters is the link between the forward and the thing it covers, because without it you own forwards and cannot say that anything is covered. Try linking more than the obligation is worth and it is refused: total cover across live links cannot exceed the exposure.</w:t>
      </w:r>
    </w:p>
    <w:p>
      <w:pPr>
        <w:pStyle w:val="Heading2"/>
      </w:pPr>
      <w:r>
        <w:rPr>
          <w:b w:val="0"/>
          <w:i w:val="0"/>
        </w:rPr>
        <w:t>9.3  Unlink, and watch the status move backwards</w:t>
      </w:r>
    </w:p>
    <w:p>
      <w:pPr>
        <w:spacing w:after="80"/>
        <w:ind w:left="432"/>
      </w:pPr>
      <w:r>
        <w:rPr>
          <w:b/>
        </w:rPr>
        <w:t xml:space="preserve">1.  </w:t>
      </w:r>
      <w:r>
        <w:rPr>
          <w:b w:val="0"/>
          <w:i w:val="0"/>
        </w:rPr>
        <w:t xml:space="preserve">Click </w:t>
      </w:r>
      <w:r>
        <w:rPr>
          <w:b/>
          <w:i w:val="0"/>
        </w:rPr>
        <w:t>Unlink…</w:t>
      </w:r>
      <w:r>
        <w:rPr>
          <w:b w:val="0"/>
          <w:i w:val="0"/>
        </w:rPr>
        <w:t xml:space="preserve"> and choose </w:t>
      </w:r>
      <w:r>
        <w:rPr>
          <w:b/>
          <w:i w:val="0"/>
        </w:rPr>
        <w:t>Rolled</w:t>
      </w:r>
      <w:r>
        <w:rPr>
          <w:b w:val="0"/>
          <w:i w:val="0"/>
        </w:rPr>
        <w:t>.</w:t>
      </w:r>
    </w:p>
    <w:p>
      <w:pPr>
        <w:pStyle w:val="Heading3"/>
      </w:pPr>
      <w:r>
        <w:rPr>
          <w:b w:val="0"/>
          <w:i w:val="0"/>
        </w:rPr>
        <w:t>What you should see</w:t>
      </w:r>
    </w:p>
    <w:p>
      <w:pPr>
        <w:pStyle w:val="ListBullet"/>
        <w:spacing w:after="60"/>
        <w:ind w:left="605"/>
      </w:pPr>
      <w:r>
        <w:rPr>
          <w:b w:val="0"/>
          <w:i w:val="0"/>
        </w:rPr>
        <w:t xml:space="preserve">Coverage returns to 0% and the status returns to </w:t>
      </w:r>
      <w:r>
        <w:rPr>
          <w:b/>
          <w:i w:val="0"/>
        </w:rPr>
        <w:t>IDENTIFIED</w:t>
      </w:r>
      <w:r>
        <w:rPr>
          <w:b w:val="0"/>
          <w:i w:val="0"/>
        </w:rPr>
        <w:t>.</w:t>
      </w:r>
    </w:p>
    <w:p>
      <w:pPr>
        <w:pStyle w:val="ListBullet"/>
        <w:spacing w:after="60"/>
        <w:ind w:left="605"/>
      </w:pPr>
      <w:r>
        <w:rPr>
          <w:b w:val="0"/>
          <w:i w:val="0"/>
        </w:rPr>
        <w:t>No error. The status moved backwards and that is a normal outcome.</w:t>
      </w:r>
    </w:p>
    <w:p>
      <w:pPr>
        <w:pStyle w:val="Heading3"/>
      </w:pPr>
      <w:r>
        <w:rPr>
          <w:b w:val="0"/>
          <w:i w:val="0"/>
        </w:rPr>
        <w:t>Why this matters</w:t>
      </w:r>
    </w:p>
    <w:p>
      <w:pPr>
        <w:spacing w:after="240"/>
        <w:ind w:left="432"/>
      </w:pPr>
      <w:r>
        <w:rPr>
          <w:i/>
          <w:color w:val="5A5A5A"/>
        </w:rPr>
        <w:t>Unlinking requires a reason, and there are four: rolled, closed early, exposure cancelled, reallocated. A covered exposure becoming partially covered when a delivery date slips is correct behaviour, not a defect. Nobody made a mistake; the world moved. A system that treats a backwards step as an error forces people to work around it.</w:t>
      </w:r>
    </w:p>
    <w:p>
      <w:r>
        <w:br w:type="page"/>
      </w:r>
    </w:p>
    <w:p>
      <w:pPr>
        <w:pStyle w:val="Heading1"/>
      </w:pPr>
      <w:r>
        <w:rPr>
          <w:b w:val="0"/>
          <w:i w:val="0"/>
        </w:rPr>
        <w:t>10.  What is deliberately not built</w:t>
      </w:r>
    </w:p>
    <w:p>
      <w:r>
        <w:rPr>
          <w:b w:val="0"/>
          <w:i w:val="0"/>
        </w:rPr>
        <w:t>A prototype that hides its edges is worse than one that shows them. These are the known boundaries, and each is a decision rather than an oversight.</w:t>
      </w:r>
    </w:p>
    <w:tbl>
      <w:tblPr>
        <w:tblStyle w:val="LightGrid-Accent1"/>
        <w:tblW w:type="auto" w:w="0"/>
        <w:jc w:val="left"/>
        <w:tblLook w:firstColumn="1" w:firstRow="1" w:lastColumn="0" w:lastRow="0" w:noHBand="0" w:noVBand="1" w:val="04A0"/>
      </w:tblPr>
      <w:tblGrid>
        <w:gridCol w:w="4752"/>
        <w:gridCol w:w="4752"/>
      </w:tblGrid>
      <w:tr>
        <w:tc>
          <w:tcPr>
            <w:tcW w:type="dxa" w:w="2520"/>
          </w:tcPr>
          <w:p>
            <w:r/>
            <w:r>
              <w:rPr>
                <w:b/>
                <w:sz w:val="19"/>
              </w:rPr>
              <w:t>Area</w:t>
            </w:r>
          </w:p>
        </w:tc>
        <w:tc>
          <w:tcPr>
            <w:tcW w:type="dxa" w:w="7416"/>
          </w:tcPr>
          <w:p>
            <w:r/>
            <w:r>
              <w:rPr>
                <w:b/>
                <w:sz w:val="19"/>
              </w:rPr>
              <w:t>Position</w:t>
            </w:r>
          </w:p>
        </w:tc>
      </w:tr>
      <w:tr>
        <w:tc>
          <w:tcPr>
            <w:tcW w:type="dxa" w:w="2520"/>
          </w:tcPr>
          <w:p>
            <w:r/>
            <w:r>
              <w:rPr>
                <w:sz w:val="19"/>
              </w:rPr>
              <w:t>Bank statement feed</w:t>
            </w:r>
          </w:p>
        </w:tc>
        <w:tc>
          <w:tcPr>
            <w:tcW w:type="dxa" w:w="7416"/>
          </w:tcPr>
          <w:p>
            <w:r/>
            <w:r>
              <w:rPr>
                <w:sz w:val="19"/>
              </w:rPr>
              <w:t>Not built. The Record a matching line and settle button stands in for it, recording a line for exactly what the deal expects so the three-way match is real rather than simulated.</w:t>
            </w:r>
          </w:p>
        </w:tc>
      </w:tr>
      <w:tr>
        <w:tc>
          <w:tcPr>
            <w:tcW w:type="dxa" w:w="2520"/>
          </w:tcPr>
          <w:p>
            <w:r/>
            <w:r>
              <w:rPr>
                <w:sz w:val="19"/>
              </w:rPr>
              <w:t>Oracle Fusion payments and journals</w:t>
            </w:r>
          </w:p>
        </w:tc>
        <w:tc>
          <w:tcPr>
            <w:tcW w:type="dxa" w:w="7416"/>
          </w:tcPr>
          <w:p>
            <w:r/>
            <w:r>
              <w:rPr>
                <w:sz w:val="19"/>
              </w:rPr>
              <w:t>Stubbed, and labelled ORACLE on the lifecycle so the boundary is visible without a separate integration screen.</w:t>
            </w:r>
          </w:p>
        </w:tc>
      </w:tr>
      <w:tr>
        <w:tc>
          <w:tcPr>
            <w:tcW w:type="dxa" w:w="2520"/>
          </w:tcPr>
          <w:p>
            <w:r/>
            <w:r>
              <w:rPr>
                <w:sz w:val="19"/>
              </w:rPr>
              <w:t>Creating a deal from a confirmation</w:t>
            </w:r>
          </w:p>
        </w:tc>
        <w:tc>
          <w:tcPr>
            <w:tcW w:type="dxa" w:w="7416"/>
          </w:tcPr>
          <w:p>
            <w:r/>
            <w:r>
              <w:rPr>
                <w:sz w:val="19"/>
              </w:rPr>
              <w:t>Not built. The column and the matching path exist for it. Which counterparties send machine-readable confirmations is a customer decision.</w:t>
            </w:r>
          </w:p>
        </w:tc>
      </w:tr>
      <w:tr>
        <w:tc>
          <w:tcPr>
            <w:tcW w:type="dxa" w:w="2520"/>
          </w:tcPr>
          <w:p>
            <w:r/>
            <w:r>
              <w:rPr>
                <w:sz w:val="19"/>
              </w:rPr>
              <w:t>Prior-period corrections</w:t>
            </w:r>
          </w:p>
        </w:tc>
        <w:tc>
          <w:tcPr>
            <w:tcW w:type="dxa" w:w="7416"/>
          </w:tcPr>
          <w:p>
            <w:r/>
            <w:r>
              <w:rPr>
                <w:sz w:val="19"/>
              </w:rPr>
              <w:t>Surfaced as a distinct refusal rather than decided. Needs the customer's accountants.</w:t>
            </w:r>
          </w:p>
        </w:tc>
      </w:tr>
      <w:tr>
        <w:tc>
          <w:tcPr>
            <w:tcW w:type="dxa" w:w="2520"/>
          </w:tcPr>
          <w:p>
            <w:r/>
            <w:r>
              <w:rPr>
                <w:sz w:val="19"/>
              </w:rPr>
              <w:t>Database and tenancy</w:t>
            </w:r>
          </w:p>
        </w:tc>
        <w:tc>
          <w:tcPr>
            <w:tcW w:type="dxa" w:w="7416"/>
          </w:tcPr>
          <w:p>
            <w:r/>
            <w:r>
              <w:rPr>
                <w:sz w:val="19"/>
              </w:rPr>
              <w:t>One SQLite file, one seeded tenant. PostgreSQL and row-level security are phase 4.</w:t>
            </w:r>
          </w:p>
        </w:tc>
      </w:tr>
      <w:tr>
        <w:tc>
          <w:tcPr>
            <w:tcW w:type="dxa" w:w="2520"/>
          </w:tcPr>
          <w:p>
            <w:r/>
            <w:r>
              <w:rPr>
                <w:sz w:val="19"/>
              </w:rPr>
              <w:t>Sorting, filtering, pagination</w:t>
            </w:r>
          </w:p>
        </w:tc>
        <w:tc>
          <w:tcPr>
            <w:tcW w:type="dxa" w:w="7416"/>
          </w:tcPr>
          <w:p>
            <w:r/>
            <w:r>
              <w:rPr>
                <w:sz w:val="19"/>
              </w:rPr>
              <w:t>Omitted. Correct at five counterparties, necessary at twenty.</w:t>
            </w:r>
          </w:p>
        </w:tc>
      </w:tr>
      <w:tr>
        <w:tc>
          <w:tcPr>
            <w:tcW w:type="dxa" w:w="2520"/>
          </w:tcPr>
          <w:p>
            <w:r/>
            <w:r>
              <w:rPr>
                <w:sz w:val="19"/>
              </w:rPr>
              <w:t>Institution names</w:t>
            </w:r>
          </w:p>
        </w:tc>
        <w:tc>
          <w:tcPr>
            <w:tcW w:type="dxa" w:w="7416"/>
          </w:tcPr>
          <w:p>
            <w:r/>
            <w:r>
              <w:rPr>
                <w:sz w:val="19"/>
              </w:rPr>
              <w:t>Placeholders. Real group structures make the group-limit argument land harder.</w:t>
            </w:r>
          </w:p>
        </w:tc>
      </w:tr>
    </w:tbl>
    <w:p>
      <w:pPr>
        <w:spacing w:after="40"/>
      </w:pPr>
    </w:p>
    <w:p>
      <w:pPr>
        <w:pStyle w:val="Heading2"/>
      </w:pPr>
      <w:r>
        <w:rPr>
          <w:b w:val="0"/>
          <w:i w:val="0"/>
        </w:rPr>
        <w:t>If something goes wrong</w:t>
      </w:r>
    </w:p>
    <w:tbl>
      <w:tblPr>
        <w:tblStyle w:val="LightGrid-Accent1"/>
        <w:tblW w:type="auto" w:w="0"/>
        <w:jc w:val="left"/>
        <w:tblLook w:firstColumn="1" w:firstRow="1" w:lastColumn="0" w:lastRow="0" w:noHBand="0" w:noVBand="1" w:val="04A0"/>
      </w:tblPr>
      <w:tblGrid>
        <w:gridCol w:w="4752"/>
        <w:gridCol w:w="4752"/>
      </w:tblGrid>
      <w:tr>
        <w:tc>
          <w:tcPr>
            <w:tcW w:type="dxa" w:w="3384"/>
          </w:tcPr>
          <w:p>
            <w:r/>
            <w:r>
              <w:rPr>
                <w:b/>
                <w:sz w:val="19"/>
              </w:rPr>
              <w:t>Symptom</w:t>
            </w:r>
          </w:p>
        </w:tc>
        <w:tc>
          <w:tcPr>
            <w:tcW w:type="dxa" w:w="6552"/>
          </w:tcPr>
          <w:p>
            <w:r/>
            <w:r>
              <w:rPr>
                <w:b/>
                <w:sz w:val="19"/>
              </w:rPr>
              <w:t>What to do</w:t>
            </w:r>
          </w:p>
        </w:tc>
      </w:tr>
      <w:tr>
        <w:tc>
          <w:tcPr>
            <w:tcW w:type="dxa" w:w="3384"/>
          </w:tcPr>
          <w:p>
            <w:r/>
            <w:r>
              <w:rPr>
                <w:sz w:val="19"/>
              </w:rPr>
              <w:t>The screen returns to the sign-in page</w:t>
            </w:r>
          </w:p>
        </w:tc>
        <w:tc>
          <w:tcPr>
            <w:tcW w:type="dxa" w:w="6552"/>
          </w:tcPr>
          <w:p>
            <w:r/>
            <w:r>
              <w:rPr>
                <w:sz w:val="19"/>
              </w:rPr>
              <w:t>The token has a twelve-hour life and there is no refresh. Sign in again; nothing is lost.</w:t>
            </w:r>
          </w:p>
        </w:tc>
      </w:tr>
      <w:tr>
        <w:tc>
          <w:tcPr>
            <w:tcW w:type="dxa" w:w="3384"/>
          </w:tcPr>
          <w:p>
            <w:r/>
            <w:r>
              <w:rPr>
                <w:sz w:val="19"/>
              </w:rPr>
              <w:t>Figures look wrong after experimenting</w:t>
            </w:r>
          </w:p>
        </w:tc>
        <w:tc>
          <w:tcPr>
            <w:tcW w:type="dxa" w:w="6552"/>
          </w:tcPr>
          <w:p>
            <w:r/>
            <w:r>
              <w:rPr>
                <w:sz w:val="19"/>
              </w:rPr>
              <w:t>Click Reset in the header. It restores the seeded book exactly.</w:t>
            </w:r>
          </w:p>
        </w:tc>
      </w:tr>
      <w:tr>
        <w:tc>
          <w:tcPr>
            <w:tcW w:type="dxa" w:w="3384"/>
          </w:tcPr>
          <w:p>
            <w:r/>
            <w:r>
              <w:rPr>
                <w:sz w:val="19"/>
              </w:rPr>
              <w:t>A deal will not book and you cannot see why</w:t>
            </w:r>
          </w:p>
        </w:tc>
        <w:tc>
          <w:tcPr>
            <w:tcW w:type="dxa" w:w="6552"/>
          </w:tcPr>
          <w:p>
            <w:r/>
            <w:r>
              <w:rPr>
                <w:sz w:val="19"/>
              </w:rPr>
              <w:t>Read The Six Checks. Every failure states its arithmetic.</w:t>
            </w:r>
          </w:p>
        </w:tc>
      </w:tr>
      <w:tr>
        <w:tc>
          <w:tcPr>
            <w:tcW w:type="dxa" w:w="3384"/>
          </w:tcPr>
          <w:p>
            <w:r/>
            <w:r>
              <w:rPr>
                <w:sz w:val="19"/>
              </w:rPr>
              <w:t>Nothing loads at all</w:t>
            </w:r>
          </w:p>
        </w:tc>
        <w:tc>
          <w:tcPr>
            <w:tcW w:type="dxa" w:w="6552"/>
          </w:tcPr>
          <w:p>
            <w:r/>
            <w:r>
              <w:rPr>
                <w:sz w:val="19"/>
              </w:rPr>
              <w:t>Check both command windows opened by start-all.bat are still running.</w:t>
            </w:r>
          </w:p>
        </w:tc>
      </w:tr>
    </w:tbl>
    <w:p>
      <w:pPr>
        <w:spacing w:after="40"/>
      </w:pPr>
    </w:p>
    <w:p>
      <w:pPr>
        <w:pBdr>
          <w:bottom w:val="single" w:sz="6" w:color="C8C8C8"/>
        </w:pBdr>
        <w:spacing w:after="200"/>
      </w:pPr>
    </w:p>
    <w:p>
      <w:r>
        <w:rPr>
          <w:b w:val="0"/>
          <w:i w:val="0"/>
          <w:color w:val="5A5A5A"/>
          <w:sz w:val="17"/>
        </w:rPr>
        <w:t>Treasury Register  ·  test manual  ·  phases 0 to 3  ·  268 automated tests pass  ·  book dated 3 September 2026</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8A2A1F"/>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