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5A6472"/>
          <w:sz w:val="18"/>
          <w:szCs w:val="18"/>
        </w:rPr>
        <w:t xml:space="preserve">TREASURY REGISTER   DOCUMENT 5 OF 5</w:t>
      </w:r>
    </w:p>
    <w:p>
      <w:pPr>
        <w:spacing w:after="140"/>
      </w:pPr>
      <w:r>
        <w:rPr>
          <w:rFonts w:ascii="Calibri" w:cs="Calibri" w:eastAsia="Calibri" w:hAnsi="Calibri"/>
          <w:b/>
          <w:bCs/>
          <w:color w:val="1B2A4A"/>
          <w:sz w:val="52"/>
          <w:szCs w:val="52"/>
        </w:rPr>
        <w:t xml:space="preserve">Phased execution plan</w:t>
      </w:r>
    </w:p>
    <w:p>
      <w:pPr>
        <w:pBdr>
          <w:bottom w:val="single" w:color="1B2A4A" w:sz="8" w:space="10"/>
        </w:pBdr>
        <w:spacing w:after="240"/>
      </w:pPr>
      <w:r>
        <w:rPr>
          <w:rFonts w:ascii="Calibri" w:cs="Calibri" w:eastAsia="Calibri" w:hAnsi="Calibri"/>
          <w:color w:val="5A6472"/>
          <w:sz w:val="24"/>
          <w:szCs w:val="24"/>
        </w:rPr>
        <w:t xml:space="preserve">Five phases, three workstreams, and the rule that keeps them parallel.</w:t>
      </w:r>
    </w:p>
    <w:p>
      <w:pPr>
        <w:spacing w:after="140" w:before="100" w:line="276"/>
      </w:pPr>
      <w:r>
        <w:rPr>
          <w:rFonts w:ascii="Calibri" w:cs="Calibri" w:eastAsia="Calibri" w:hAnsi="Calibri"/>
          <w:sz w:val="20"/>
          <w:szCs w:val="20"/>
        </w:rPr>
        <w:t xml:space="preserve">Documents 1 to 4 describe what the system is. This document describes who builds which part of it, in what order, and what has to be true before each phase starts. It adds no new design. Where this document and documents 1 to 4 disagree, documents 1 to 4 win and this one is wrong.</w:t>
      </w:r>
    </w:p>
    <w:p>
      <w:pPr>
        <w:spacing w:after="140" w:before="100" w:line="276"/>
      </w:pPr>
      <w:r>
        <w:rPr>
          <w:rFonts w:ascii="Calibri" w:cs="Calibri" w:eastAsia="Calibri" w:hAnsi="Calibri"/>
          <w:sz w:val="20"/>
          <w:szCs w:val="20"/>
        </w:rPr>
        <w:t xml:space="preserve">Companion documents: 1, data model. 2, application programming interface. 3, user interface. 4, architecture.</w:t>
      </w:r>
    </w:p>
    <w:p>
      <w:pPr>
        <w:pStyle w:val="Heading1"/>
        <w:pBdr>
          <w:bottom w:val="single" w:color="C9CED8" w:sz="6" w:space="6"/>
        </w:pBdr>
        <w:spacing w:after="160" w:before="380"/>
      </w:pPr>
      <w:r>
        <w:rPr>
          <w:rFonts w:ascii="Calibri" w:cs="Calibri" w:eastAsia="Calibri" w:hAnsi="Calibri"/>
          <w:b/>
          <w:bCs/>
          <w:color w:val="1B2A4A"/>
          <w:sz w:val="30"/>
          <w:szCs w:val="30"/>
        </w:rPr>
        <w:t xml:space="preserve">1. What this plan is built on</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Input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What it fixes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Document 1, revision B</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33 tables in 8 subject areas, already marked with the phase that needs each one. 18 tables in phase one, 26 by phase two, 33 by phase three.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Document 2, revision B</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44 endpoints in 8 groups, the shared response models, 38 error codes, transaction boundaries and idempotency.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Document 3, revision B</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One surface, five strip items, one panel open at a time, zero page loads after the first. The navigation budget is a limit rather than a target.</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Document 4, revision B</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Six containers, thirteen services, six enumerated cross service calls, the performance budget and the twelve step build sequence.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Stack decision</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Next.js on the front, FastAPI behind it, SQLAlchemy 2.0 in the repository layer, SQLite in WAL mode, Alembic from the first migration.</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Prototype boundary</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SQLite holds prototype data only. It is not the production database and nothing in the plan treats it as one. Phase 4 moves to PostgreSQL.</w:t>
            </w:r>
          </w:p>
        </w:tc>
      </w:tr>
    </w:tbl>
    <w:p>
      <w:pPr>
        <w:spacing w:after="200"/>
      </w:pPr>
    </w:p>
    <w:p>
      <w:pPr>
        <w:pStyle w:val="Heading2"/>
        <w:spacing w:after="120" w:before="280"/>
      </w:pPr>
      <w:r>
        <w:rPr>
          <w:rFonts w:ascii="Calibri" w:cs="Calibri" w:eastAsia="Calibri" w:hAnsi="Calibri"/>
          <w:b/>
          <w:bCs/>
          <w:color w:val="1B2A4A"/>
          <w:sz w:val="24"/>
          <w:szCs w:val="24"/>
        </w:rPr>
        <w:t xml:space="preserve">1.1 Two things this plan assumes</w:t>
      </w:r>
    </w:p>
    <w:p>
      <w:pPr>
        <w:spacing w:after="140" w:before="100" w:line="276"/>
      </w:pPr>
      <w:r>
        <w:rPr>
          <w:rFonts w:ascii="Calibri" w:cs="Calibri" w:eastAsia="Calibri" w:hAnsi="Calibri"/>
          <w:b/>
          <w:bCs/>
          <w:sz w:val="20"/>
          <w:szCs w:val="20"/>
        </w:rPr>
        <w:t xml:space="preserve">One engineer per workstream.</w:t>
      </w:r>
      <w:r>
        <w:rPr>
          <w:rFonts w:ascii="Calibri" w:cs="Calibri" w:eastAsia="Calibri" w:hAnsi="Calibri"/>
          <w:sz w:val="20"/>
          <w:szCs w:val="20"/>
        </w:rPr>
        <w:t xml:space="preserve"> Estimates are given in engineer days per workstream so they can be rescaled. Three engineers working in parallel gives the calendar figures in section 4. Two engineers roughly doubles phase 1.</w:t>
      </w:r>
    </w:p>
    <w:p>
      <w:pPr>
        <w:spacing w:after="140" w:before="100" w:line="276"/>
      </w:pPr>
      <w:r>
        <w:rPr>
          <w:rFonts w:ascii="Calibri" w:cs="Calibri" w:eastAsia="Calibri" w:hAnsi="Calibri"/>
          <w:b/>
          <w:bCs/>
          <w:sz w:val="20"/>
          <w:szCs w:val="20"/>
        </w:rPr>
        <w:t xml:space="preserve">The four adapters stay stubbed until phase 4.</w:t>
      </w:r>
      <w:r>
        <w:rPr>
          <w:rFonts w:ascii="Calibri" w:cs="Calibri" w:eastAsia="Calibri" w:hAnsi="Calibri"/>
          <w:sz w:val="20"/>
          <w:szCs w:val="20"/>
        </w:rPr>
        <w:t xml:space="preserve"> Oracle balances, the Oracle instruction feed, the ratings source and the confirmation feed all sit behind an interface and read seeded tables. Nothing in phases 1 to 3 waits on an external system, which is what makes the calendar predictable.</w:t>
      </w:r>
    </w:p>
    <w:p>
      <w:pPr>
        <w:pStyle w:val="Heading1"/>
        <w:pBdr>
          <w:bottom w:val="single" w:color="C9CED8" w:sz="6" w:space="6"/>
        </w:pBdr>
        <w:spacing w:after="160" w:before="380"/>
      </w:pPr>
      <w:r>
        <w:rPr>
          <w:rFonts w:ascii="Calibri" w:cs="Calibri" w:eastAsia="Calibri" w:hAnsi="Calibri"/>
          <w:b/>
          <w:bCs/>
          <w:color w:val="1B2A4A"/>
          <w:sz w:val="30"/>
          <w:szCs w:val="30"/>
        </w:rPr>
        <w:t xml:space="preserve">2. Team structure and ownership</w:t>
      </w:r>
    </w:p>
    <w:p>
      <w:pPr>
        <w:spacing w:after="140" w:before="100" w:line="276"/>
      </w:pPr>
      <w:r>
        <w:rPr>
          <w:rFonts w:ascii="Calibri" w:cs="Calibri" w:eastAsia="Calibri" w:hAnsi="Calibri"/>
          <w:sz w:val="20"/>
          <w:szCs w:val="20"/>
        </w:rPr>
        <w:t xml:space="preserve">Three workstreams. Every table, endpoint, service and component in documents 1 to 4 belongs to exactly one of them.</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447"/>
        <w:gridCol w:w="5063"/>
        <w:gridCol w:w="2850"/>
      </w:tblGrid>
      <w:tr>
        <w:trPr>
          <w:cantSplit/>
          <w:tblHeader/>
        </w:trPr>
        <w:tc>
          <w:tcPr>
            <w:tcW w:type="dxa" w:w="1447"/>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Workstream</w:t>
            </w:r>
          </w:p>
        </w:tc>
        <w:tc>
          <w:tcPr>
            <w:tcW w:type="dxa" w:w="5063"/>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Owns</w:t>
            </w:r>
          </w:p>
        </w:tc>
        <w:tc>
          <w:tcPr>
            <w:tcW w:type="dxa" w:w="2850"/>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Does not own</w:t>
            </w:r>
          </w:p>
        </w:tc>
      </w:tr>
      <w:tr>
        <w:trPr>
          <w:cantSplit/>
          <w:tblHeader w:val="false"/>
        </w:trPr>
        <w:tc>
          <w:tcPr>
            <w:tcW w:type="dxa" w:w="1447"/>
            <w:tcMar>
              <w:top w:type="dxa" w:w="90"/>
              <w:left w:type="dxa" w:w="120"/>
              <w:bottom w:type="dxa" w:w="90"/>
              <w:right w:type="dxa" w:w="120"/>
            </w:tcMar>
          </w:tcPr>
          <w:p>
            <w:pPr>
              <w:spacing w:after="0" w:before="0" w:line="260"/>
            </w:pPr>
            <w:r>
              <w:rPr>
                <w:rFonts w:ascii="Calibri" w:cs="Calibri" w:eastAsia="Calibri" w:hAnsi="Calibri"/>
                <w:b/>
                <w:bCs/>
                <w:sz w:val="18"/>
                <w:szCs w:val="18"/>
              </w:rPr>
              <w:t xml:space="preserve">Backend</w:t>
            </w:r>
          </w:p>
        </w:tc>
        <w:tc>
          <w:tcPr>
            <w:tcW w:type="dxa" w:w="5063"/>
            <w:tcMar>
              <w:top w:type="dxa" w:w="90"/>
              <w:left w:type="dxa" w:w="120"/>
              <w:bottom w:type="dxa" w:w="90"/>
              <w:right w:type="dxa" w:w="120"/>
            </w:tcMar>
          </w:tcPr>
          <w:p>
            <w:pPr>
              <w:spacing w:after="0" w:before="0" w:line="260"/>
            </w:pPr>
            <w:r>
              <w:rPr>
                <w:rFonts w:ascii="Calibri" w:cs="Calibri" w:eastAsia="Calibri" w:hAnsi="Calibri"/>
                <w:sz w:val="18"/>
                <w:szCs w:val="18"/>
              </w:rPr>
              <w:t xml:space="preserve">The service layer and the repository layer. Thirteen services, every rule, every calculation, the schema, the migrations and the seed.</w:t>
            </w:r>
          </w:p>
        </w:tc>
        <w:tc>
          <w:tcPr>
            <w:tcW w:type="dxa" w:w="2850"/>
            <w:tcMar>
              <w:top w:type="dxa" w:w="90"/>
              <w:left w:type="dxa" w:w="120"/>
              <w:bottom w:type="dxa" w:w="90"/>
              <w:right w:type="dxa" w:w="120"/>
            </w:tcMar>
          </w:tcPr>
          <w:p>
            <w:pPr>
              <w:spacing w:after="0" w:before="0" w:line="260"/>
            </w:pPr>
            <w:r>
              <w:rPr>
                <w:rFonts w:ascii="Calibri" w:cs="Calibri" w:eastAsia="Calibri" w:hAnsi="Calibri"/>
                <w:sz w:val="18"/>
                <w:szCs w:val="18"/>
              </w:rPr>
              <w:t xml:space="preserve">Routing, serialisation, HTTP status codes.</w:t>
            </w:r>
          </w:p>
        </w:tc>
      </w:tr>
      <w:tr>
        <w:trPr>
          <w:cantSplit/>
          <w:tblHeader w:val="false"/>
        </w:trPr>
        <w:tc>
          <w:tcPr>
            <w:tcW w:type="dxa" w:w="1447"/>
            <w:tcMar>
              <w:top w:type="dxa" w:w="90"/>
              <w:left w:type="dxa" w:w="120"/>
              <w:bottom w:type="dxa" w:w="90"/>
              <w:right w:type="dxa" w:w="120"/>
            </w:tcMar>
          </w:tcPr>
          <w:p>
            <w:pPr>
              <w:spacing w:after="0" w:before="0" w:line="260"/>
            </w:pPr>
            <w:r>
              <w:rPr>
                <w:rFonts w:ascii="Calibri" w:cs="Calibri" w:eastAsia="Calibri" w:hAnsi="Calibri"/>
                <w:b/>
                <w:bCs/>
                <w:sz w:val="18"/>
                <w:szCs w:val="18"/>
              </w:rPr>
              <w:t xml:space="preserve">API</w:t>
            </w:r>
          </w:p>
        </w:tc>
        <w:tc>
          <w:tcPr>
            <w:tcW w:type="dxa" w:w="5063"/>
            <w:tcMar>
              <w:top w:type="dxa" w:w="90"/>
              <w:left w:type="dxa" w:w="120"/>
              <w:bottom w:type="dxa" w:w="90"/>
              <w:right w:type="dxa" w:w="120"/>
            </w:tcMar>
          </w:tcPr>
          <w:p>
            <w:pPr>
              <w:spacing w:after="0" w:before="0" w:line="260"/>
            </w:pPr>
            <w:r>
              <w:rPr>
                <w:rFonts w:ascii="Calibri" w:cs="Calibri" w:eastAsia="Calibri" w:hAnsi="Calibri"/>
                <w:sz w:val="18"/>
                <w:szCs w:val="18"/>
              </w:rPr>
              <w:t xml:space="preserve">The contract. Pydantic models, the error catalogue, the OpenAPI document, the routers, the four stub adapters, the mock server, request validation and the performance budget on the check path.</w:t>
            </w:r>
          </w:p>
        </w:tc>
        <w:tc>
          <w:tcPr>
            <w:tcW w:type="dxa" w:w="2850"/>
            <w:tcMar>
              <w:top w:type="dxa" w:w="90"/>
              <w:left w:type="dxa" w:w="120"/>
              <w:bottom w:type="dxa" w:w="90"/>
              <w:right w:type="dxa" w:w="120"/>
            </w:tcMar>
          </w:tcPr>
          <w:p>
            <w:pPr>
              <w:spacing w:after="0" w:before="0" w:line="260"/>
            </w:pPr>
            <w:r>
              <w:rPr>
                <w:rFonts w:ascii="Calibri" w:cs="Calibri" w:eastAsia="Calibri" w:hAnsi="Calibri"/>
                <w:sz w:val="18"/>
                <w:szCs w:val="18"/>
              </w:rPr>
              <w:t xml:space="preserve">Any rule. A router that decides something is a defect.</w:t>
            </w:r>
          </w:p>
        </w:tc>
      </w:tr>
      <w:tr>
        <w:trPr>
          <w:cantSplit/>
          <w:tblHeader w:val="false"/>
        </w:trPr>
        <w:tc>
          <w:tcPr>
            <w:tcW w:type="dxa" w:w="1447"/>
            <w:tcMar>
              <w:top w:type="dxa" w:w="90"/>
              <w:left w:type="dxa" w:w="120"/>
              <w:bottom w:type="dxa" w:w="90"/>
              <w:right w:type="dxa" w:w="120"/>
            </w:tcMar>
          </w:tcPr>
          <w:p>
            <w:pPr>
              <w:spacing w:after="0" w:before="0" w:line="260"/>
            </w:pPr>
            <w:r>
              <w:rPr>
                <w:rFonts w:ascii="Calibri" w:cs="Calibri" w:eastAsia="Calibri" w:hAnsi="Calibri"/>
                <w:b/>
                <w:bCs/>
                <w:sz w:val="18"/>
                <w:szCs w:val="18"/>
              </w:rPr>
              <w:t xml:space="preserve">Frontend</w:t>
            </w:r>
          </w:p>
        </w:tc>
        <w:tc>
          <w:tcPr>
            <w:tcW w:type="dxa" w:w="5063"/>
            <w:tcMar>
              <w:top w:type="dxa" w:w="90"/>
              <w:left w:type="dxa" w:w="120"/>
              <w:bottom w:type="dxa" w:w="90"/>
              <w:right w:type="dxa" w:w="120"/>
            </w:tcMar>
          </w:tcPr>
          <w:p>
            <w:pPr>
              <w:spacing w:after="0" w:before="0" w:line="260"/>
            </w:pPr>
            <w:r>
              <w:rPr>
                <w:rFonts w:ascii="Calibri" w:cs="Calibri" w:eastAsia="Calibri" w:hAnsi="Calibri"/>
                <w:sz w:val="18"/>
                <w:szCs w:val="18"/>
              </w:rPr>
              <w:t xml:space="preserve">The single surface. Every component in section 7 of document 3, the tokens, the formatting module, the debounce, request cancellation and focus behaviour.</w:t>
            </w:r>
          </w:p>
        </w:tc>
        <w:tc>
          <w:tcPr>
            <w:tcW w:type="dxa" w:w="2850"/>
            <w:tcMar>
              <w:top w:type="dxa" w:w="90"/>
              <w:left w:type="dxa" w:w="120"/>
              <w:bottom w:type="dxa" w:w="90"/>
              <w:right w:type="dxa" w:w="120"/>
            </w:tcMar>
          </w:tcPr>
          <w:p>
            <w:pPr>
              <w:spacing w:after="0" w:before="0" w:line="260"/>
            </w:pPr>
            <w:r>
              <w:rPr>
                <w:rFonts w:ascii="Calibri" w:cs="Calibri" w:eastAsia="Calibri" w:hAnsi="Calibri"/>
                <w:sz w:val="18"/>
                <w:szCs w:val="18"/>
              </w:rPr>
              <w:t xml:space="preserve">Any rule. No check logic, no limit arithmetic, no approval threshold, no candidate filtering.</w:t>
            </w:r>
          </w:p>
        </w:tc>
      </w:tr>
    </w:tbl>
    <w:p>
      <w:pPr>
        <w:spacing w:after="200"/>
      </w:pPr>
    </w:p>
    <w:p>
      <w:pPr>
        <w:pStyle w:val="Heading2"/>
        <w:spacing w:after="120" w:before="280"/>
      </w:pPr>
      <w:r>
        <w:rPr>
          <w:rFonts w:ascii="Calibri" w:cs="Calibri" w:eastAsia="Calibri" w:hAnsi="Calibri"/>
          <w:b/>
          <w:bCs/>
          <w:color w:val="1B2A4A"/>
          <w:sz w:val="24"/>
          <w:szCs w:val="24"/>
        </w:rPr>
        <w:t xml:space="preserve">2.1 Why the API workstream exists</w:t>
      </w:r>
    </w:p>
    <w:p>
      <w:pPr>
        <w:spacing w:after="140" w:before="100" w:line="276"/>
      </w:pPr>
      <w:r>
        <w:rPr>
          <w:rFonts w:ascii="Calibri" w:cs="Calibri" w:eastAsia="Calibri" w:hAnsi="Calibri"/>
          <w:sz w:val="20"/>
          <w:szCs w:val="20"/>
        </w:rPr>
        <w:t xml:space="preserve">Under the architecture in document 4 a router is about ten lines, so a team that writes only routers has a week of work and then waits. The API workstream is therefore defined around the contract rather than around the routers.</w:t>
      </w:r>
    </w:p>
    <w:p>
      <w:pPr>
        <w:spacing w:after="140" w:before="100" w:line="276"/>
      </w:pPr>
      <w:r>
        <w:rPr>
          <w:rFonts w:ascii="Calibri" w:cs="Calibri" w:eastAsia="Calibri" w:hAnsi="Calibri"/>
          <w:sz w:val="20"/>
          <w:szCs w:val="20"/>
        </w:rPr>
        <w:t xml:space="preserve">The contract is the interface between the other two workstreams. Whoever owns it controls whether they can work in parallel. Giving that to backend means frontend waits for services to exist. Giving it to frontend means the shape is designed from the screen inwards and the service layer inherits it. Giving it to a third owner, who writes the models first and the routers later, is what makes both other workstreams independent from day three.</w:t>
      </w:r>
    </w:p>
    <w:p>
      <w:pPr>
        <w:pStyle w:val="Heading2"/>
        <w:spacing w:after="120" w:before="280"/>
      </w:pPr>
      <w:r>
        <w:rPr>
          <w:rFonts w:ascii="Calibri" w:cs="Calibri" w:eastAsia="Calibri" w:hAnsi="Calibri"/>
          <w:b/>
          <w:bCs/>
          <w:color w:val="1B2A4A"/>
          <w:sz w:val="24"/>
          <w:szCs w:val="24"/>
        </w:rPr>
        <w:t xml:space="preserve">2.2 The handshake</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5329"/>
        <w:gridCol w:w="761"/>
        <w:gridCol w:w="3270"/>
      </w:tblGrid>
      <w:tr>
        <w:trPr>
          <w:cantSplit/>
          <w:tblHeader/>
        </w:trPr>
        <w:tc>
          <w:tcPr>
            <w:tcW w:type="dxa" w:w="5329"/>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Step</w:t>
            </w:r>
          </w:p>
        </w:tc>
        <w:tc>
          <w:tcPr>
            <w:tcW w:type="dxa" w:w="76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Who</w:t>
            </w:r>
          </w:p>
        </w:tc>
        <w:tc>
          <w:tcPr>
            <w:tcW w:type="dxa" w:w="3270"/>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When</w:t>
            </w:r>
          </w:p>
        </w:tc>
      </w:tr>
      <w:tr>
        <w:trPr>
          <w:cantSplit/>
          <w:tblHeader w:val="false"/>
        </w:trPr>
        <w:tc>
          <w:tcPr>
            <w:tcW w:type="dxa" w:w="5329"/>
            <w:tcMar>
              <w:top w:type="dxa" w:w="90"/>
              <w:left w:type="dxa" w:w="120"/>
              <w:bottom w:type="dxa" w:w="90"/>
              <w:right w:type="dxa" w:w="120"/>
            </w:tcMar>
          </w:tcPr>
          <w:p>
            <w:pPr>
              <w:spacing w:after="0" w:before="0" w:line="260"/>
            </w:pPr>
            <w:r>
              <w:rPr>
                <w:rFonts w:ascii="Calibri" w:cs="Calibri" w:eastAsia="Calibri" w:hAnsi="Calibri"/>
                <w:sz w:val="18"/>
                <w:szCs w:val="18"/>
              </w:rPr>
              <w:t xml:space="preserve">Pydantic models for every response in document 2, section 5</w:t>
            </w:r>
          </w:p>
        </w:tc>
        <w:tc>
          <w:tcPr>
            <w:tcW w:type="dxa" w:w="761"/>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3270"/>
            <w:tcMar>
              <w:top w:type="dxa" w:w="90"/>
              <w:left w:type="dxa" w:w="120"/>
              <w:bottom w:type="dxa" w:w="90"/>
              <w:right w:type="dxa" w:w="120"/>
            </w:tcMar>
          </w:tcPr>
          <w:p>
            <w:pPr>
              <w:spacing w:after="0" w:before="0" w:line="260"/>
            </w:pPr>
            <w:r>
              <w:rPr>
                <w:rFonts w:ascii="Calibri" w:cs="Calibri" w:eastAsia="Calibri" w:hAnsi="Calibri"/>
                <w:sz w:val="18"/>
                <w:szCs w:val="18"/>
              </w:rPr>
              <w:t xml:space="preserve">Phase 0, days 1 to 3</w:t>
            </w:r>
          </w:p>
        </w:tc>
      </w:tr>
      <w:tr>
        <w:trPr>
          <w:cantSplit/>
          <w:tblHeader w:val="false"/>
        </w:trPr>
        <w:tc>
          <w:tcPr>
            <w:tcW w:type="dxa" w:w="5329"/>
            <w:tcMar>
              <w:top w:type="dxa" w:w="90"/>
              <w:left w:type="dxa" w:w="120"/>
              <w:bottom w:type="dxa" w:w="90"/>
              <w:right w:type="dxa" w:w="120"/>
            </w:tcMar>
          </w:tcPr>
          <w:p>
            <w:pPr>
              <w:spacing w:after="0" w:before="0" w:line="260"/>
            </w:pPr>
            <w:r>
              <w:rPr>
                <w:rFonts w:ascii="Calibri" w:cs="Calibri" w:eastAsia="Calibri" w:hAnsi="Calibri"/>
                <w:sz w:val="18"/>
                <w:szCs w:val="18"/>
              </w:rPr>
              <w:t xml:space="preserve">Mock server returning seeded fixtures for every endpoint</w:t>
            </w:r>
          </w:p>
        </w:tc>
        <w:tc>
          <w:tcPr>
            <w:tcW w:type="dxa" w:w="761"/>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3270"/>
            <w:tcMar>
              <w:top w:type="dxa" w:w="90"/>
              <w:left w:type="dxa" w:w="120"/>
              <w:bottom w:type="dxa" w:w="90"/>
              <w:right w:type="dxa" w:w="120"/>
            </w:tcMar>
          </w:tcPr>
          <w:p>
            <w:pPr>
              <w:spacing w:after="0" w:before="0" w:line="260"/>
            </w:pPr>
            <w:r>
              <w:rPr>
                <w:rFonts w:ascii="Calibri" w:cs="Calibri" w:eastAsia="Calibri" w:hAnsi="Calibri"/>
                <w:sz w:val="18"/>
                <w:szCs w:val="18"/>
              </w:rPr>
              <w:t xml:space="preserve">Phase 0, day 3</w:t>
            </w:r>
          </w:p>
        </w:tc>
      </w:tr>
      <w:tr>
        <w:trPr>
          <w:cantSplit/>
          <w:tblHeader w:val="false"/>
        </w:trPr>
        <w:tc>
          <w:tcPr>
            <w:tcW w:type="dxa" w:w="5329"/>
            <w:tcMar>
              <w:top w:type="dxa" w:w="90"/>
              <w:left w:type="dxa" w:w="120"/>
              <w:bottom w:type="dxa" w:w="90"/>
              <w:right w:type="dxa" w:w="120"/>
            </w:tcMar>
          </w:tcPr>
          <w:p>
            <w:pPr>
              <w:spacing w:after="0" w:before="0" w:line="260"/>
            </w:pPr>
            <w:r>
              <w:rPr>
                <w:rFonts w:ascii="Calibri" w:cs="Calibri" w:eastAsia="Calibri" w:hAnsi="Calibri"/>
                <w:sz w:val="18"/>
                <w:szCs w:val="18"/>
              </w:rPr>
              <w:t xml:space="preserve">Frontend builds against the mock server</w:t>
            </w:r>
          </w:p>
        </w:tc>
        <w:tc>
          <w:tcPr>
            <w:tcW w:type="dxa" w:w="761"/>
            <w:tcMar>
              <w:top w:type="dxa" w:w="90"/>
              <w:left w:type="dxa" w:w="120"/>
              <w:bottom w:type="dxa" w:w="90"/>
              <w:right w:type="dxa" w:w="120"/>
            </w:tcMar>
          </w:tcPr>
          <w:p>
            <w:pPr>
              <w:spacing w:after="0" w:before="0" w:line="260"/>
            </w:pPr>
            <w:r>
              <w:rPr>
                <w:rFonts w:ascii="Calibri" w:cs="Calibri" w:eastAsia="Calibri" w:hAnsi="Calibri"/>
                <w:sz w:val="18"/>
                <w:szCs w:val="18"/>
              </w:rPr>
              <w:t xml:space="preserve">Frontend</w:t>
            </w:r>
          </w:p>
        </w:tc>
        <w:tc>
          <w:tcPr>
            <w:tcW w:type="dxa" w:w="3270"/>
            <w:tcMar>
              <w:top w:type="dxa" w:w="90"/>
              <w:left w:type="dxa" w:w="120"/>
              <w:bottom w:type="dxa" w:w="90"/>
              <w:right w:type="dxa" w:w="120"/>
            </w:tcMar>
          </w:tcPr>
          <w:p>
            <w:pPr>
              <w:spacing w:after="0" w:before="0" w:line="260"/>
            </w:pPr>
            <w:r>
              <w:rPr>
                <w:rFonts w:ascii="Calibri" w:cs="Calibri" w:eastAsia="Calibri" w:hAnsi="Calibri"/>
                <w:sz w:val="18"/>
                <w:szCs w:val="18"/>
              </w:rPr>
              <w:t xml:space="preserve">From Phase 0, day 3, until integration</w:t>
            </w:r>
          </w:p>
        </w:tc>
      </w:tr>
      <w:tr>
        <w:trPr>
          <w:cantSplit/>
          <w:tblHeader w:val="false"/>
        </w:trPr>
        <w:tc>
          <w:tcPr>
            <w:tcW w:type="dxa" w:w="5329"/>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 builds services against the same models, tested headless</w:t>
            </w:r>
          </w:p>
        </w:tc>
        <w:tc>
          <w:tcPr>
            <w:tcW w:type="dxa" w:w="761"/>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w:t>
            </w:r>
          </w:p>
        </w:tc>
        <w:tc>
          <w:tcPr>
            <w:tcW w:type="dxa" w:w="3270"/>
            <w:tcMar>
              <w:top w:type="dxa" w:w="90"/>
              <w:left w:type="dxa" w:w="120"/>
              <w:bottom w:type="dxa" w:w="90"/>
              <w:right w:type="dxa" w:w="120"/>
            </w:tcMar>
          </w:tcPr>
          <w:p>
            <w:pPr>
              <w:spacing w:after="0" w:before="0" w:line="260"/>
            </w:pPr>
            <w:r>
              <w:rPr>
                <w:rFonts w:ascii="Calibri" w:cs="Calibri" w:eastAsia="Calibri" w:hAnsi="Calibri"/>
                <w:sz w:val="18"/>
                <w:szCs w:val="18"/>
              </w:rPr>
              <w:t xml:space="preserve">From Phase 0, day 3</w:t>
            </w:r>
          </w:p>
        </w:tc>
      </w:tr>
      <w:tr>
        <w:trPr>
          <w:cantSplit/>
          <w:tblHeader w:val="false"/>
        </w:trPr>
        <w:tc>
          <w:tcPr>
            <w:tcW w:type="dxa" w:w="5329"/>
            <w:tcMar>
              <w:top w:type="dxa" w:w="90"/>
              <w:left w:type="dxa" w:w="120"/>
              <w:bottom w:type="dxa" w:w="90"/>
              <w:right w:type="dxa" w:w="120"/>
            </w:tcMar>
          </w:tcPr>
          <w:p>
            <w:pPr>
              <w:spacing w:after="0" w:before="0" w:line="260"/>
            </w:pPr>
            <w:r>
              <w:rPr>
                <w:rFonts w:ascii="Calibri" w:cs="Calibri" w:eastAsia="Calibri" w:hAnsi="Calibri"/>
                <w:sz w:val="18"/>
                <w:szCs w:val="18"/>
              </w:rPr>
              <w:t xml:space="preserve">Routers replace mock handlers, one group at a time</w:t>
            </w:r>
          </w:p>
        </w:tc>
        <w:tc>
          <w:tcPr>
            <w:tcW w:type="dxa" w:w="761"/>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3270"/>
            <w:tcMar>
              <w:top w:type="dxa" w:w="90"/>
              <w:left w:type="dxa" w:w="120"/>
              <w:bottom w:type="dxa" w:w="90"/>
              <w:right w:type="dxa" w:w="120"/>
            </w:tcMar>
          </w:tcPr>
          <w:p>
            <w:pPr>
              <w:spacing w:after="0" w:before="0" w:line="260"/>
            </w:pPr>
            <w:r>
              <w:rPr>
                <w:rFonts w:ascii="Calibri" w:cs="Calibri" w:eastAsia="Calibri" w:hAnsi="Calibri"/>
                <w:sz w:val="18"/>
                <w:szCs w:val="18"/>
              </w:rPr>
              <w:t xml:space="preserve">Phase 1, from the middle</w:t>
            </w:r>
          </w:p>
        </w:tc>
      </w:tr>
    </w:tbl>
    <w:p>
      <w:pPr>
        <w:spacing w:after="200"/>
      </w:pPr>
    </w:p>
    <w:p>
      <w:pPr>
        <w:spacing w:after="140" w:before="100" w:line="276"/>
      </w:pPr>
      <w:r>
        <w:rPr>
          <w:rFonts w:ascii="Calibri" w:cs="Calibri" w:eastAsia="Calibri" w:hAnsi="Calibri"/>
          <w:sz w:val="20"/>
          <w:szCs w:val="20"/>
        </w:rPr>
        <w:t xml:space="preserve">The mock server is not throwaway. It stays, and it becomes the fixture source for the frontend test suite.</w:t>
      </w:r>
    </w:p>
    <w:p>
      <w:pPr>
        <w:pStyle w:val="Heading2"/>
        <w:spacing w:after="120" w:before="280"/>
      </w:pPr>
      <w:r>
        <w:rPr>
          <w:rFonts w:ascii="Calibri" w:cs="Calibri" w:eastAsia="Calibri" w:hAnsi="Calibri"/>
          <w:b/>
          <w:bCs/>
          <w:color w:val="1B2A4A"/>
          <w:sz w:val="24"/>
          <w:szCs w:val="24"/>
        </w:rPr>
        <w:t xml:space="preserve">2.3 One rule that is not negotiable</w:t>
      </w:r>
    </w:p>
    <w:p>
      <w:pPr>
        <w:spacing w:after="140" w:before="100" w:line="276"/>
      </w:pPr>
      <w:r>
        <w:rPr>
          <w:rFonts w:ascii="Calibri" w:cs="Calibri" w:eastAsia="Calibri" w:hAnsi="Calibri"/>
          <w:sz w:val="20"/>
          <w:szCs w:val="20"/>
        </w:rPr>
        <w:t xml:space="preserve">No rule lives in more than one place. There is one CheckEngine. The browser has no copy of it, the mock server has no copy of it, and the advisory layer has no copy of it. A frontend that computes headroom to colour a bar has introduced a second implementation of the limit arithmetic, and the two will disagree the first time a threshold changes.</w:t>
      </w:r>
    </w:p>
    <w:p>
      <w:pPr>
        <w:spacing w:after="140" w:before="100" w:line="276"/>
      </w:pPr>
      <w:r>
        <w:rPr>
          <w:rFonts w:ascii="Calibri" w:cs="Calibri" w:eastAsia="Calibri" w:hAnsi="Calibri"/>
          <w:sz w:val="20"/>
          <w:szCs w:val="20"/>
        </w:rPr>
        <w:t xml:space="preserve">Where the frontend needs a number it does not have, the answer is a field on the response, not a calculation in the client.</w:t>
      </w:r>
    </w:p>
    <w:p>
      <w:pPr>
        <w:pStyle w:val="Heading1"/>
        <w:pBdr>
          <w:bottom w:val="single" w:color="C9CED8" w:sz="6" w:space="6"/>
        </w:pBdr>
        <w:spacing w:after="160" w:before="380"/>
      </w:pPr>
      <w:r>
        <w:rPr>
          <w:rFonts w:ascii="Calibri" w:cs="Calibri" w:eastAsia="Calibri" w:hAnsi="Calibri"/>
          <w:b/>
          <w:bCs/>
          <w:color w:val="1B2A4A"/>
          <w:sz w:val="30"/>
          <w:szCs w:val="30"/>
        </w:rPr>
        <w:t xml:space="preserve">3. Phase map</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074"/>
        <w:gridCol w:w="1741"/>
        <w:gridCol w:w="3321"/>
        <w:gridCol w:w="1074"/>
        <w:gridCol w:w="1074"/>
        <w:gridCol w:w="1076"/>
      </w:tblGrid>
      <w:tr>
        <w:trPr>
          <w:cantSplit/>
          <w:tblHeader/>
        </w:trPr>
        <w:tc>
          <w:tcPr>
            <w:tcW w:type="dxa" w:w="107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Phase</w:t>
            </w:r>
          </w:p>
        </w:tc>
        <w:tc>
          <w:tcPr>
            <w:tcW w:type="dxa" w:w="174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Name</w:t>
            </w:r>
          </w:p>
        </w:tc>
        <w:tc>
          <w:tcPr>
            <w:tcW w:type="dxa" w:w="332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Scope</w:t>
            </w:r>
          </w:p>
        </w:tc>
        <w:tc>
          <w:tcPr>
            <w:tcW w:type="dxa" w:w="107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Tables</w:t>
            </w:r>
          </w:p>
        </w:tc>
        <w:tc>
          <w:tcPr>
            <w:tcW w:type="dxa" w:w="107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Endpoints</w:t>
            </w:r>
          </w:p>
        </w:tc>
        <w:tc>
          <w:tcPr>
            <w:tcW w:type="dxa" w:w="1076"/>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Calendar</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0</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Foundations</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Repository, tooling, migrations, seed, contract, mock server</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18 created</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0 live</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3 days</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The control loop</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Steps 1 to 8 of the build sequence. The demonstration.</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18</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22</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5 weeks</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1.5</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Identity</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Users, roles, bearer token, segregation of duties</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2 added</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3 added</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1 week</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Accounting and advisory</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 journals, the nightly job, the advisory harness</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8 added</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11 added</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4 weeks</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Lifecycle and currency</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Confirmation, matching, amendment, settlement, currency exposure, hedging</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7 added</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11 added</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6 weeks</w:t>
            </w:r>
          </w:p>
        </w:tc>
      </w:tr>
      <w:tr>
        <w:trPr>
          <w:cantSplit/>
          <w:tblHeader w:val="false"/>
        </w:trPr>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4</w:t>
            </w:r>
          </w:p>
        </w:tc>
        <w:tc>
          <w:tcPr>
            <w:tcW w:type="dxa" w:w="1741"/>
            <w:tcMar>
              <w:top w:type="dxa" w:w="90"/>
              <w:left w:type="dxa" w:w="120"/>
              <w:bottom w:type="dxa" w:w="90"/>
              <w:right w:type="dxa" w:w="120"/>
            </w:tcMar>
          </w:tcPr>
          <w:p>
            <w:pPr>
              <w:spacing w:after="0" w:before="0" w:line="260"/>
            </w:pPr>
            <w:r>
              <w:rPr>
                <w:rFonts w:ascii="Calibri" w:cs="Calibri" w:eastAsia="Calibri" w:hAnsi="Calibri"/>
                <w:sz w:val="18"/>
                <w:szCs w:val="18"/>
              </w:rPr>
              <w:t xml:space="preserve">Production platform</w:t>
            </w:r>
          </w:p>
        </w:tc>
        <w:tc>
          <w:tcPr>
            <w:tcW w:type="dxa" w:w="3321"/>
            <w:tcMar>
              <w:top w:type="dxa" w:w="90"/>
              <w:left w:type="dxa" w:w="120"/>
              <w:bottom w:type="dxa" w:w="90"/>
              <w:right w:type="dxa" w:w="120"/>
            </w:tcMar>
          </w:tcPr>
          <w:p>
            <w:pPr>
              <w:spacing w:after="0" w:before="0" w:line="260"/>
            </w:pPr>
            <w:r>
              <w:rPr>
                <w:rFonts w:ascii="Calibri" w:cs="Calibri" w:eastAsia="Calibri" w:hAnsi="Calibri"/>
                <w:sz w:val="18"/>
                <w:szCs w:val="18"/>
              </w:rPr>
              <w:t xml:space="preserve">PostgreSQL, real tenancy, real adapters, deployment</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Migration</w:t>
            </w:r>
          </w:p>
        </w:tc>
        <w:tc>
          <w:tcPr>
            <w:tcW w:type="dxa" w:w="1074"/>
            <w:tcMar>
              <w:top w:type="dxa" w:w="90"/>
              <w:left w:type="dxa" w:w="120"/>
              <w:bottom w:type="dxa" w:w="90"/>
              <w:right w:type="dxa" w:w="120"/>
            </w:tcMar>
          </w:tcPr>
          <w:p>
            <w:pPr>
              <w:spacing w:after="0" w:before="0" w:line="260"/>
            </w:pPr>
            <w:r>
              <w:rPr>
                <w:rFonts w:ascii="Calibri" w:cs="Calibri" w:eastAsia="Calibri" w:hAnsi="Calibri"/>
                <w:sz w:val="18"/>
                <w:szCs w:val="18"/>
              </w:rPr>
              <w:t xml:space="preserve">Hardening</w:t>
            </w:r>
          </w:p>
        </w:tc>
        <w:tc>
          <w:tcPr>
            <w:tcW w:type="dxa" w:w="1076"/>
            <w:tcMar>
              <w:top w:type="dxa" w:w="90"/>
              <w:left w:type="dxa" w:w="120"/>
              <w:bottom w:type="dxa" w:w="90"/>
              <w:right w:type="dxa" w:w="120"/>
            </w:tcMar>
          </w:tcPr>
          <w:p>
            <w:pPr>
              <w:spacing w:after="0" w:before="0" w:line="260"/>
            </w:pPr>
            <w:r>
              <w:rPr>
                <w:rFonts w:ascii="Calibri" w:cs="Calibri" w:eastAsia="Calibri" w:hAnsi="Calibri"/>
                <w:sz w:val="18"/>
                <w:szCs w:val="18"/>
              </w:rPr>
              <w:t xml:space="preserve">3 weeks</w:t>
            </w:r>
          </w:p>
        </w:tc>
      </w:tr>
    </w:tbl>
    <w:p>
      <w:pPr>
        <w:spacing w:after="200"/>
      </w:pPr>
    </w:p>
    <w:p>
      <w:pPr>
        <w:spacing w:after="140" w:before="100" w:line="276"/>
      </w:pPr>
      <w:r>
        <w:rPr>
          <w:rFonts w:ascii="Calibri" w:cs="Calibri" w:eastAsia="Calibri" w:hAnsi="Calibri"/>
          <w:sz w:val="20"/>
          <w:szCs w:val="20"/>
        </w:rPr>
        <w:t xml:space="preserve">Nineteen weeks end to end at three engineers. Phase 1 alone is the demonstration and is the only phase with an external deadline attached to it.</w:t>
      </w:r>
    </w:p>
    <w:p>
      <w:pPr>
        <w:pStyle w:val="Heading1"/>
        <w:pBdr>
          <w:bottom w:val="single" w:color="C9CED8" w:sz="6" w:space="6"/>
        </w:pBdr>
        <w:spacing w:after="160" w:before="380"/>
      </w:pPr>
      <w:r>
        <w:rPr>
          <w:rFonts w:ascii="Calibri" w:cs="Calibri" w:eastAsia="Calibri" w:hAnsi="Calibri"/>
          <w:b/>
          <w:bCs/>
          <w:color w:val="1B2A4A"/>
          <w:sz w:val="30"/>
          <w:szCs w:val="30"/>
        </w:rPr>
        <w:t xml:space="preserve">4. Phase 0, Foundations</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Nothing runs yet, and everything is ready to be built in parallel. Three days.</w:t>
      </w:r>
    </w:p>
    <w:p>
      <w:pPr>
        <w:spacing w:after="140" w:before="100" w:line="276"/>
      </w:pPr>
      <w:r>
        <w:rPr>
          <w:rFonts w:ascii="Calibri" w:cs="Calibri" w:eastAsia="Calibri" w:hAnsi="Calibri"/>
          <w:b/>
          <w:bCs/>
          <w:sz w:val="20"/>
          <w:szCs w:val="20"/>
        </w:rPr>
        <w:t xml:space="preserve">Entry criteria.</w:t>
      </w:r>
      <w:r>
        <w:rPr>
          <w:rFonts w:ascii="Calibri" w:cs="Calibri" w:eastAsia="Calibri" w:hAnsi="Calibri"/>
          <w:sz w:val="20"/>
          <w:szCs w:val="20"/>
        </w:rPr>
        <w:t xml:space="preserve"> Documents 1 to 4 approved. Stack confirmed. Repository access for all three workstreams.</w:t>
      </w:r>
    </w:p>
    <w:p>
      <w:pPr>
        <w:pStyle w:val="Heading2"/>
        <w:spacing w:after="120" w:before="280"/>
      </w:pPr>
      <w:r>
        <w:rPr>
          <w:rFonts w:ascii="Calibri" w:cs="Calibri" w:eastAsia="Calibri" w:hAnsi="Calibri"/>
          <w:b/>
          <w:bCs/>
          <w:color w:val="1B2A4A"/>
          <w:sz w:val="24"/>
          <w:szCs w:val="24"/>
        </w:rPr>
        <w:t xml:space="preserve">4.1 Backend, 3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Task</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Detail</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Repository skeleton</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Four packages: </w:t>
            </w:r>
            <w:r>
              <w:rPr>
                <w:rFonts w:ascii="Consolas" w:cs="Consolas" w:eastAsia="Consolas" w:hAnsi="Consolas"/>
                <w:sz w:val="16"/>
                <w:szCs w:val="16"/>
              </w:rPr>
              <w:t xml:space="preserve">routers</w:t>
            </w:r>
            <w:r>
              <w:rPr>
                <w:rFonts w:ascii="Calibri" w:cs="Calibri" w:eastAsia="Calibri" w:hAnsi="Calibri"/>
                <w:sz w:val="18"/>
                <w:szCs w:val="18"/>
              </w:rPr>
              <w:t xml:space="preserve">, </w:t>
            </w:r>
            <w:r>
              <w:rPr>
                <w:rFonts w:ascii="Consolas" w:cs="Consolas" w:eastAsia="Consolas" w:hAnsi="Consolas"/>
                <w:sz w:val="16"/>
                <w:szCs w:val="16"/>
              </w:rPr>
              <w:t xml:space="preserve">services</w:t>
            </w:r>
            <w:r>
              <w:rPr>
                <w:rFonts w:ascii="Calibri" w:cs="Calibri" w:eastAsia="Calibri" w:hAnsi="Calibri"/>
                <w:sz w:val="18"/>
                <w:szCs w:val="18"/>
              </w:rPr>
              <w:t xml:space="preserve">, </w:t>
            </w:r>
            <w:r>
              <w:rPr>
                <w:rFonts w:ascii="Consolas" w:cs="Consolas" w:eastAsia="Consolas" w:hAnsi="Consolas"/>
                <w:sz w:val="16"/>
                <w:szCs w:val="16"/>
              </w:rPr>
              <w:t xml:space="preserve">repository</w:t>
            </w:r>
            <w:r>
              <w:rPr>
                <w:rFonts w:ascii="Calibri" w:cs="Calibri" w:eastAsia="Calibri" w:hAnsi="Calibri"/>
                <w:sz w:val="18"/>
                <w:szCs w:val="18"/>
              </w:rPr>
              <w:t xml:space="preserve">, </w:t>
            </w:r>
            <w:r>
              <w:rPr>
                <w:rFonts w:ascii="Consolas" w:cs="Consolas" w:eastAsia="Consolas" w:hAnsi="Consolas"/>
                <w:sz w:val="16"/>
                <w:szCs w:val="16"/>
              </w:rPr>
              <w:t xml:space="preserve">models</w:t>
            </w:r>
            <w:r>
              <w:rPr>
                <w:rFonts w:ascii="Calibri" w:cs="Calibri" w:eastAsia="Calibri" w:hAnsi="Calibri"/>
                <w:sz w:val="18"/>
                <w:szCs w:val="18"/>
              </w:rPr>
              <w:t xml:space="preserve">. The package boundary is what enforces the layering.</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Alembic</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Configured against SQLite with WAL set on connect. The first migration is empty, so the tooling is proven before any schema exists.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Schema, phase one set</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All 18 phase one tables. Every operational table carries </w:t>
            </w:r>
            <w:r>
              <w:rPr>
                <w:rFonts w:ascii="Consolas" w:cs="Consolas" w:eastAsia="Consolas" w:hAnsi="Consolas"/>
                <w:sz w:val="16"/>
                <w:szCs w:val="16"/>
              </w:rPr>
              <w:t xml:space="preserve">tenant_id</w:t>
            </w:r>
            <w:r>
              <w:rPr>
                <w:rFonts w:ascii="Calibri" w:cs="Calibri" w:eastAsia="Calibri" w:hAnsi="Calibri"/>
                <w:sz w:val="18"/>
                <w:szCs w:val="18"/>
              </w:rPr>
              <w:t xml:space="preserve">. Both partial unique indexes are in the first migration, not added later.</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Seed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seed data in section 8.1 of document 3, including the one counterparty with an approved manual limit above its band. Without it the book opens already in breach.</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Session dependency</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One session per request, yielded and closed by a FastAPI dependency.</w:t>
            </w:r>
          </w:p>
        </w:tc>
      </w:tr>
    </w:tbl>
    <w:p>
      <w:pPr>
        <w:spacing w:after="200"/>
      </w:pPr>
    </w:p>
    <w:p>
      <w:pPr>
        <w:pStyle w:val="Heading2"/>
        <w:spacing w:after="120" w:before="280"/>
      </w:pPr>
      <w:r>
        <w:rPr>
          <w:rFonts w:ascii="Calibri" w:cs="Calibri" w:eastAsia="Calibri" w:hAnsi="Calibri"/>
          <w:b/>
          <w:bCs/>
          <w:color w:val="1B2A4A"/>
          <w:sz w:val="24"/>
          <w:szCs w:val="24"/>
        </w:rPr>
        <w:t xml:space="preserve">4.2 API, 3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Task</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Detail</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Shared response models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Section 5 of document 2. </w:t>
            </w:r>
            <w:r>
              <w:rPr>
                <w:rFonts w:ascii="Consolas" w:cs="Consolas" w:eastAsia="Consolas" w:hAnsi="Consolas"/>
                <w:sz w:val="16"/>
                <w:szCs w:val="16"/>
              </w:rPr>
              <w:t xml:space="preserve">CheckResult</w:t>
            </w:r>
            <w:r>
              <w:rPr>
                <w:rFonts w:ascii="Calibri" w:cs="Calibri" w:eastAsia="Calibri" w:hAnsi="Calibri"/>
                <w:sz w:val="18"/>
                <w:szCs w:val="18"/>
              </w:rPr>
              <w:t xml:space="preserve">, </w:t>
            </w:r>
            <w:r>
              <w:rPr>
                <w:rFonts w:ascii="Consolas" w:cs="Consolas" w:eastAsia="Consolas" w:hAnsi="Consolas"/>
                <w:sz w:val="16"/>
                <w:szCs w:val="16"/>
              </w:rPr>
              <w:t xml:space="preserve">DealSummary</w:t>
            </w:r>
            <w:r>
              <w:rPr>
                <w:rFonts w:ascii="Calibri" w:cs="Calibri" w:eastAsia="Calibri" w:hAnsi="Calibri"/>
                <w:sz w:val="18"/>
                <w:szCs w:val="18"/>
              </w:rPr>
              <w:t xml:space="preserve">, </w:t>
            </w:r>
            <w:r>
              <w:rPr>
                <w:rFonts w:ascii="Consolas" w:cs="Consolas" w:eastAsia="Consolas" w:hAnsi="Consolas"/>
                <w:sz w:val="16"/>
                <w:szCs w:val="16"/>
              </w:rPr>
              <w:t xml:space="preserve">AdvisoryCard</w:t>
            </w:r>
            <w:r>
              <w:rPr>
                <w:rFonts w:ascii="Calibri" w:cs="Calibri" w:eastAsia="Calibri" w:hAnsi="Calibri"/>
                <w:sz w:val="18"/>
                <w:szCs w:val="18"/>
              </w:rPr>
              <w:t xml:space="preserve">, the error body. These are written before any endpoint.</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Error catalogue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All 38 codes as an enumeration with the status code attached, so a service raises a code and the handler maps it.</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Mock server</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Every one of the 44 endpoints returning a fixture. Fixtures are generated from the seed, so mock and real return the same figures.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Next rewrite</w:t>
            </w:r>
          </w:p>
        </w:tc>
        <w:tc>
          <w:tcPr>
            <w:tcW w:type="dxa" w:w="6552"/>
            <w:tcMar>
              <w:top w:type="dxa" w:w="90"/>
              <w:left w:type="dxa" w:w="120"/>
              <w:bottom w:type="dxa" w:w="90"/>
              <w:right w:type="dxa" w:w="120"/>
            </w:tcMar>
          </w:tcPr>
          <w:p>
            <w:pPr>
              <w:spacing w:after="0" w:before="0" w:line="260"/>
            </w:pPr>
            <w:r>
              <w:rPr>
                <w:rFonts w:ascii="Consolas" w:cs="Consolas" w:eastAsia="Consolas" w:hAnsi="Consolas"/>
                <w:sz w:val="16"/>
                <w:szCs w:val="16"/>
              </w:rPr>
              <w:t xml:space="preserve">/api/*</w:t>
            </w:r>
            <w:r>
              <w:rPr>
                <w:rFonts w:ascii="Calibri" w:cs="Calibri" w:eastAsia="Calibri" w:hAnsi="Calibri"/>
                <w:sz w:val="18"/>
                <w:szCs w:val="18"/>
              </w:rPr>
              <w:t xml:space="preserve"> to </w:t>
            </w:r>
            <w:r>
              <w:rPr>
                <w:rFonts w:ascii="Consolas" w:cs="Consolas" w:eastAsia="Consolas" w:hAnsi="Consolas"/>
                <w:sz w:val="16"/>
                <w:szCs w:val="16"/>
              </w:rPr>
              <w:t xml:space="preserve">localhost:8000</w:t>
            </w:r>
            <w:r>
              <w:rPr>
                <w:rFonts w:ascii="Calibri" w:cs="Calibri" w:eastAsia="Calibri" w:hAnsi="Calibri"/>
                <w:sz w:val="18"/>
                <w:szCs w:val="18"/>
              </w:rPr>
              <w:t xml:space="preserve">. Same origin, no CORS configuration, one URL on the day.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script</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One command starts both processes. Two terminals on demonstration day is one more thing to go wrong.</w:t>
            </w:r>
          </w:p>
        </w:tc>
      </w:tr>
    </w:tbl>
    <w:p>
      <w:pPr>
        <w:spacing w:after="200"/>
      </w:pPr>
    </w:p>
    <w:p>
      <w:pPr>
        <w:pStyle w:val="Heading2"/>
        <w:spacing w:after="120" w:before="280"/>
      </w:pPr>
      <w:r>
        <w:rPr>
          <w:rFonts w:ascii="Calibri" w:cs="Calibri" w:eastAsia="Calibri" w:hAnsi="Calibri"/>
          <w:b/>
          <w:bCs/>
          <w:color w:val="1B2A4A"/>
          <w:sz w:val="24"/>
          <w:szCs w:val="24"/>
        </w:rPr>
        <w:t xml:space="preserve">4.3 Frontend, 3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Task</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Detail</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Next.js App Router scaffold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Client components throughout. No server actions and no route handlers, because both would be places for a rule to hide.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Design tokens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Section 10 of document 3 as CSS custom properties. Plain CSS, no utility framework.</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Formatting module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Pence to pounds, minor units with a currency, basis points to per cent, dates, stage labels. Nothing formats inline anywhere else.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Layout shell</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Header, book column, ticket column, strip. Empty regions, correct proportions.</w:t>
            </w:r>
          </w:p>
        </w:tc>
      </w:tr>
    </w:tbl>
    <w:p>
      <w:pPr>
        <w:spacing w:after="200"/>
      </w:pPr>
    </w:p>
    <w:p>
      <w:pPr>
        <w:pStyle w:val="Heading2"/>
        <w:spacing w:after="120" w:before="280"/>
      </w:pPr>
      <w:r>
        <w:rPr>
          <w:rFonts w:ascii="Calibri" w:cs="Calibri" w:eastAsia="Calibri" w:hAnsi="Calibri"/>
          <w:b/>
          <w:bCs/>
          <w:color w:val="1B2A4A"/>
          <w:sz w:val="24"/>
          <w:szCs w:val="24"/>
        </w:rPr>
        <w:t xml:space="preserve">4.4 Exit criteria</w:t>
      </w:r>
    </w:p>
    <w:p>
      <w:pPr>
        <w:pStyle w:val="ListParagraph"/>
        <w:numPr>
          <w:ilvl w:val="0"/>
          <w:numId w:val="1"/>
        </w:numPr>
        <w:spacing w:after="60" w:before="40" w:line="276"/>
      </w:pPr>
      <w:r>
        <w:rPr>
          <w:rFonts w:ascii="Consolas" w:cs="Consolas" w:eastAsia="Consolas" w:hAnsi="Consolas"/>
          <w:sz w:val="18"/>
          <w:szCs w:val="18"/>
        </w:rPr>
        <w:t xml:space="preserve">alembic upgrade head</w:t>
      </w:r>
      <w:r>
        <w:rPr>
          <w:rFonts w:ascii="Calibri" w:cs="Calibri" w:eastAsia="Calibri" w:hAnsi="Calibri"/>
          <w:sz w:val="20"/>
          <w:szCs w:val="20"/>
        </w:rPr>
        <w:t xml:space="preserve"> builds all 18 tables from empty.</w:t>
      </w:r>
    </w:p>
    <w:p>
      <w:pPr>
        <w:pStyle w:val="ListParagraph"/>
        <w:numPr>
          <w:ilvl w:val="0"/>
          <w:numId w:val="1"/>
        </w:numPr>
        <w:spacing w:after="60" w:before="40" w:line="276"/>
      </w:pPr>
      <w:r>
        <w:rPr>
          <w:rFonts w:ascii="Calibri" w:cs="Calibri" w:eastAsia="Calibri" w:hAnsi="Calibri"/>
          <w:sz w:val="20"/>
          <w:szCs w:val="20"/>
        </w:rPr>
        <w:t xml:space="preserve">The seed loads and the book opens with no counterparty in breach.</w:t>
      </w:r>
    </w:p>
    <w:p>
      <w:pPr>
        <w:pStyle w:val="ListParagraph"/>
        <w:numPr>
          <w:ilvl w:val="0"/>
          <w:numId w:val="1"/>
        </w:numPr>
        <w:spacing w:after="60" w:before="40" w:line="276"/>
      </w:pPr>
      <w:r>
        <w:rPr>
          <w:rFonts w:ascii="Calibri" w:cs="Calibri" w:eastAsia="Calibri" w:hAnsi="Calibri"/>
          <w:sz w:val="20"/>
          <w:szCs w:val="20"/>
        </w:rPr>
        <w:t xml:space="preserve">The mock server answers every endpoint in document 2.</w:t>
      </w:r>
    </w:p>
    <w:p>
      <w:pPr>
        <w:pStyle w:val="ListParagraph"/>
        <w:numPr>
          <w:ilvl w:val="0"/>
          <w:numId w:val="1"/>
        </w:numPr>
        <w:spacing w:after="60" w:before="40" w:line="276"/>
      </w:pPr>
      <w:r>
        <w:rPr>
          <w:rFonts w:ascii="Calibri" w:cs="Calibri" w:eastAsia="Calibri" w:hAnsi="Calibri"/>
          <w:sz w:val="20"/>
          <w:szCs w:val="20"/>
        </w:rPr>
        <w:t xml:space="preserve">The frontend shell renders against the mock server with no backend running.</w:t>
      </w:r>
    </w:p>
    <w:p>
      <w:pPr>
        <w:pStyle w:val="ListParagraph"/>
        <w:numPr>
          <w:ilvl w:val="0"/>
          <w:numId w:val="1"/>
        </w:numPr>
        <w:spacing w:after="60" w:before="40" w:line="276"/>
      </w:pPr>
      <w:r>
        <w:rPr>
          <w:rFonts w:ascii="Calibri" w:cs="Calibri" w:eastAsia="Calibri" w:hAnsi="Calibri"/>
          <w:sz w:val="20"/>
          <w:szCs w:val="20"/>
        </w:rPr>
        <w:t xml:space="preserve">One command starts everything.</w:t>
      </w:r>
    </w:p>
    <w:p>
      <w:pPr>
        <w:pStyle w:val="Heading1"/>
        <w:pBdr>
          <w:bottom w:val="single" w:color="C9CED8" w:sz="6" w:space="6"/>
        </w:pBdr>
        <w:spacing w:after="160" w:before="380"/>
      </w:pPr>
      <w:r>
        <w:rPr>
          <w:rFonts w:ascii="Calibri" w:cs="Calibri" w:eastAsia="Calibri" w:hAnsi="Calibri"/>
          <w:b/>
          <w:bCs/>
          <w:color w:val="1B2A4A"/>
          <w:sz w:val="30"/>
          <w:szCs w:val="30"/>
        </w:rPr>
        <w:t xml:space="preserve">5. Phase 1, The control loop</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The demonstration in section 12 of document 3, running end to end. Five weeks.</w:t>
      </w:r>
    </w:p>
    <w:p>
      <w:pPr>
        <w:spacing w:after="140" w:before="100" w:line="276"/>
      </w:pPr>
      <w:r>
        <w:rPr>
          <w:rFonts w:ascii="Calibri" w:cs="Calibri" w:eastAsia="Calibri" w:hAnsi="Calibri"/>
          <w:sz w:val="20"/>
          <w:szCs w:val="20"/>
        </w:rPr>
        <w:t xml:space="preserve">This is steps 1 to 8 of the build sequence in document 4. It is the only phase with a fixed audience and a fixed date, and everything in it exists to make one circuit visible: approve a counterparty with a limit, propose a deal, six checks run live, record it, exposure moves, and the next check reads that exposure.</w:t>
      </w:r>
    </w:p>
    <w:p>
      <w:pPr>
        <w:pStyle w:val="Heading2"/>
        <w:spacing w:after="120" w:before="280"/>
      </w:pPr>
      <w:r>
        <w:rPr>
          <w:rFonts w:ascii="Calibri" w:cs="Calibri" w:eastAsia="Calibri" w:hAnsi="Calibri"/>
          <w:b/>
          <w:bCs/>
          <w:color w:val="1B2A4A"/>
          <w:sz w:val="24"/>
          <w:szCs w:val="24"/>
        </w:rPr>
        <w:t xml:space="preserve">5.1 Backend, 17 engineer days</w:t>
      </w:r>
    </w:p>
    <w:p>
      <w:pPr>
        <w:spacing w:after="140" w:before="100" w:line="276"/>
      </w:pPr>
      <w:r>
        <w:rPr>
          <w:rFonts w:ascii="Calibri" w:cs="Calibri" w:eastAsia="Calibri" w:hAnsi="Calibri"/>
          <w:sz w:val="20"/>
          <w:szCs w:val="20"/>
        </w:rPr>
        <w:t xml:space="preserve">Built strictly in this order. Steps 1 to 3 have no user interface and are asserted against the seeded numbers before anything visual exists.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605"/>
        <w:gridCol w:w="1334"/>
        <w:gridCol w:w="803"/>
        <w:gridCol w:w="5618"/>
      </w:tblGrid>
      <w:tr>
        <w:trPr>
          <w:cantSplit/>
          <w:tblHeader/>
        </w:trPr>
        <w:tc>
          <w:tcPr>
            <w:tcW w:type="dxa" w:w="1605"/>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Order</w:t>
            </w:r>
          </w:p>
        </w:tc>
        <w:tc>
          <w:tcPr>
            <w:tcW w:type="dxa" w:w="133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803"/>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Days</w:t>
            </w:r>
          </w:p>
        </w:tc>
        <w:tc>
          <w:tcPr>
            <w:tcW w:type="dxa" w:w="561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ExposureCalculator</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The join between counterparty control and dealing. Wrong here means all six checks are wrong. Measurement is per instrument, and the basis is returned rather than only applied.</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CheckEngine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4</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Six checks. Fails closed: a check that cannot read its inputs fails rather than passes. Records the limit version, the policy version, the as of date and the inputs on every run.</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ApprovalRouter</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Reads the two thresholds from the policy version in force, not from a constant.</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4</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DealService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Re-runs the checks as the control, writes the check run, then writes the deal or blocks it. Records </w:t>
            </w:r>
            <w:r>
              <w:rPr>
                <w:rFonts w:ascii="Consolas" w:cs="Consolas" w:eastAsia="Consolas" w:hAnsi="Consolas"/>
                <w:sz w:val="16"/>
                <w:szCs w:val="16"/>
              </w:rPr>
              <w:t xml:space="preserve">limit_id_at_booking</w:t>
            </w:r>
            <w:r>
              <w:rPr>
                <w:rFonts w:ascii="Calibri" w:cs="Calibri" w:eastAsia="Calibri" w:hAnsi="Calibri"/>
                <w:sz w:val="18"/>
                <w:szCs w:val="18"/>
              </w:rPr>
              <w:t xml:space="preserve">, </w:t>
            </w:r>
            <w:r>
              <w:rPr>
                <w:rFonts w:ascii="Consolas" w:cs="Consolas" w:eastAsia="Consolas" w:hAnsi="Consolas"/>
                <w:sz w:val="16"/>
                <w:szCs w:val="16"/>
              </w:rPr>
              <w:t xml:space="preserve">policy_version_id</w:t>
            </w:r>
            <w:r>
              <w:rPr>
                <w:rFonts w:ascii="Calibri" w:cs="Calibri" w:eastAsia="Calibri" w:hAnsi="Calibri"/>
                <w:sz w:val="18"/>
                <w:szCs w:val="18"/>
              </w:rPr>
              <w:t xml:space="preserve"> and </w:t>
            </w:r>
            <w:r>
              <w:rPr>
                <w:rFonts w:ascii="Consolas" w:cs="Consolas" w:eastAsia="Consolas" w:hAnsi="Consolas"/>
                <w:sz w:val="16"/>
                <w:szCs w:val="16"/>
              </w:rPr>
              <w:t xml:space="preserve">capture_source</w:t>
            </w:r>
            <w:r>
              <w:rPr>
                <w:rFonts w:ascii="Calibri" w:cs="Calibri" w:eastAsia="Calibri" w:hAnsi="Calibri"/>
                <w:sz w:val="18"/>
                <w:szCs w:val="18"/>
              </w:rPr>
              <w:t xml:space="preserve">.</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5</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QueueService and BreachService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One queue, both causes, reason codes. Six resolutions.</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6</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RetestService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A rating action re-tests the book position by position. The closing argument of the demonstration and cheap, because the rating is a field.</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7</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OnboardingService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Four calls behind one panel. Status moves from draft to verified to approved to active, visibly.</w:t>
            </w:r>
          </w:p>
        </w:tc>
      </w:tr>
      <w:tr>
        <w:trPr>
          <w:cantSplit/>
          <w:tblHeader w:val="false"/>
        </w:trPr>
        <w:tc>
          <w:tcPr>
            <w:tcW w:type="dxa" w:w="1605"/>
            <w:tcMar>
              <w:top w:type="dxa" w:w="90"/>
              <w:left w:type="dxa" w:w="120"/>
              <w:bottom w:type="dxa" w:w="90"/>
              <w:right w:type="dxa" w:w="120"/>
            </w:tcMar>
          </w:tcPr>
          <w:p>
            <w:pPr>
              <w:spacing w:after="0" w:before="0" w:line="260"/>
            </w:pPr>
            <w:r>
              <w:rPr>
                <w:rFonts w:ascii="Calibri" w:cs="Calibri" w:eastAsia="Calibri" w:hAnsi="Calibri"/>
                <w:sz w:val="18"/>
                <w:szCs w:val="18"/>
              </w:rPr>
              <w:t xml:space="preserve">8</w:t>
            </w:r>
          </w:p>
        </w:tc>
        <w:tc>
          <w:tcPr>
            <w:tcW w:type="dxa" w:w="1334"/>
            <w:tcMar>
              <w:top w:type="dxa" w:w="90"/>
              <w:left w:type="dxa" w:w="120"/>
              <w:bottom w:type="dxa" w:w="90"/>
              <w:right w:type="dxa" w:w="120"/>
            </w:tcMar>
          </w:tcPr>
          <w:p>
            <w:pPr>
              <w:spacing w:after="0" w:before="0" w:line="260"/>
            </w:pPr>
            <w:r>
              <w:rPr>
                <w:rFonts w:ascii="Calibri" w:cs="Calibri" w:eastAsia="Calibri" w:hAnsi="Calibri"/>
                <w:sz w:val="18"/>
                <w:szCs w:val="18"/>
              </w:rPr>
              <w:t xml:space="preserve">ExposureService</w:t>
            </w:r>
          </w:p>
        </w:tc>
        <w:tc>
          <w:tcPr>
            <w:tcW w:type="dxa" w:w="803"/>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5618"/>
            <w:tcMar>
              <w:top w:type="dxa" w:w="90"/>
              <w:left w:type="dxa" w:w="120"/>
              <w:bottom w:type="dxa" w:w="90"/>
              <w:right w:type="dxa" w:w="120"/>
            </w:tcMar>
          </w:tcPr>
          <w:p>
            <w:pPr>
              <w:spacing w:after="0" w:before="0" w:line="260"/>
            </w:pPr>
            <w:r>
              <w:rPr>
                <w:rFonts w:ascii="Calibri" w:cs="Calibri" w:eastAsia="Calibri" w:hAnsi="Calibri"/>
                <w:sz w:val="18"/>
                <w:szCs w:val="18"/>
              </w:rPr>
              <w:t xml:space="preserve">Utilisation by credit group, by rating band, by maturity bucket. Recomputed on every call by design.</w:t>
            </w:r>
          </w:p>
        </w:tc>
      </w:tr>
    </w:tbl>
    <w:p>
      <w:pPr>
        <w:spacing w:after="200"/>
      </w:pPr>
    </w:p>
    <w:p>
      <w:pPr>
        <w:spacing w:after="140" w:before="100" w:line="276"/>
      </w:pPr>
      <w:r>
        <w:rPr>
          <w:rFonts w:ascii="Calibri" w:cs="Calibri" w:eastAsia="Calibri" w:hAnsi="Calibri"/>
          <w:b/>
          <w:bCs/>
          <w:sz w:val="20"/>
          <w:szCs w:val="20"/>
        </w:rPr>
        <w:t xml:space="preserve">Test gate at day 9.</w:t>
      </w:r>
      <w:r>
        <w:rPr>
          <w:rFonts w:ascii="Calibri" w:cs="Calibri" w:eastAsia="Calibri" w:hAnsi="Calibri"/>
          <w:sz w:val="20"/>
          <w:szCs w:val="20"/>
        </w:rPr>
        <w:t xml:space="preserve"> Before the surface exists, three assertions have to pass headless: the £12m Coutts booking fails the group limit and passes the entity limit, the 18 month Goldman deal fails the tenor band at BBB+, and the NatWest downgrade turns a previously compliant deposit amber. If those three pass, the demonstration works. If they do not, no amount of frontend polish saves it.</w:t>
      </w:r>
    </w:p>
    <w:p>
      <w:pPr>
        <w:pStyle w:val="Heading2"/>
        <w:spacing w:after="120" w:before="280"/>
      </w:pPr>
      <w:r>
        <w:rPr>
          <w:rFonts w:ascii="Calibri" w:cs="Calibri" w:eastAsia="Calibri" w:hAnsi="Calibri"/>
          <w:b/>
          <w:bCs/>
          <w:color w:val="1B2A4A"/>
          <w:sz w:val="24"/>
          <w:szCs w:val="24"/>
        </w:rPr>
        <w:t xml:space="preserve">5.2 API, 12 engineer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284"/>
        <w:gridCol w:w="885"/>
        <w:gridCol w:w="6191"/>
      </w:tblGrid>
      <w:tr>
        <w:trPr>
          <w:cantSplit/>
          <w:tblHeader/>
        </w:trPr>
        <w:tc>
          <w:tcPr>
            <w:tcW w:type="dxa" w:w="228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Task</w:t>
            </w:r>
          </w:p>
        </w:tc>
        <w:tc>
          <w:tcPr>
            <w:tcW w:type="dxa" w:w="885"/>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Days</w:t>
            </w:r>
          </w:p>
        </w:tc>
        <w:tc>
          <w:tcPr>
            <w:tcW w:type="dxa" w:w="619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284"/>
            <w:tcMar>
              <w:top w:type="dxa" w:w="90"/>
              <w:left w:type="dxa" w:w="120"/>
              <w:bottom w:type="dxa" w:w="90"/>
              <w:right w:type="dxa" w:w="120"/>
            </w:tcMar>
          </w:tcPr>
          <w:p>
            <w:pPr>
              <w:spacing w:after="0" w:before="0" w:line="260"/>
            </w:pPr>
            <w:r>
              <w:rPr>
                <w:rFonts w:ascii="Calibri" w:cs="Calibri" w:eastAsia="Calibri" w:hAnsi="Calibri"/>
                <w:sz w:val="18"/>
                <w:szCs w:val="18"/>
              </w:rPr>
              <w:t xml:space="preserve">Groups 1, 2, 5 and 6 as real routers</w:t>
            </w:r>
          </w:p>
        </w:tc>
        <w:tc>
          <w:tcPr>
            <w:tcW w:type="dxa" w:w="885"/>
            <w:tcMar>
              <w:top w:type="dxa" w:w="90"/>
              <w:left w:type="dxa" w:w="120"/>
              <w:bottom w:type="dxa" w:w="90"/>
              <w:right w:type="dxa" w:w="120"/>
            </w:tcMar>
          </w:tcPr>
          <w:p>
            <w:pPr>
              <w:spacing w:after="0" w:before="0" w:line="260"/>
            </w:pPr>
            <w:r>
              <w:rPr>
                <w:rFonts w:ascii="Calibri" w:cs="Calibri" w:eastAsia="Calibri" w:hAnsi="Calibri"/>
                <w:sz w:val="18"/>
                <w:szCs w:val="18"/>
              </w:rPr>
              <w:t xml:space="preserve">5</w:t>
            </w:r>
          </w:p>
        </w:tc>
        <w:tc>
          <w:tcPr>
            <w:tcW w:type="dxa" w:w="6191"/>
            <w:tcMar>
              <w:top w:type="dxa" w:w="90"/>
              <w:left w:type="dxa" w:w="120"/>
              <w:bottom w:type="dxa" w:w="90"/>
              <w:right w:type="dxa" w:w="120"/>
            </w:tcMar>
          </w:tcPr>
          <w:p>
            <w:pPr>
              <w:spacing w:after="0" w:before="0" w:line="260"/>
            </w:pPr>
            <w:r>
              <w:rPr>
                <w:rFonts w:ascii="Calibri" w:cs="Calibri" w:eastAsia="Calibri" w:hAnsi="Calibri"/>
                <w:sz w:val="18"/>
                <w:szCs w:val="18"/>
              </w:rPr>
              <w:t xml:space="preserve">State and policy, deals, counterparties, the queue and breaches. 22 endpoints.</w:t>
            </w:r>
          </w:p>
        </w:tc>
      </w:tr>
      <w:tr>
        <w:trPr>
          <w:cantSplit/>
          <w:tblHeader w:val="false"/>
        </w:trPr>
        <w:tc>
          <w:tcPr>
            <w:tcW w:type="dxa" w:w="2284"/>
            <w:tcMar>
              <w:top w:type="dxa" w:w="90"/>
              <w:left w:type="dxa" w:w="120"/>
              <w:bottom w:type="dxa" w:w="90"/>
              <w:right w:type="dxa" w:w="120"/>
            </w:tcMar>
          </w:tcPr>
          <w:p>
            <w:pPr>
              <w:spacing w:after="0" w:before="0" w:line="260"/>
            </w:pPr>
            <w:r>
              <w:rPr>
                <w:rFonts w:ascii="Calibri" w:cs="Calibri" w:eastAsia="Calibri" w:hAnsi="Calibri"/>
                <w:sz w:val="18"/>
                <w:szCs w:val="18"/>
              </w:rPr>
              <w:t xml:space="preserve">Stub adapters</w:t>
            </w:r>
          </w:p>
        </w:tc>
        <w:tc>
          <w:tcPr>
            <w:tcW w:type="dxa" w:w="885"/>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6191"/>
            <w:tcMar>
              <w:top w:type="dxa" w:w="90"/>
              <w:left w:type="dxa" w:w="120"/>
              <w:bottom w:type="dxa" w:w="90"/>
              <w:right w:type="dxa" w:w="120"/>
            </w:tcMar>
          </w:tcPr>
          <w:p>
            <w:pPr>
              <w:spacing w:after="0" w:before="0" w:line="260"/>
            </w:pPr>
            <w:r>
              <w:rPr>
                <w:rFonts w:ascii="Consolas" w:cs="Consolas" w:eastAsia="Consolas" w:hAnsi="Consolas"/>
                <w:sz w:val="16"/>
                <w:szCs w:val="16"/>
              </w:rPr>
              <w:t xml:space="preserve">OracleBalanceAdapter</w:t>
            </w:r>
            <w:r>
              <w:rPr>
                <w:rFonts w:ascii="Calibri" w:cs="Calibri" w:eastAsia="Calibri" w:hAnsi="Calibri"/>
                <w:sz w:val="18"/>
                <w:szCs w:val="18"/>
              </w:rPr>
              <w:t xml:space="preserve"> and </w:t>
            </w:r>
            <w:r>
              <w:rPr>
                <w:rFonts w:ascii="Consolas" w:cs="Consolas" w:eastAsia="Consolas" w:hAnsi="Consolas"/>
                <w:sz w:val="16"/>
                <w:szCs w:val="16"/>
              </w:rPr>
              <w:t xml:space="preserve">RatingSource</w:t>
            </w:r>
            <w:r>
              <w:rPr>
                <w:rFonts w:ascii="Calibri" w:cs="Calibri" w:eastAsia="Calibri" w:hAnsi="Calibri"/>
                <w:sz w:val="18"/>
                <w:szCs w:val="18"/>
              </w:rPr>
              <w:t xml:space="preserve">, both reading seeded tables behind an interface. The interface is the deliverable, not the stub.</w:t>
            </w:r>
          </w:p>
        </w:tc>
      </w:tr>
      <w:tr>
        <w:trPr>
          <w:cantSplit/>
          <w:tblHeader w:val="false"/>
        </w:trPr>
        <w:tc>
          <w:tcPr>
            <w:tcW w:type="dxa" w:w="2284"/>
            <w:tcMar>
              <w:top w:type="dxa" w:w="90"/>
              <w:left w:type="dxa" w:w="120"/>
              <w:bottom w:type="dxa" w:w="90"/>
              <w:right w:type="dxa" w:w="120"/>
            </w:tcMar>
          </w:tcPr>
          <w:p>
            <w:pPr>
              <w:spacing w:after="0" w:before="0" w:line="260"/>
            </w:pPr>
            <w:r>
              <w:rPr>
                <w:rFonts w:ascii="Calibri" w:cs="Calibri" w:eastAsia="Calibri" w:hAnsi="Calibri"/>
                <w:sz w:val="18"/>
                <w:szCs w:val="18"/>
              </w:rPr>
              <w:t xml:space="preserve">Error handling</w:t>
            </w:r>
          </w:p>
        </w:tc>
        <w:tc>
          <w:tcPr>
            <w:tcW w:type="dxa" w:w="885"/>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6191"/>
            <w:tcMar>
              <w:top w:type="dxa" w:w="90"/>
              <w:left w:type="dxa" w:w="120"/>
              <w:bottom w:type="dxa" w:w="90"/>
              <w:right w:type="dxa" w:w="120"/>
            </w:tcMar>
          </w:tcPr>
          <w:p>
            <w:pPr>
              <w:spacing w:after="0" w:before="0" w:line="260"/>
            </w:pPr>
            <w:r>
              <w:rPr>
                <w:rFonts w:ascii="Calibri" w:cs="Calibri" w:eastAsia="Calibri" w:hAnsi="Calibri"/>
                <w:sz w:val="18"/>
                <w:szCs w:val="18"/>
              </w:rPr>
              <w:t xml:space="preserve">Every service exception mapped to a code and a status. No bare 500s.</w:t>
            </w:r>
          </w:p>
        </w:tc>
      </w:tr>
      <w:tr>
        <w:trPr>
          <w:cantSplit/>
          <w:tblHeader w:val="false"/>
        </w:trPr>
        <w:tc>
          <w:tcPr>
            <w:tcW w:type="dxa" w:w="2284"/>
            <w:tcMar>
              <w:top w:type="dxa" w:w="90"/>
              <w:left w:type="dxa" w:w="120"/>
              <w:bottom w:type="dxa" w:w="90"/>
              <w:right w:type="dxa" w:w="120"/>
            </w:tcMar>
          </w:tcPr>
          <w:p>
            <w:pPr>
              <w:spacing w:after="0" w:before="0" w:line="260"/>
            </w:pPr>
            <w:r>
              <w:rPr>
                <w:rFonts w:ascii="Calibri" w:cs="Calibri" w:eastAsia="Calibri" w:hAnsi="Calibri"/>
                <w:sz w:val="18"/>
                <w:szCs w:val="18"/>
              </w:rPr>
              <w:t xml:space="preserve">Idempotency and transaction boundaries</w:t>
            </w:r>
          </w:p>
        </w:tc>
        <w:tc>
          <w:tcPr>
            <w:tcW w:type="dxa" w:w="885"/>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6191"/>
            <w:tcMar>
              <w:top w:type="dxa" w:w="90"/>
              <w:left w:type="dxa" w:w="120"/>
              <w:bottom w:type="dxa" w:w="90"/>
              <w:right w:type="dxa" w:w="120"/>
            </w:tcMar>
          </w:tcPr>
          <w:p>
            <w:pPr>
              <w:spacing w:after="0" w:before="0" w:line="260"/>
            </w:pPr>
            <w:r>
              <w:rPr>
                <w:rFonts w:ascii="Calibri" w:cs="Calibri" w:eastAsia="Calibri" w:hAnsi="Calibri"/>
                <w:sz w:val="18"/>
                <w:szCs w:val="18"/>
              </w:rPr>
              <w:t xml:space="preserve">Section 8 of document 2. One transaction per write endpoint.</w:t>
            </w:r>
          </w:p>
        </w:tc>
      </w:tr>
      <w:tr>
        <w:trPr>
          <w:cantSplit/>
          <w:tblHeader w:val="false"/>
        </w:trPr>
        <w:tc>
          <w:tcPr>
            <w:tcW w:type="dxa" w:w="2284"/>
            <w:tcMar>
              <w:top w:type="dxa" w:w="90"/>
              <w:left w:type="dxa" w:w="120"/>
              <w:bottom w:type="dxa" w:w="90"/>
              <w:right w:type="dxa" w:w="120"/>
            </w:tcMar>
          </w:tcPr>
          <w:p>
            <w:pPr>
              <w:spacing w:after="0" w:before="0" w:line="260"/>
            </w:pPr>
            <w:r>
              <w:rPr>
                <w:rFonts w:ascii="Calibri" w:cs="Calibri" w:eastAsia="Calibri" w:hAnsi="Calibri"/>
                <w:sz w:val="18"/>
                <w:szCs w:val="18"/>
              </w:rPr>
              <w:t xml:space="preserve">Performance work on the check path</w:t>
            </w:r>
          </w:p>
        </w:tc>
        <w:tc>
          <w:tcPr>
            <w:tcW w:type="dxa" w:w="885"/>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6191"/>
            <w:tcMar>
              <w:top w:type="dxa" w:w="90"/>
              <w:left w:type="dxa" w:w="120"/>
              <w:bottom w:type="dxa" w:w="90"/>
              <w:right w:type="dxa" w:w="120"/>
            </w:tcMar>
          </w:tcPr>
          <w:p>
            <w:pPr>
              <w:spacing w:after="0" w:before="0" w:line="260"/>
            </w:pPr>
            <w:r>
              <w:rPr>
                <w:rFonts w:ascii="Calibri" w:cs="Calibri" w:eastAsia="Calibri" w:hAnsi="Calibri"/>
                <w:sz w:val="18"/>
                <w:szCs w:val="18"/>
              </w:rPr>
              <w:t xml:space="preserve">Two indexes, no caching. The budget is 80 milliseconds at the ninety-fifth percentile, because above about 150 the panel stops feeling live.</w:t>
            </w:r>
          </w:p>
        </w:tc>
      </w:tr>
    </w:tbl>
    <w:p>
      <w:pPr>
        <w:spacing w:after="200"/>
      </w:pPr>
    </w:p>
    <w:p>
      <w:pPr>
        <w:pStyle w:val="Heading2"/>
        <w:spacing w:after="120" w:before="280"/>
      </w:pPr>
      <w:r>
        <w:rPr>
          <w:rFonts w:ascii="Calibri" w:cs="Calibri" w:eastAsia="Calibri" w:hAnsi="Calibri"/>
          <w:b/>
          <w:bCs/>
          <w:color w:val="1B2A4A"/>
          <w:sz w:val="24"/>
          <w:szCs w:val="24"/>
        </w:rPr>
        <w:t xml:space="preserve">5.3 Frontend, 22 engineer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872"/>
        <w:gridCol w:w="936"/>
        <w:gridCol w:w="6552"/>
      </w:tblGrid>
      <w:tr>
        <w:trPr>
          <w:cantSplit/>
          <w:tblHeader/>
        </w:trPr>
        <w:tc>
          <w:tcPr>
            <w:tcW w:type="dxa" w:w="187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Task</w:t>
            </w:r>
          </w:p>
        </w:tc>
        <w:tc>
          <w:tcPr>
            <w:tcW w:type="dxa" w:w="936"/>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Days</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Book column</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Rows with rating pill, headroom bar, group utilisation. Tinted when a breach is outstanding. Clicking loads the counterparty into the ticket.</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Ticket</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Five fields. Counterparty, instrument, principal, term, rate. Nothing else is needed to test a deal.</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Live check panel</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5</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component that carries the demonstration. Debounced at 150 milliseconds, in flight requests cancelled, six rows always, state changes in place with no spinner and no reordering. A failed row that could pass at a smaller amount carries the control that sets it.</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Verdict</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 a pass, the measured exposure, the basis and the approver required. On a failure, how many failed and what the policy allows. The override reason appears inline, never in a dialog.</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Blotter</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Measured column with the basis underneath, so a forward is never read as its notional. Stage dots. Flag pill only when something needs attention.</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Panel shell and five panels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5</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Exposure, queue, breaches, evidence, onboarding. One shell owning the scrim, escape, focus return and the rule that opening one closes another.</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Keyboard, focus, states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Section 8.3 and section 9 of document 3.</w:t>
            </w:r>
          </w:p>
        </w:tc>
      </w:tr>
    </w:tbl>
    <w:p>
      <w:pPr>
        <w:spacing w:after="200"/>
      </w:pPr>
    </w:p>
    <w:p>
      <w:pPr>
        <w:pStyle w:val="Heading2"/>
        <w:spacing w:after="120" w:before="280"/>
      </w:pPr>
      <w:r>
        <w:rPr>
          <w:rFonts w:ascii="Calibri" w:cs="Calibri" w:eastAsia="Calibri" w:hAnsi="Calibri"/>
          <w:b/>
          <w:bCs/>
          <w:color w:val="1B2A4A"/>
          <w:sz w:val="24"/>
          <w:szCs w:val="24"/>
        </w:rPr>
        <w:t xml:space="preserve">5.4 Integration, week 5</w:t>
      </w:r>
    </w:p>
    <w:p>
      <w:pPr>
        <w:spacing w:after="140" w:before="100" w:line="276"/>
      </w:pPr>
      <w:r>
        <w:rPr>
          <w:rFonts w:ascii="Calibri" w:cs="Calibri" w:eastAsia="Calibri" w:hAnsi="Calibri"/>
          <w:sz w:val="20"/>
          <w:szCs w:val="20"/>
        </w:rPr>
        <w:t xml:space="preserve">The mock server is retired group by group. Contract tests run against both the mock and the real API and must produce identical shapes, which is how a drift between them is caught before the frontend sees it.</w:t>
      </w:r>
    </w:p>
    <w:p>
      <w:pPr>
        <w:pStyle w:val="Heading2"/>
        <w:spacing w:after="120" w:before="280"/>
      </w:pPr>
      <w:r>
        <w:rPr>
          <w:rFonts w:ascii="Calibri" w:cs="Calibri" w:eastAsia="Calibri" w:hAnsi="Calibri"/>
          <w:b/>
          <w:bCs/>
          <w:color w:val="1B2A4A"/>
          <w:sz w:val="24"/>
          <w:szCs w:val="24"/>
        </w:rPr>
        <w:t xml:space="preserve">5.5 Exit criteria</w:t>
      </w:r>
    </w:p>
    <w:p>
      <w:pPr>
        <w:pStyle w:val="ListParagraph"/>
        <w:numPr>
          <w:ilvl w:val="0"/>
          <w:numId w:val="1"/>
        </w:numPr>
        <w:spacing w:after="60" w:before="40" w:line="276"/>
      </w:pPr>
      <w:r>
        <w:rPr>
          <w:rFonts w:ascii="Calibri" w:cs="Calibri" w:eastAsia="Calibri" w:hAnsi="Calibri"/>
          <w:sz w:val="20"/>
          <w:szCs w:val="20"/>
        </w:rPr>
        <w:t xml:space="preserve">The demonstration run sheet in section 12 of document 3 completes with two amounts typed and everything else clicked.</w:t>
      </w:r>
    </w:p>
    <w:p>
      <w:pPr>
        <w:pStyle w:val="ListParagraph"/>
        <w:numPr>
          <w:ilvl w:val="0"/>
          <w:numId w:val="1"/>
        </w:numPr>
        <w:spacing w:after="60" w:before="40" w:line="276"/>
      </w:pPr>
      <w:r>
        <w:rPr>
          <w:rFonts w:ascii="Calibri" w:cs="Calibri" w:eastAsia="Calibri" w:hAnsi="Calibri"/>
          <w:sz w:val="20"/>
          <w:szCs w:val="20"/>
        </w:rPr>
        <w:t xml:space="preserve">The check path meets 80 milliseconds at the ninety-fifth percentile against seeded volume.</w:t>
      </w:r>
    </w:p>
    <w:p>
      <w:pPr>
        <w:pStyle w:val="ListParagraph"/>
        <w:numPr>
          <w:ilvl w:val="0"/>
          <w:numId w:val="1"/>
        </w:numPr>
        <w:spacing w:after="60" w:before="40" w:line="276"/>
      </w:pPr>
      <w:r>
        <w:rPr>
          <w:rFonts w:ascii="Calibri" w:cs="Calibri" w:eastAsia="Calibri" w:hAnsi="Calibri"/>
          <w:sz w:val="20"/>
          <w:szCs w:val="20"/>
        </w:rPr>
        <w:t xml:space="preserve">The navigation budget holds: one surface, zero page loads after the first, one panel at a time, five strip items.</w:t>
      </w:r>
    </w:p>
    <w:p>
      <w:pPr>
        <w:pStyle w:val="ListParagraph"/>
        <w:numPr>
          <w:ilvl w:val="0"/>
          <w:numId w:val="1"/>
        </w:numPr>
        <w:spacing w:after="60" w:before="40" w:line="276"/>
      </w:pPr>
      <w:r>
        <w:rPr>
          <w:rFonts w:ascii="Calibri" w:cs="Calibri" w:eastAsia="Calibri" w:hAnsi="Calibri"/>
          <w:sz w:val="20"/>
          <w:szCs w:val="20"/>
        </w:rPr>
        <w:t xml:space="preserve">No rule exists in the browser. Verified by reading the client, not by testing it.</w:t>
      </w:r>
    </w:p>
    <w:p>
      <w:pPr>
        <w:pStyle w:val="ListParagraph"/>
        <w:numPr>
          <w:ilvl w:val="0"/>
          <w:numId w:val="1"/>
        </w:numPr>
        <w:spacing w:after="60" w:before="40" w:line="276"/>
      </w:pPr>
      <w:r>
        <w:rPr>
          <w:rFonts w:ascii="Calibri" w:cs="Calibri" w:eastAsia="Calibri" w:hAnsi="Calibri"/>
          <w:sz w:val="20"/>
          <w:szCs w:val="20"/>
        </w:rPr>
        <w:t xml:space="preserve">Every check run is reproducible from its recorded inputs.</w:t>
      </w:r>
    </w:p>
    <w:p>
      <w:pPr>
        <w:pStyle w:val="Heading1"/>
        <w:pBdr>
          <w:bottom w:val="single" w:color="C9CED8" w:sz="6" w:space="6"/>
        </w:pBdr>
        <w:spacing w:after="160" w:before="380"/>
      </w:pPr>
      <w:r>
        <w:rPr>
          <w:rFonts w:ascii="Calibri" w:cs="Calibri" w:eastAsia="Calibri" w:hAnsi="Calibri"/>
          <w:b/>
          <w:bCs/>
          <w:color w:val="1B2A4A"/>
          <w:sz w:val="30"/>
          <w:szCs w:val="30"/>
        </w:rPr>
        <w:t xml:space="preserve">6. Phase 1.5, Identity</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Close the largest gap in the design before anyone outside the room uses the system. One week.</w:t>
      </w:r>
    </w:p>
    <w:p>
      <w:pPr>
        <w:spacing w:after="140" w:before="100" w:line="276"/>
      </w:pPr>
      <w:r>
        <w:rPr>
          <w:rFonts w:ascii="Calibri" w:cs="Calibri" w:eastAsia="Calibri" w:hAnsi="Calibri"/>
          <w:sz w:val="20"/>
          <w:szCs w:val="20"/>
        </w:rPr>
        <w:t xml:space="preserve">Document 4 section 10 states it plainly: every actor is currently a string in a request body, and the proposer can approve their own deal. With the advisory layer added in phase 2, the same person can accept a recommendation and then approve the deal it produced, which is the same hole twice.</w:t>
      </w:r>
    </w:p>
    <w:p>
      <w:pPr>
        <w:spacing w:after="140" w:before="100" w:line="276"/>
      </w:pPr>
      <w:r>
        <w:rPr>
          <w:rFonts w:ascii="Calibri" w:cs="Calibri" w:eastAsia="Calibri" w:hAnsi="Calibri"/>
          <w:sz w:val="20"/>
          <w:szCs w:val="20"/>
        </w:rPr>
        <w:t xml:space="preserve">This is a separate phase rather than part of phase 2 because it is a gate. Nothing in phase 2 or 3 should be built on top of free text actors.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Workstream</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Work</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w:t>
            </w:r>
            <w:r>
              <w:rPr>
                <w:rFonts w:ascii="Consolas" w:cs="Consolas" w:eastAsia="Consolas" w:hAnsi="Consolas"/>
                <w:sz w:val="16"/>
                <w:szCs w:val="16"/>
              </w:rPr>
              <w:t xml:space="preserve">user</w:t>
            </w:r>
            <w:r>
              <w:rPr>
                <w:rFonts w:ascii="Calibri" w:cs="Calibri" w:eastAsia="Calibri" w:hAnsi="Calibri"/>
                <w:sz w:val="18"/>
                <w:szCs w:val="18"/>
              </w:rPr>
              <w:t xml:space="preserve"> table and a </w:t>
            </w:r>
            <w:r>
              <w:rPr>
                <w:rFonts w:ascii="Consolas" w:cs="Consolas" w:eastAsia="Consolas" w:hAnsi="Consolas"/>
                <w:sz w:val="16"/>
                <w:szCs w:val="16"/>
              </w:rPr>
              <w:t xml:space="preserve">membership</w:t>
            </w:r>
            <w:r>
              <w:rPr>
                <w:rFonts w:ascii="Calibri" w:cs="Calibri" w:eastAsia="Calibri" w:hAnsi="Calibri"/>
                <w:sz w:val="18"/>
                <w:szCs w:val="18"/>
              </w:rPr>
              <w:t xml:space="preserve"> table with a role. One comparison in ApprovalRouter. One constraint that the approver is not the proposer. Every service already records who acted, so nothing else changes.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Bearer token issue and verify. The actor is taken from the token and never from the body. Every write endpoint loses its actor field.</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Frontend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sign in screen and the token in the request layer. The surface itself does not change.</w:t>
            </w:r>
          </w:p>
        </w:tc>
      </w:tr>
    </w:tbl>
    <w:p>
      <w:pPr>
        <w:spacing w:after="200"/>
      </w:pPr>
    </w:p>
    <w:p>
      <w:pPr>
        <w:spacing w:after="140" w:before="100" w:line="276"/>
      </w:pPr>
      <w:r>
        <w:rPr>
          <w:rFonts w:ascii="Calibri" w:cs="Calibri" w:eastAsia="Calibri" w:hAnsi="Calibri"/>
          <w:b/>
          <w:bCs/>
          <w:sz w:val="20"/>
          <w:szCs w:val="20"/>
        </w:rPr>
        <w:t xml:space="preserve">Exit criteria.</w:t>
      </w:r>
      <w:r>
        <w:rPr>
          <w:rFonts w:ascii="Calibri" w:cs="Calibri" w:eastAsia="Calibri" w:hAnsi="Calibri"/>
          <w:sz w:val="20"/>
          <w:szCs w:val="20"/>
        </w:rPr>
        <w:t xml:space="preserve"> No endpoint accepts an actor in a request body. A user cannot approve a deal they proposed. Every evidence record names a user identifier rather than typed text.</w:t>
      </w:r>
    </w:p>
    <w:p>
      <w:pPr>
        <w:pStyle w:val="Heading1"/>
        <w:pBdr>
          <w:bottom w:val="single" w:color="C9CED8" w:sz="6" w:space="6"/>
        </w:pBdr>
        <w:spacing w:after="160" w:before="380"/>
      </w:pPr>
      <w:r>
        <w:rPr>
          <w:rFonts w:ascii="Calibri" w:cs="Calibri" w:eastAsia="Calibri" w:hAnsi="Calibri"/>
          <w:b/>
          <w:bCs/>
          <w:color w:val="1B2A4A"/>
          <w:sz w:val="30"/>
          <w:szCs w:val="30"/>
        </w:rPr>
        <w:t xml:space="preserve">7. Phase 2, Accounting and advisory</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Stored accrual, journals to the Oracle boundary, and the advisory harness. Four weeks. Eight tables added, bringing the model to 26.</w:t>
      </w:r>
    </w:p>
    <w:p>
      <w:pPr>
        <w:spacing w:after="140" w:before="100" w:line="276"/>
      </w:pPr>
      <w:r>
        <w:rPr>
          <w:rFonts w:ascii="Calibri" w:cs="Calibri" w:eastAsia="Calibri" w:hAnsi="Calibri"/>
          <w:sz w:val="20"/>
          <w:szCs w:val="20"/>
        </w:rPr>
        <w:t xml:space="preserve">Order inside the phase matters. Accrual comes first because the advisory layer reads live positions, and a stale accrual mis-states the ladder it is measuring a gap against.</w:t>
      </w:r>
    </w:p>
    <w:p>
      <w:pPr>
        <w:pStyle w:val="Heading2"/>
        <w:spacing w:after="120" w:before="280"/>
      </w:pPr>
      <w:r>
        <w:rPr>
          <w:rFonts w:ascii="Calibri" w:cs="Calibri" w:eastAsia="Calibri" w:hAnsi="Calibri"/>
          <w:b/>
          <w:bCs/>
          <w:color w:val="1B2A4A"/>
          <w:sz w:val="24"/>
          <w:szCs w:val="24"/>
        </w:rPr>
        <w:t xml:space="preserve">7.1 Accounting, backend 8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One row per deal per day. Stored rather than recomputed, because the ledger needs what was recognised on a day rather than a recomputation of what it should have been. </w:t>
            </w:r>
            <w:r>
              <w:rPr>
                <w:rFonts w:ascii="Consolas" w:cs="Consolas" w:eastAsia="Consolas" w:hAnsi="Consolas"/>
                <w:sz w:val="16"/>
                <w:szCs w:val="16"/>
              </w:rPr>
              <w:t xml:space="preserve">cumulative_pence</w:t>
            </w:r>
            <w:r>
              <w:rPr>
                <w:rFonts w:ascii="Calibri" w:cs="Calibri" w:eastAsia="Calibri" w:hAnsi="Calibri"/>
                <w:sz w:val="18"/>
                <w:szCs w:val="18"/>
              </w:rPr>
              <w:t xml:space="preserve"> is denormalised deliberately, since the alternative is a window function on every read of the blotter.</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JournalService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Built from the accrual, with the account mapping held here because the deal does not exist in Oracle. Status moves BUILT to POSTED to FAILED. Posting is idempotent per journal, so a retry after a partial failure posts only what did not land.</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Nightly job</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 then advisory. Returns 202. Idempotent by clock date, so running it twice writes accruals once. If accrual fails, the advisory run does not start.</w:t>
            </w:r>
          </w:p>
        </w:tc>
      </w:tr>
    </w:tbl>
    <w:p>
      <w:pPr>
        <w:spacing w:after="200"/>
      </w:pPr>
    </w:p>
    <w:p>
      <w:pPr>
        <w:pStyle w:val="Heading2"/>
        <w:spacing w:after="120" w:before="280"/>
      </w:pPr>
      <w:r>
        <w:rPr>
          <w:rFonts w:ascii="Calibri" w:cs="Calibri" w:eastAsia="Calibri" w:hAnsi="Calibri"/>
          <w:b/>
          <w:bCs/>
          <w:color w:val="1B2A4A"/>
          <w:sz w:val="24"/>
          <w:szCs w:val="24"/>
        </w:rPr>
        <w:t xml:space="preserve">7.2 Advisory, backend 9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Investment policy</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advisory layer refuses to run without a ladder and cover targets, and says so. That refusal is a feature, because it is also the conversation that shapes the customer's policy.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AdvisoryService, six stages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Reads forecast and policy, builds candidates, calls CheckEngine at stage 3 to exclude before ranking, ranks, calls CheckEngine again at stage 5 to validate, writes the recommendation.</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Ranker interface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Two implementations behind one interface. Switching </w:t>
            </w:r>
            <w:r>
              <w:rPr>
                <w:rFonts w:ascii="Consolas" w:cs="Consolas" w:eastAsia="Consolas" w:hAnsi="Consolas"/>
                <w:sz w:val="16"/>
                <w:szCs w:val="16"/>
              </w:rPr>
              <w:t xml:space="preserve">model_enabled</w:t>
            </w:r>
            <w:r>
              <w:rPr>
                <w:rFonts w:ascii="Calibri" w:cs="Calibri" w:eastAsia="Calibri" w:hAnsi="Calibri"/>
                <w:sz w:val="18"/>
                <w:szCs w:val="18"/>
              </w:rPr>
              <w:t xml:space="preserve"> off swaps the implementation and no other code path changes.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The dashed edge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Nothing is recorded because a model suggested it. The only path from a recommendation into the book runs through a person and then through the six checks, exactly as a typed deal does.</w:t>
            </w:r>
          </w:p>
        </w:tc>
      </w:tr>
    </w:tbl>
    <w:p>
      <w:pPr>
        <w:spacing w:after="200"/>
      </w:pPr>
    </w:p>
    <w:p>
      <w:pPr>
        <w:pStyle w:val="Heading2"/>
        <w:spacing w:after="120" w:before="280"/>
      </w:pPr>
      <w:r>
        <w:rPr>
          <w:rFonts w:ascii="Calibri" w:cs="Calibri" w:eastAsia="Calibri" w:hAnsi="Calibri"/>
          <w:b/>
          <w:bCs/>
          <w:color w:val="1B2A4A"/>
          <w:sz w:val="24"/>
          <w:szCs w:val="24"/>
        </w:rPr>
        <w:t xml:space="preserve">7.3 API, 7 days</w:t>
      </w:r>
    </w:p>
    <w:p>
      <w:pPr>
        <w:spacing w:after="140" w:before="100" w:line="276"/>
      </w:pPr>
      <w:r>
        <w:rPr>
          <w:rFonts w:ascii="Calibri" w:cs="Calibri" w:eastAsia="Calibri" w:hAnsi="Calibri"/>
          <w:sz w:val="20"/>
          <w:szCs w:val="20"/>
        </w:rPr>
        <w:t xml:space="preserve">Groups 4 and 7, eleven endpoints. Accruals, journals, journal posting, the advisory run, the latest recommendation, accept and reject, and the nightly job.</w:t>
      </w:r>
    </w:p>
    <w:p>
      <w:pPr>
        <w:pStyle w:val="Heading2"/>
        <w:spacing w:after="120" w:before="280"/>
      </w:pPr>
      <w:r>
        <w:rPr>
          <w:rFonts w:ascii="Calibri" w:cs="Calibri" w:eastAsia="Calibri" w:hAnsi="Calibri"/>
          <w:b/>
          <w:bCs/>
          <w:color w:val="1B2A4A"/>
          <w:sz w:val="24"/>
          <w:szCs w:val="24"/>
        </w:rPr>
        <w:t xml:space="preserve">7.4 Frontend, 9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Advisory card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Above the ticket fields, inside the ticket column. Not a banner and not a notification, because it is an input to the work rather than an interruption of it. Accepting fills the five fields and triggers a check immediately.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Advisory run panel</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Six stages, the candidates including the excluded ones with their reasons, the three validation results.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 on the blotter</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stage label carries the daily figure.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Strip change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advisory entry replaces Sent to Oracle, which moves onto the deal timeline where it belongs. Still five items.</w:t>
            </w:r>
          </w:p>
        </w:tc>
      </w:tr>
    </w:tbl>
    <w:p>
      <w:pPr>
        <w:spacing w:after="200"/>
      </w:pPr>
    </w:p>
    <w:p>
      <w:pPr>
        <w:spacing w:after="140" w:before="100" w:line="276"/>
      </w:pPr>
      <w:r>
        <w:rPr>
          <w:rFonts w:ascii="Calibri" w:cs="Calibri" w:eastAsia="Calibri" w:hAnsi="Calibri"/>
          <w:b/>
          <w:bCs/>
          <w:sz w:val="20"/>
          <w:szCs w:val="20"/>
        </w:rPr>
        <w:t xml:space="preserve">Exit criteria.</w:t>
      </w:r>
      <w:r>
        <w:rPr>
          <w:rFonts w:ascii="Calibri" w:cs="Calibri" w:eastAsia="Calibri" w:hAnsi="Calibri"/>
          <w:sz w:val="20"/>
          <w:szCs w:val="20"/>
        </w:rPr>
        <w:t xml:space="preserve"> The nightly job runs twice for one date and writes accruals once. A recommendation that fails validation still appears, with the rule based pick flagged as such and only the explanation lost. Accepting a recommendation produces a deal that carries a check run identical in shape to a typed deal.</w:t>
      </w:r>
    </w:p>
    <w:p>
      <w:pPr>
        <w:pStyle w:val="Heading1"/>
        <w:pBdr>
          <w:bottom w:val="single" w:color="C9CED8" w:sz="6" w:space="6"/>
        </w:pBdr>
        <w:spacing w:after="160" w:before="380"/>
      </w:pPr>
      <w:r>
        <w:rPr>
          <w:rFonts w:ascii="Calibri" w:cs="Calibri" w:eastAsia="Calibri" w:hAnsi="Calibri"/>
          <w:b/>
          <w:bCs/>
          <w:color w:val="1B2A4A"/>
          <w:sz w:val="30"/>
          <w:szCs w:val="30"/>
        </w:rPr>
        <w:t xml:space="preserve">8. Phase 3, Lifecycle and currency</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The full deal lifecycle from capture to close, and currency exposure with hedge linkage. Six weeks. Seven tables added, bringing the model to 33.</w:t>
      </w:r>
    </w:p>
    <w:p>
      <w:pPr>
        <w:spacing w:after="140" w:before="100" w:line="276"/>
      </w:pPr>
      <w:r>
        <w:rPr>
          <w:rFonts w:ascii="Calibri" w:cs="Calibri" w:eastAsia="Calibri" w:hAnsi="Calibri"/>
          <w:sz w:val="20"/>
          <w:szCs w:val="20"/>
        </w:rPr>
        <w:t xml:space="preserve">Document 4 calls confirmation, matching, amendment and settlement the largest single block of work in the system. It is scheduled as one phase because the four are not separable: an amendment produces reversing accruals, and settlement compares against a confirmation.</w:t>
      </w:r>
    </w:p>
    <w:p>
      <w:pPr>
        <w:pStyle w:val="Heading2"/>
        <w:spacing w:after="120" w:before="280"/>
      </w:pPr>
      <w:r>
        <w:rPr>
          <w:rFonts w:ascii="Calibri" w:cs="Calibri" w:eastAsia="Calibri" w:hAnsi="Calibri"/>
          <w:b/>
          <w:bCs/>
          <w:color w:val="1B2A4A"/>
          <w:sz w:val="24"/>
          <w:szCs w:val="24"/>
        </w:rPr>
        <w:t xml:space="preserve">8.1 Matching, backend 10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Confirmation ingestion</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first class table, not a column on the deal. Folding the confirmation into the deal leaves nothing to match against and the control disappears. The raw payload is kept whole and never parsed twice.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MatchService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Matches on counterparty and instrument. A confirmation may only match a deal for the same counterparty and instrument, and that invariant lives in the service because it is a cross row comparison the schema cannot hold.</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Match differences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One row per disagreeing field, so the interface says the rate was keyed at 4.30 and confirmed at 4.28 rather than reporting a mismatch.</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Correction path</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correction reruns the six checks, because a corrected rate changes the accrual and can change the measured exposure.</w:t>
            </w:r>
          </w:p>
        </w:tc>
      </w:tr>
    </w:tbl>
    <w:p>
      <w:pPr>
        <w:spacing w:after="200"/>
      </w:pPr>
    </w:p>
    <w:p>
      <w:pPr>
        <w:pStyle w:val="Heading2"/>
        <w:spacing w:after="120" w:before="280"/>
      </w:pPr>
      <w:r>
        <w:rPr>
          <w:rFonts w:ascii="Calibri" w:cs="Calibri" w:eastAsia="Calibri" w:hAnsi="Calibri"/>
          <w:b/>
          <w:bCs/>
          <w:color w:val="1B2A4A"/>
          <w:sz w:val="24"/>
          <w:szCs w:val="24"/>
        </w:rPr>
        <w:t xml:space="preserve">8.2 Amendment and settlement, backend 9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AmendmentService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Break, roll, partial drawdown, correction. Produces reversing accruals that carry the amendment which caused them. Recalculating is the easy half. Knowing what was already recognised is the hard half, and it is only possible because accrual is stored per day.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SettlementService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Three sources: the deal record, the confirmation, the statement line. Two of three agreeing is not enough. If the record and the confirmation agree but the statement differs, settle returns a break rather than closing.</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Statement ingestion</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third source. Prior day balances, which is a stated boundary rather than a defect.</w:t>
            </w:r>
          </w:p>
        </w:tc>
      </w:tr>
    </w:tbl>
    <w:p>
      <w:pPr>
        <w:spacing w:after="200"/>
      </w:pPr>
    </w:p>
    <w:p>
      <w:pPr>
        <w:pStyle w:val="Heading2"/>
        <w:spacing w:after="120" w:before="280"/>
      </w:pPr>
      <w:r>
        <w:rPr>
          <w:rFonts w:ascii="Calibri" w:cs="Calibri" w:eastAsia="Calibri" w:hAnsi="Calibri"/>
          <w:b/>
          <w:bCs/>
          <w:color w:val="1B2A4A"/>
          <w:sz w:val="24"/>
          <w:szCs w:val="24"/>
        </w:rPr>
        <w:t xml:space="preserve">8.3 Currency, backend 6 days</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Component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Notes</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Currency exposure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Integer minor units with an explicit currency column on every figure.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HedgeService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forward is an ordinary row in the deal table, which is why there is no separate hedge table. Covered amounts across live links must not exceed the exposure, and that sum lives in the service.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Unlinking</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Requires a reason. Coverage is recomputed and the status can move backwards. A covered exposure becoming partially covered when a delivery slips is correct behaviour, not a defect. Nobody made a mistake, the world moved.</w:t>
            </w:r>
          </w:p>
        </w:tc>
      </w:tr>
    </w:tbl>
    <w:p>
      <w:pPr>
        <w:spacing w:after="200"/>
      </w:pPr>
    </w:p>
    <w:p>
      <w:pPr>
        <w:pStyle w:val="Heading2"/>
        <w:spacing w:after="120" w:before="280"/>
      </w:pPr>
      <w:r>
        <w:rPr>
          <w:rFonts w:ascii="Calibri" w:cs="Calibri" w:eastAsia="Calibri" w:hAnsi="Calibri"/>
          <w:b/>
          <w:bCs/>
          <w:color w:val="1B2A4A"/>
          <w:sz w:val="24"/>
          <w:szCs w:val="24"/>
        </w:rPr>
        <w:t xml:space="preserve">8.4 The separation rule</w:t>
      </w:r>
    </w:p>
    <w:p>
      <w:pPr>
        <w:spacing w:after="140" w:before="100" w:line="276"/>
      </w:pPr>
      <w:r>
        <w:rPr>
          <w:rFonts w:ascii="Calibri" w:cs="Calibri" w:eastAsia="Calibri" w:hAnsi="Calibri"/>
          <w:sz w:val="20"/>
          <w:szCs w:val="20"/>
        </w:rPr>
        <w:t xml:space="preserve">No query joins counterparty exposure and currency exposure, and no endpoint returns both. Different tables, different names, different units. The exposure panel has two tabs precisely so that the two figures never appear in one view, because they must never be netted.</w:t>
      </w:r>
    </w:p>
    <w:p>
      <w:pPr>
        <w:spacing w:after="140" w:before="100" w:line="276"/>
      </w:pPr>
      <w:r>
        <w:rPr>
          <w:rFonts w:ascii="Calibri" w:cs="Calibri" w:eastAsia="Calibri" w:hAnsi="Calibri"/>
          <w:sz w:val="20"/>
          <w:szCs w:val="20"/>
        </w:rPr>
        <w:t xml:space="preserve">This is a review item, not a test item. It is enforced by reading the code.</w:t>
      </w:r>
    </w:p>
    <w:p>
      <w:pPr>
        <w:pStyle w:val="Heading2"/>
        <w:spacing w:after="120" w:before="280"/>
      </w:pPr>
      <w:r>
        <w:rPr>
          <w:rFonts w:ascii="Calibri" w:cs="Calibri" w:eastAsia="Calibri" w:hAnsi="Calibri"/>
          <w:b/>
          <w:bCs/>
          <w:color w:val="1B2A4A"/>
          <w:sz w:val="24"/>
          <w:szCs w:val="24"/>
        </w:rPr>
        <w:t xml:space="preserve">8.5 API, 9 days. Frontend, 11 days</w:t>
      </w:r>
    </w:p>
    <w:p>
      <w:pPr>
        <w:spacing w:after="140" w:before="100" w:line="276"/>
      </w:pPr>
      <w:r>
        <w:rPr>
          <w:rFonts w:ascii="Calibri" w:cs="Calibri" w:eastAsia="Calibri" w:hAnsi="Calibri"/>
          <w:sz w:val="20"/>
          <w:szCs w:val="20"/>
        </w:rPr>
        <w:t xml:space="preserve">Groups 3 and 8, eleven endpoints. On the surface: the deal lifecycle timeline behind a blotter row click, the currency tab in the exposure panel, and mismatch handling folded into the existing queue with a reason code. The strip stays at five items and the navigation budget is unchanged, because every new thing attaches to something already on screen.</w:t>
      </w:r>
    </w:p>
    <w:p>
      <w:pPr>
        <w:spacing w:after="140" w:before="100" w:line="276"/>
      </w:pPr>
      <w:r>
        <w:rPr>
          <w:rFonts w:ascii="Calibri" w:cs="Calibri" w:eastAsia="Calibri" w:hAnsi="Calibri"/>
          <w:b/>
          <w:bCs/>
          <w:sz w:val="20"/>
          <w:szCs w:val="20"/>
        </w:rPr>
        <w:t xml:space="preserve">Exit criteria.</w:t>
      </w:r>
      <w:r>
        <w:rPr>
          <w:rFonts w:ascii="Calibri" w:cs="Calibri" w:eastAsia="Calibri" w:hAnsi="Calibri"/>
          <w:sz w:val="20"/>
          <w:szCs w:val="20"/>
        </w:rPr>
        <w:t xml:space="preserve"> A confirmation arriving out of order matches correctly. An amendment into a prior period is refused with a distinct code rather than silently allowed. A deal reaches closed only when three sources agree. Coverage moves backwards without an error when an exposure date slips.</w:t>
      </w:r>
    </w:p>
    <w:p>
      <w:pPr>
        <w:pStyle w:val="Heading1"/>
        <w:pBdr>
          <w:bottom w:val="single" w:color="C9CED8" w:sz="6" w:space="6"/>
        </w:pBdr>
        <w:spacing w:after="160" w:before="380"/>
      </w:pPr>
      <w:r>
        <w:rPr>
          <w:rFonts w:ascii="Calibri" w:cs="Calibri" w:eastAsia="Calibri" w:hAnsi="Calibri"/>
          <w:b/>
          <w:bCs/>
          <w:color w:val="1B2A4A"/>
          <w:sz w:val="30"/>
          <w:szCs w:val="30"/>
        </w:rPr>
        <w:t xml:space="preserve">9. Phase 4, Production platform</w:t>
      </w:r>
    </w:p>
    <w:p>
      <w:pPr>
        <w:spacing w:after="140" w:before="100" w:line="276"/>
      </w:pPr>
      <w:r>
        <w:rPr>
          <w:rFonts w:ascii="Calibri" w:cs="Calibri" w:eastAsia="Calibri" w:hAnsi="Calibri"/>
          <w:b/>
          <w:bCs/>
          <w:sz w:val="20"/>
          <w:szCs w:val="20"/>
        </w:rPr>
        <w:t xml:space="preserve">Objective.</w:t>
      </w:r>
      <w:r>
        <w:rPr>
          <w:rFonts w:ascii="Calibri" w:cs="Calibri" w:eastAsia="Calibri" w:hAnsi="Calibri"/>
          <w:sz w:val="20"/>
          <w:szCs w:val="20"/>
        </w:rPr>
        <w:t xml:space="preserve"> Move off the prototype. Three weeks.</w:t>
      </w:r>
    </w:p>
    <w:p>
      <w:pPr>
        <w:spacing w:after="140" w:before="100" w:line="276"/>
      </w:pPr>
      <w:r>
        <w:rPr>
          <w:rFonts w:ascii="Calibri" w:cs="Calibri" w:eastAsia="Calibri" w:hAnsi="Calibri"/>
          <w:sz w:val="20"/>
          <w:szCs w:val="20"/>
        </w:rPr>
        <w:t xml:space="preserve">Everything in phases 0 to 3 is a prototype on one SQLite file with one seeded tenant and four stubbed adapters. This phase is what makes it a product.</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Workstream</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Work</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PostgreSQL. Because no service constructs a query, this is a dialect change in the repository layer rather than an audit of every file. Timestamps gain time resolution. Real multi-tenancy: </w:t>
            </w:r>
            <w:r>
              <w:rPr>
                <w:rFonts w:ascii="Consolas" w:cs="Consolas" w:eastAsia="Consolas" w:hAnsi="Consolas"/>
                <w:sz w:val="16"/>
                <w:szCs w:val="16"/>
              </w:rPr>
              <w:t xml:space="preserve">tenant_id</w:t>
            </w:r>
            <w:r>
              <w:rPr>
                <w:rFonts w:ascii="Calibri" w:cs="Calibri" w:eastAsia="Calibri" w:hAnsi="Calibri"/>
                <w:sz w:val="18"/>
                <w:szCs w:val="18"/>
              </w:rPr>
              <w:t xml:space="preserve"> stops being one seeded value and becomes a filter enforced in the repository layer rather than remembered in each service.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four adapters become real. Oracle Fusion balances, the instruction feed, the ratings source, the confirmation feed. The interfaces do not change, which is the point of having written them.</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Frontend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Sorting, filtering and pagination, all of which were correct to omit at five counterparties and become necessary at twenty. A print stylesheet for the exposure panel, which goes to a board meeting.</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Infrastructure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Two processes to two services. Migrations in the deploy pipeline. Backups, which the single file design has none of. Monitoring on the check path budget.</w:t>
            </w:r>
          </w:p>
        </w:tc>
      </w:tr>
    </w:tbl>
    <w:p>
      <w:pPr>
        <w:spacing w:after="200"/>
      </w:pPr>
    </w:p>
    <w:p>
      <w:pPr>
        <w:spacing w:after="140" w:before="100" w:line="276"/>
      </w:pPr>
      <w:r>
        <w:rPr>
          <w:rFonts w:ascii="Calibri" w:cs="Calibri" w:eastAsia="Calibri" w:hAnsi="Calibri"/>
          <w:b/>
          <w:bCs/>
          <w:sz w:val="20"/>
          <w:szCs w:val="20"/>
        </w:rPr>
        <w:t xml:space="preserve">Exit criteria.</w:t>
      </w:r>
      <w:r>
        <w:rPr>
          <w:rFonts w:ascii="Calibri" w:cs="Calibri" w:eastAsia="Calibri" w:hAnsi="Calibri"/>
          <w:sz w:val="20"/>
          <w:szCs w:val="20"/>
        </w:rPr>
        <w:t xml:space="preserve"> Two tenants hold data in one database and neither can read the other's. The check budget holds under PostgreSQL. A database restore is demonstrated rather than assumed.</w:t>
      </w:r>
    </w:p>
    <w:p>
      <w:pPr>
        <w:pStyle w:val="Heading1"/>
        <w:pBdr>
          <w:bottom w:val="single" w:color="C9CED8" w:sz="6" w:space="6"/>
        </w:pBdr>
        <w:spacing w:after="160" w:before="380"/>
      </w:pPr>
      <w:r>
        <w:rPr>
          <w:rFonts w:ascii="Calibri" w:cs="Calibri" w:eastAsia="Calibri" w:hAnsi="Calibri"/>
          <w:b/>
          <w:bCs/>
          <w:color w:val="1B2A4A"/>
          <w:sz w:val="30"/>
          <w:szCs w:val="30"/>
        </w:rPr>
        <w:t xml:space="preserve">10. Critical path</w:t>
      </w:r>
    </w:p>
    <w:p>
      <w:pPr>
        <w:spacing w:after="140" w:before="100" w:line="276"/>
      </w:pPr>
      <w:r>
        <w:rPr>
          <w:rFonts w:ascii="Calibri" w:cs="Calibri" w:eastAsia="Calibri" w:hAnsi="Calibri"/>
          <w:sz w:val="20"/>
          <w:szCs w:val="20"/>
        </w:rPr>
        <w:t xml:space="preserve">The longest chain runs through the backend in phase 1 and through matching in phase 3.</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361"/>
        <w:gridCol w:w="3233"/>
        <w:gridCol w:w="4766"/>
      </w:tblGrid>
      <w:tr>
        <w:trPr>
          <w:cantSplit/>
          <w:tblHeader/>
        </w:trPr>
        <w:tc>
          <w:tcPr>
            <w:tcW w:type="dxa" w:w="136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Phase</w:t>
            </w:r>
          </w:p>
        </w:tc>
        <w:tc>
          <w:tcPr>
            <w:tcW w:type="dxa" w:w="3233"/>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Critical chain</w:t>
            </w:r>
          </w:p>
        </w:tc>
        <w:tc>
          <w:tcPr>
            <w:tcW w:type="dxa" w:w="4766"/>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What is not on it</w:t>
            </w:r>
          </w:p>
        </w:tc>
      </w:tr>
      <w:tr>
        <w:trPr>
          <w:cantSplit/>
          <w:tblHeader w:val="false"/>
        </w:trPr>
        <w:tc>
          <w:tcPr>
            <w:tcW w:type="dxa" w:w="1361"/>
            <w:tcMar>
              <w:top w:type="dxa" w:w="90"/>
              <w:left w:type="dxa" w:w="120"/>
              <w:bottom w:type="dxa" w:w="90"/>
              <w:right w:type="dxa" w:w="120"/>
            </w:tcMar>
          </w:tcPr>
          <w:p>
            <w:pPr>
              <w:spacing w:after="0" w:before="0" w:line="260"/>
            </w:pPr>
            <w:r>
              <w:rPr>
                <w:rFonts w:ascii="Calibri" w:cs="Calibri" w:eastAsia="Calibri" w:hAnsi="Calibri"/>
                <w:sz w:val="18"/>
                <w:szCs w:val="18"/>
              </w:rPr>
              <w:t xml:space="preserve">0</w:t>
            </w:r>
          </w:p>
        </w:tc>
        <w:tc>
          <w:tcPr>
            <w:tcW w:type="dxa" w:w="3233"/>
            <w:tcMar>
              <w:top w:type="dxa" w:w="90"/>
              <w:left w:type="dxa" w:w="120"/>
              <w:bottom w:type="dxa" w:w="90"/>
              <w:right w:type="dxa" w:w="120"/>
            </w:tcMar>
          </w:tcPr>
          <w:p>
            <w:pPr>
              <w:spacing w:after="0" w:before="0" w:line="260"/>
            </w:pPr>
            <w:r>
              <w:rPr>
                <w:rFonts w:ascii="Calibri" w:cs="Calibri" w:eastAsia="Calibri" w:hAnsi="Calibri"/>
                <w:sz w:val="18"/>
                <w:szCs w:val="18"/>
              </w:rPr>
              <w:t xml:space="preserve">Response models, then the mock server</w:t>
            </w:r>
          </w:p>
        </w:tc>
        <w:tc>
          <w:tcPr>
            <w:tcW w:type="dxa" w:w="4766"/>
            <w:tcMar>
              <w:top w:type="dxa" w:w="90"/>
              <w:left w:type="dxa" w:w="120"/>
              <w:bottom w:type="dxa" w:w="90"/>
              <w:right w:type="dxa" w:w="120"/>
            </w:tcMar>
          </w:tcPr>
          <w:p>
            <w:pPr>
              <w:spacing w:after="0" w:before="0" w:line="260"/>
            </w:pPr>
            <w:r>
              <w:rPr>
                <w:rFonts w:ascii="Calibri" w:cs="Calibri" w:eastAsia="Calibri" w:hAnsi="Calibri"/>
                <w:sz w:val="18"/>
                <w:szCs w:val="18"/>
              </w:rPr>
              <w:t xml:space="preserve">Everything else. Three days is contract work.</w:t>
            </w:r>
          </w:p>
        </w:tc>
      </w:tr>
      <w:tr>
        <w:trPr>
          <w:cantSplit/>
          <w:tblHeader w:val="false"/>
        </w:trPr>
        <w:tc>
          <w:tcPr>
            <w:tcW w:type="dxa" w:w="1361"/>
            <w:tcMar>
              <w:top w:type="dxa" w:w="90"/>
              <w:left w:type="dxa" w:w="120"/>
              <w:bottom w:type="dxa" w:w="90"/>
              <w:right w:type="dxa" w:w="120"/>
            </w:tcMar>
          </w:tcPr>
          <w:p>
            <w:pPr>
              <w:spacing w:after="0" w:before="0" w:line="260"/>
            </w:pPr>
            <w:r>
              <w:rPr>
                <w:rFonts w:ascii="Calibri" w:cs="Calibri" w:eastAsia="Calibri" w:hAnsi="Calibri"/>
                <w:sz w:val="18"/>
                <w:szCs w:val="18"/>
              </w:rPr>
              <w:t xml:space="preserve">1</w:t>
            </w:r>
          </w:p>
        </w:tc>
        <w:tc>
          <w:tcPr>
            <w:tcW w:type="dxa" w:w="3233"/>
            <w:tcMar>
              <w:top w:type="dxa" w:w="90"/>
              <w:left w:type="dxa" w:w="120"/>
              <w:bottom w:type="dxa" w:w="90"/>
              <w:right w:type="dxa" w:w="120"/>
            </w:tcMar>
          </w:tcPr>
          <w:p>
            <w:pPr>
              <w:spacing w:after="0" w:before="0" w:line="260"/>
            </w:pPr>
            <w:r>
              <w:rPr>
                <w:rFonts w:ascii="Calibri" w:cs="Calibri" w:eastAsia="Calibri" w:hAnsi="Calibri"/>
                <w:sz w:val="18"/>
                <w:szCs w:val="18"/>
              </w:rPr>
              <w:t xml:space="preserve">ExposureCalculator, CheckEngine, DealService, integration</w:t>
            </w:r>
          </w:p>
        </w:tc>
        <w:tc>
          <w:tcPr>
            <w:tcW w:type="dxa" w:w="4766"/>
            <w:tcMar>
              <w:top w:type="dxa" w:w="90"/>
              <w:left w:type="dxa" w:w="120"/>
              <w:bottom w:type="dxa" w:w="90"/>
              <w:right w:type="dxa" w:w="120"/>
            </w:tcMar>
          </w:tcPr>
          <w:p>
            <w:pPr>
              <w:spacing w:after="0" w:before="0" w:line="260"/>
            </w:pPr>
            <w:r>
              <w:rPr>
                <w:rFonts w:ascii="Calibri" w:cs="Calibri" w:eastAsia="Calibri" w:hAnsi="Calibri"/>
                <w:sz w:val="18"/>
                <w:szCs w:val="18"/>
              </w:rPr>
              <w:t xml:space="preserve">The frontend, which builds against the mock throughout. The panels, which are additive.</w:t>
            </w:r>
          </w:p>
        </w:tc>
      </w:tr>
      <w:tr>
        <w:trPr>
          <w:cantSplit/>
          <w:tblHeader w:val="false"/>
        </w:trPr>
        <w:tc>
          <w:tcPr>
            <w:tcW w:type="dxa" w:w="1361"/>
            <w:tcMar>
              <w:top w:type="dxa" w:w="90"/>
              <w:left w:type="dxa" w:w="120"/>
              <w:bottom w:type="dxa" w:w="90"/>
              <w:right w:type="dxa" w:w="120"/>
            </w:tcMar>
          </w:tcPr>
          <w:p>
            <w:pPr>
              <w:spacing w:after="0" w:before="0" w:line="260"/>
            </w:pPr>
            <w:r>
              <w:rPr>
                <w:rFonts w:ascii="Calibri" w:cs="Calibri" w:eastAsia="Calibri" w:hAnsi="Calibri"/>
                <w:sz w:val="18"/>
                <w:szCs w:val="18"/>
              </w:rPr>
              <w:t xml:space="preserve">2</w:t>
            </w:r>
          </w:p>
        </w:tc>
        <w:tc>
          <w:tcPr>
            <w:tcW w:type="dxa" w:w="3233"/>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 then the nightly job, then advisory</w:t>
            </w:r>
          </w:p>
        </w:tc>
        <w:tc>
          <w:tcPr>
            <w:tcW w:type="dxa" w:w="4766"/>
            <w:tcMar>
              <w:top w:type="dxa" w:w="90"/>
              <w:left w:type="dxa" w:w="120"/>
              <w:bottom w:type="dxa" w:w="90"/>
              <w:right w:type="dxa" w:w="120"/>
            </w:tcMar>
          </w:tcPr>
          <w:p>
            <w:pPr>
              <w:spacing w:after="0" w:before="0" w:line="260"/>
            </w:pPr>
            <w:r>
              <w:rPr>
                <w:rFonts w:ascii="Calibri" w:cs="Calibri" w:eastAsia="Calibri" w:hAnsi="Calibri"/>
                <w:sz w:val="18"/>
                <w:szCs w:val="18"/>
              </w:rPr>
              <w:t xml:space="preserve">Journals, which only accrual blocks.</w:t>
            </w:r>
          </w:p>
        </w:tc>
      </w:tr>
      <w:tr>
        <w:trPr>
          <w:cantSplit/>
          <w:tblHeader w:val="false"/>
        </w:trPr>
        <w:tc>
          <w:tcPr>
            <w:tcW w:type="dxa" w:w="1361"/>
            <w:tcMar>
              <w:top w:type="dxa" w:w="90"/>
              <w:left w:type="dxa" w:w="120"/>
              <w:bottom w:type="dxa" w:w="90"/>
              <w:right w:type="dxa" w:w="120"/>
            </w:tcMar>
          </w:tcPr>
          <w:p>
            <w:pPr>
              <w:spacing w:after="0" w:before="0" w:line="260"/>
            </w:pPr>
            <w:r>
              <w:rPr>
                <w:rFonts w:ascii="Calibri" w:cs="Calibri" w:eastAsia="Calibri" w:hAnsi="Calibri"/>
                <w:sz w:val="18"/>
                <w:szCs w:val="18"/>
              </w:rPr>
              <w:t xml:space="preserve">3</w:t>
            </w:r>
          </w:p>
        </w:tc>
        <w:tc>
          <w:tcPr>
            <w:tcW w:type="dxa" w:w="3233"/>
            <w:tcMar>
              <w:top w:type="dxa" w:w="90"/>
              <w:left w:type="dxa" w:w="120"/>
              <w:bottom w:type="dxa" w:w="90"/>
              <w:right w:type="dxa" w:w="120"/>
            </w:tcMar>
          </w:tcPr>
          <w:p>
            <w:pPr>
              <w:spacing w:after="0" w:before="0" w:line="260"/>
            </w:pPr>
            <w:r>
              <w:rPr>
                <w:rFonts w:ascii="Calibri" w:cs="Calibri" w:eastAsia="Calibri" w:hAnsi="Calibri"/>
                <w:sz w:val="18"/>
                <w:szCs w:val="18"/>
              </w:rPr>
              <w:t xml:space="preserve">Confirmation, MatchService, then settlement</w:t>
            </w:r>
          </w:p>
        </w:tc>
        <w:tc>
          <w:tcPr>
            <w:tcW w:type="dxa" w:w="4766"/>
            <w:tcMar>
              <w:top w:type="dxa" w:w="90"/>
              <w:left w:type="dxa" w:w="120"/>
              <w:bottom w:type="dxa" w:w="90"/>
              <w:right w:type="dxa" w:w="120"/>
            </w:tcMar>
          </w:tcPr>
          <w:p>
            <w:pPr>
              <w:spacing w:after="0" w:before="0" w:line="260"/>
            </w:pPr>
            <w:r>
              <w:rPr>
                <w:rFonts w:ascii="Calibri" w:cs="Calibri" w:eastAsia="Calibri" w:hAnsi="Calibri"/>
                <w:sz w:val="18"/>
                <w:szCs w:val="18"/>
              </w:rPr>
              <w:t xml:space="preserve">Currency, which touches nothing else and can be built alongside.</w:t>
            </w:r>
          </w:p>
        </w:tc>
      </w:tr>
    </w:tbl>
    <w:p>
      <w:pPr>
        <w:spacing w:after="200"/>
      </w:pPr>
    </w:p>
    <w:p>
      <w:pPr>
        <w:spacing w:after="140" w:before="100" w:line="276"/>
      </w:pPr>
      <w:r>
        <w:rPr>
          <w:rFonts w:ascii="Calibri" w:cs="Calibri" w:eastAsia="Calibri" w:hAnsi="Calibri"/>
          <w:b/>
          <w:bCs/>
          <w:sz w:val="20"/>
          <w:szCs w:val="20"/>
        </w:rPr>
        <w:t xml:space="preserve">Two things buy the most schedule.</w:t>
      </w:r>
      <w:r>
        <w:rPr>
          <w:rFonts w:ascii="Calibri" w:cs="Calibri" w:eastAsia="Calibri" w:hAnsi="Calibri"/>
          <w:sz w:val="20"/>
          <w:szCs w:val="20"/>
        </w:rPr>
        <w:t xml:space="preserve"> Publishing the response models on day one rather than day three moves the frontend start forward by two days across every phase. And building currency in parallel with matching, rather than after it, takes about a week out of phase 3.</w:t>
      </w:r>
    </w:p>
    <w:p>
      <w:pPr>
        <w:spacing w:after="140" w:before="100" w:line="276"/>
      </w:pPr>
      <w:r>
        <w:rPr>
          <w:rFonts w:ascii="Calibri" w:cs="Calibri" w:eastAsia="Calibri" w:hAnsi="Calibri"/>
          <w:b/>
          <w:bCs/>
          <w:sz w:val="20"/>
          <w:szCs w:val="20"/>
        </w:rPr>
        <w:t xml:space="preserve">One thing costs the most.</w:t>
      </w:r>
      <w:r>
        <w:rPr>
          <w:rFonts w:ascii="Calibri" w:cs="Calibri" w:eastAsia="Calibri" w:hAnsi="Calibri"/>
          <w:sz w:val="20"/>
          <w:szCs w:val="20"/>
        </w:rPr>
        <w:t xml:space="preserve"> Changing the contract after the frontend has built against it. Every such change is a three way conversation, which is why the models are written first and treated as a document rather than as code.</w:t>
      </w:r>
    </w:p>
    <w:p>
      <w:pPr>
        <w:pStyle w:val="Heading1"/>
        <w:pBdr>
          <w:bottom w:val="single" w:color="C9CED8" w:sz="6" w:space="6"/>
        </w:pBdr>
        <w:spacing w:after="160" w:before="380"/>
      </w:pPr>
      <w:r>
        <w:rPr>
          <w:rFonts w:ascii="Calibri" w:cs="Calibri" w:eastAsia="Calibri" w:hAnsi="Calibri"/>
          <w:b/>
          <w:bCs/>
          <w:color w:val="1B2A4A"/>
          <w:sz w:val="30"/>
          <w:szCs w:val="30"/>
        </w:rPr>
        <w:t xml:space="preserve">11. Test strategy</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872"/>
        <w:gridCol w:w="936"/>
        <w:gridCol w:w="6552"/>
      </w:tblGrid>
      <w:tr>
        <w:trPr>
          <w:cantSplit/>
          <w:tblHeader/>
        </w:trPr>
        <w:tc>
          <w:tcPr>
            <w:tcW w:type="dxa" w:w="187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Level</w:t>
            </w:r>
          </w:p>
        </w:tc>
        <w:tc>
          <w:tcPr>
            <w:tcW w:type="dxa" w:w="936"/>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Owner</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What it covers</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Service unit tests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Every rule. The six checks, exposure measurement per instrument, approval routing, accrual arithmetic, coverage. Run against the seed, with no HTTP and no browser.</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The three demonstration assertions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Backend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group limit failure, the tenor failure and the downgrade re-test. These are the acceptance tests for phase 1 and they exist from week two.</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Contract tests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Mock and real return identical shapes for all 44 endpoints. This is what stops the two drifting.</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Error path tests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API</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All 38 codes reachable. An unreachable error code is either dead or a rule that is not being enforced.</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Component tests</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Frontend</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Against mock fixtures. Debounce, cancellation, focus return, the rule that opening one panel closes another.</w:t>
            </w:r>
          </w:p>
        </w:tc>
      </w:tr>
      <w:tr>
        <w:trPr>
          <w:cantSplit/>
          <w:tblHeader w:val="false"/>
        </w:trPr>
        <w:tc>
          <w:tcPr>
            <w:tcW w:type="dxa" w:w="1872"/>
            <w:tcMar>
              <w:top w:type="dxa" w:w="90"/>
              <w:left w:type="dxa" w:w="120"/>
              <w:bottom w:type="dxa" w:w="90"/>
              <w:right w:type="dxa" w:w="120"/>
            </w:tcMar>
          </w:tcPr>
          <w:p>
            <w:pPr>
              <w:spacing w:after="0" w:before="0" w:line="260"/>
            </w:pPr>
            <w:r>
              <w:rPr>
                <w:rFonts w:ascii="Calibri" w:cs="Calibri" w:eastAsia="Calibri" w:hAnsi="Calibri"/>
                <w:sz w:val="18"/>
                <w:szCs w:val="18"/>
              </w:rPr>
              <w:t xml:space="preserve">Journey test</w:t>
            </w:r>
          </w:p>
        </w:tc>
        <w:tc>
          <w:tcPr>
            <w:tcW w:type="dxa" w:w="936"/>
            <w:tcMar>
              <w:top w:type="dxa" w:w="90"/>
              <w:left w:type="dxa" w:w="120"/>
              <w:bottom w:type="dxa" w:w="90"/>
              <w:right w:type="dxa" w:w="120"/>
            </w:tcMar>
          </w:tcPr>
          <w:p>
            <w:pPr>
              <w:spacing w:after="0" w:before="0" w:line="260"/>
            </w:pPr>
            <w:r>
              <w:rPr>
                <w:rFonts w:ascii="Calibri" w:cs="Calibri" w:eastAsia="Calibri" w:hAnsi="Calibri"/>
                <w:sz w:val="18"/>
                <w:szCs w:val="18"/>
              </w:rPr>
              <w:t xml:space="preserve">All three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demonstration run sheet, automated, run on every merge from phase 1 onwards.</w:t>
            </w:r>
          </w:p>
        </w:tc>
      </w:tr>
    </w:tbl>
    <w:p>
      <w:pPr>
        <w:spacing w:after="200"/>
      </w:pPr>
    </w:p>
    <w:p>
      <w:pPr>
        <w:spacing w:after="140" w:before="100" w:line="276"/>
      </w:pPr>
      <w:r>
        <w:rPr>
          <w:rFonts w:ascii="Calibri" w:cs="Calibri" w:eastAsia="Calibri" w:hAnsi="Calibri"/>
          <w:b/>
          <w:bCs/>
          <w:sz w:val="20"/>
          <w:szCs w:val="20"/>
        </w:rPr>
        <w:t xml:space="preserve">One test that is worth writing early and never deleting.</w:t>
      </w:r>
      <w:r>
        <w:rPr>
          <w:rFonts w:ascii="Calibri" w:cs="Calibri" w:eastAsia="Calibri" w:hAnsi="Calibri"/>
          <w:sz w:val="20"/>
          <w:szCs w:val="20"/>
        </w:rPr>
        <w:t xml:space="preserve"> Assert that a check run recorded six months of clock time ago re-derives the same verdict from its stored inputs. Reproducibility is the reason the policy version was made versioned in revision B, and it is the sort of property that quietly stops holding.</w:t>
      </w:r>
    </w:p>
    <w:p>
      <w:pPr>
        <w:pStyle w:val="Heading1"/>
        <w:pBdr>
          <w:bottom w:val="single" w:color="C9CED8" w:sz="6" w:space="6"/>
        </w:pBdr>
        <w:spacing w:after="160" w:before="380"/>
      </w:pPr>
      <w:r>
        <w:rPr>
          <w:rFonts w:ascii="Calibri" w:cs="Calibri" w:eastAsia="Calibri" w:hAnsi="Calibri"/>
          <w:b/>
          <w:bCs/>
          <w:color w:val="1B2A4A"/>
          <w:sz w:val="30"/>
          <w:szCs w:val="30"/>
        </w:rPr>
        <w:t xml:space="preserve">12. Decisions that block, and when each is needed</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988"/>
        <w:gridCol w:w="1644"/>
        <w:gridCol w:w="5728"/>
      </w:tblGrid>
      <w:tr>
        <w:trPr>
          <w:cantSplit/>
          <w:tblHeader/>
        </w:trPr>
        <w:tc>
          <w:tcPr>
            <w:tcW w:type="dxa" w:w="198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Decision</w:t>
            </w:r>
          </w:p>
        </w:tc>
        <w:tc>
          <w:tcPr>
            <w:tcW w:type="dxa" w:w="1644"/>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Blocks</w:t>
            </w:r>
          </w:p>
        </w:tc>
        <w:tc>
          <w:tcPr>
            <w:tcW w:type="dxa" w:w="572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Needed by</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Hard block or warn with an override</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The whole exception workflow</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Recommendation is to build both as a policy setting and settle it by flipping it on a failing deal in the room. This removes it from the critical path entirely. Confirm in Phase 0.</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Real institution names in the seed</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Nothing technical, only seed data</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Before the demonstration. The group aggregation argument lands hardest with real group structures.</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Customer audience or internal review</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Header wording and how the stubs are framed</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Before the demonstration.</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Journal posting frequency</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Phase 2 journal design</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of phase 2. Daily calculation is required either way, so only the posting cadence is open.</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Prior period corrections</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Phase 3 reversal design</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of phase 3. Recommendation is to surface it as a distinct refusal and decide with the customer's accountants.</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Keyed then matched, or created from the confirmation</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Phase 3 capture design</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of phase 3. </w:t>
            </w:r>
            <w:r>
              <w:rPr>
                <w:rFonts w:ascii="Consolas" w:cs="Consolas" w:eastAsia="Consolas" w:hAnsi="Consolas"/>
                <w:sz w:val="16"/>
                <w:szCs w:val="16"/>
              </w:rPr>
              <w:t xml:space="preserve">capture_source</w:t>
            </w:r>
            <w:r>
              <w:rPr>
                <w:rFonts w:ascii="Calibri" w:cs="Calibri" w:eastAsia="Calibri" w:hAnsi="Calibri"/>
                <w:sz w:val="18"/>
                <w:szCs w:val="18"/>
              </w:rPr>
              <w:t xml:space="preserve"> supports both. Default to keyed, because the confirmation feed is the last thing to arrive.</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Confirmation coverage per counterparty</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Phase 3 ingestion scope</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of phase 3. Manual handling is a different design and needs to be known, not assumed.</w:t>
            </w:r>
          </w:p>
        </w:tc>
      </w:tr>
      <w:tr>
        <w:trPr>
          <w:cantSplit/>
          <w:tblHeader w:val="false"/>
        </w:trPr>
        <w:tc>
          <w:tcPr>
            <w:tcW w:type="dxa" w:w="1988"/>
            <w:tcMar>
              <w:top w:type="dxa" w:w="90"/>
              <w:left w:type="dxa" w:w="120"/>
              <w:bottom w:type="dxa" w:w="90"/>
              <w:right w:type="dxa" w:w="120"/>
            </w:tcMar>
          </w:tcPr>
          <w:p>
            <w:pPr>
              <w:spacing w:after="0" w:before="0" w:line="260"/>
            </w:pPr>
            <w:r>
              <w:rPr>
                <w:rFonts w:ascii="Calibri" w:cs="Calibri" w:eastAsia="Calibri" w:hAnsi="Calibri"/>
                <w:sz w:val="18"/>
                <w:szCs w:val="18"/>
              </w:rPr>
              <w:t xml:space="preserve">Hedge accounting under IFRS 9</w:t>
            </w:r>
          </w:p>
        </w:tc>
        <w:tc>
          <w:tcPr>
            <w:tcW w:type="dxa" w:w="1644"/>
            <w:tcMar>
              <w:top w:type="dxa" w:w="90"/>
              <w:left w:type="dxa" w:w="120"/>
              <w:bottom w:type="dxa" w:w="90"/>
              <w:right w:type="dxa" w:w="120"/>
            </w:tcMar>
          </w:tcPr>
          <w:p>
            <w:pPr>
              <w:spacing w:after="0" w:before="0" w:line="260"/>
            </w:pPr>
            <w:r>
              <w:rPr>
                <w:rFonts w:ascii="Calibri" w:cs="Calibri" w:eastAsia="Calibri" w:hAnsi="Calibri"/>
                <w:sz w:val="18"/>
                <w:szCs w:val="18"/>
              </w:rPr>
              <w:t xml:space="preserve">Phase 3 currency scope</w:t>
            </w:r>
          </w:p>
        </w:tc>
        <w:tc>
          <w:tcPr>
            <w:tcW w:type="dxa" w:w="5728"/>
            <w:tcMar>
              <w:top w:type="dxa" w:w="90"/>
              <w:left w:type="dxa" w:w="120"/>
              <w:bottom w:type="dxa" w:w="90"/>
              <w:right w:type="dxa" w:w="120"/>
            </w:tcMar>
          </w:tcPr>
          <w:p>
            <w:pPr>
              <w:spacing w:after="0" w:before="0" w:line="260"/>
            </w:pPr>
            <w:r>
              <w:rPr>
                <w:rFonts w:ascii="Calibri" w:cs="Calibri" w:eastAsia="Calibri" w:hAnsi="Calibri"/>
                <w:sz w:val="18"/>
                <w:szCs w:val="18"/>
              </w:rPr>
              <w:t xml:space="preserve">Start of phase 3. Recommended out, which needs confirming rather than assuming.</w:t>
            </w:r>
          </w:p>
        </w:tc>
      </w:tr>
    </w:tbl>
    <w:p>
      <w:pPr>
        <w:spacing w:after="200"/>
      </w:pPr>
    </w:p>
    <w:p>
      <w:pPr>
        <w:spacing w:after="140" w:before="100" w:line="276"/>
      </w:pPr>
      <w:r>
        <w:rPr>
          <w:rFonts w:ascii="Calibri" w:cs="Calibri" w:eastAsia="Calibri" w:hAnsi="Calibri"/>
          <w:sz w:val="20"/>
          <w:szCs w:val="20"/>
        </w:rPr>
        <w:t xml:space="preserve">Only the first is open now, and the recommendation removes it as a blocker. The rest are needed at the start of the phase they affect, which is why they are listed against phases rather than as one gate at the beginning.</w:t>
      </w:r>
    </w:p>
    <w:p>
      <w:pPr>
        <w:pStyle w:val="Heading1"/>
        <w:pBdr>
          <w:bottom w:val="single" w:color="C9CED8" w:sz="6" w:space="6"/>
        </w:pBdr>
        <w:spacing w:after="160" w:before="380"/>
      </w:pPr>
      <w:r>
        <w:rPr>
          <w:rFonts w:ascii="Calibri" w:cs="Calibri" w:eastAsia="Calibri" w:hAnsi="Calibri"/>
          <w:b/>
          <w:bCs/>
          <w:color w:val="1B2A4A"/>
          <w:sz w:val="30"/>
          <w:szCs w:val="30"/>
        </w:rPr>
        <w:t xml:space="preserve">13. Risks, and where the plan absorbs each</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1777"/>
        <w:gridCol w:w="2911"/>
        <w:gridCol w:w="4672"/>
      </w:tblGrid>
      <w:tr>
        <w:trPr>
          <w:cantSplit/>
          <w:tblHeader/>
        </w:trPr>
        <w:tc>
          <w:tcPr>
            <w:tcW w:type="dxa" w:w="1777"/>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Risk</w:t>
            </w:r>
          </w:p>
        </w:tc>
        <w:tc>
          <w:tcPr>
            <w:tcW w:type="dxa" w:w="2911"/>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Effect</w:t>
            </w:r>
          </w:p>
        </w:tc>
        <w:tc>
          <w:tcPr>
            <w:tcW w:type="dxa" w:w="467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How the plan handles it</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The check budget is missed</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The panel stops feeling live and the demonstration loses its argument</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Performance work is scheduled inside phase 1 rather than after it, and the budget is an exit criterion rather than an aspiration.</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The contract changes after frontend has built against it</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Three way rework, repeatedly</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Models are written first, in Phase 0, and treated as a document. Contract tests catch drift between mock and real.</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A rule appears in the browser</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Two implementations that will disagree</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Enforced by review rather than by test. It is a code reading item at the end of every phase.</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The concentration check depends on Oracle</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Losing the balance feed fails the check closed, which blocks every deal</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Correct as a control, disruptive in practice. Phase 4 adds an explicit stale threshold and a visible warning rather than a silent failure.</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Phase 3 is underestimated</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It is the largest block in the system and the least specified by a demonstration</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Six weeks is the honest figure. Currency runs in parallel with matching to protect it.</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Identity is deferred again</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Every audit record stays free text and the advisory layer doubles the segregation hole</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It is a gate at 1.5 rather than a task inside phase 2, precisely so it cannot slip quietly.</w:t>
            </w:r>
          </w:p>
        </w:tc>
      </w:tr>
      <w:tr>
        <w:trPr>
          <w:cantSplit/>
          <w:tblHeader w:val="false"/>
        </w:trPr>
        <w:tc>
          <w:tcPr>
            <w:tcW w:type="dxa" w:w="1777"/>
            <w:tcMar>
              <w:top w:type="dxa" w:w="90"/>
              <w:left w:type="dxa" w:w="120"/>
              <w:bottom w:type="dxa" w:w="90"/>
              <w:right w:type="dxa" w:w="120"/>
            </w:tcMar>
          </w:tcPr>
          <w:p>
            <w:pPr>
              <w:spacing w:after="0" w:before="0" w:line="260"/>
            </w:pPr>
            <w:r>
              <w:rPr>
                <w:rFonts w:ascii="Calibri" w:cs="Calibri" w:eastAsia="Calibri" w:hAnsi="Calibri"/>
                <w:sz w:val="18"/>
                <w:szCs w:val="18"/>
              </w:rPr>
              <w:t xml:space="preserve">Accrual volume</w:t>
            </w:r>
          </w:p>
        </w:tc>
        <w:tc>
          <w:tcPr>
            <w:tcW w:type="dxa" w:w="2911"/>
            <w:tcMar>
              <w:top w:type="dxa" w:w="90"/>
              <w:left w:type="dxa" w:w="120"/>
              <w:bottom w:type="dxa" w:w="90"/>
              <w:right w:type="dxa" w:w="120"/>
            </w:tcMar>
          </w:tcPr>
          <w:p>
            <w:pPr>
              <w:spacing w:after="0" w:before="0" w:line="260"/>
            </w:pPr>
            <w:r>
              <w:rPr>
                <w:rFonts w:ascii="Calibri" w:cs="Calibri" w:eastAsia="Calibri" w:hAnsi="Calibri"/>
                <w:sz w:val="18"/>
                <w:szCs w:val="18"/>
              </w:rPr>
              <w:t xml:space="preserve">The first table to become large</w:t>
            </w:r>
          </w:p>
        </w:tc>
        <w:tc>
          <w:tcPr>
            <w:tcW w:type="dxa" w:w="4672"/>
            <w:tcMar>
              <w:top w:type="dxa" w:w="90"/>
              <w:left w:type="dxa" w:w="120"/>
              <w:bottom w:type="dxa" w:w="90"/>
              <w:right w:type="dxa" w:w="120"/>
            </w:tcMar>
          </w:tcPr>
          <w:p>
            <w:pPr>
              <w:spacing w:after="0" w:before="0" w:line="260"/>
            </w:pPr>
            <w:r>
              <w:rPr>
                <w:rFonts w:ascii="Calibri" w:cs="Calibri" w:eastAsia="Calibri" w:hAnsi="Calibri"/>
                <w:sz w:val="18"/>
                <w:szCs w:val="18"/>
              </w:rPr>
              <w:t xml:space="preserve">Nothing else in the design scans it. Partition by period when it matters, not before.</w:t>
            </w:r>
          </w:p>
        </w:tc>
      </w:tr>
    </w:tbl>
    <w:p>
      <w:pPr>
        <w:spacing w:after="200"/>
      </w:pPr>
    </w:p>
    <w:p>
      <w:pPr>
        <w:pStyle w:val="Heading1"/>
        <w:pBdr>
          <w:bottom w:val="single" w:color="C9CED8" w:sz="6" w:space="6"/>
        </w:pBdr>
        <w:spacing w:after="160" w:before="380"/>
      </w:pPr>
      <w:r>
        <w:rPr>
          <w:rFonts w:ascii="Calibri" w:cs="Calibri" w:eastAsia="Calibri" w:hAnsi="Calibri"/>
          <w:b/>
          <w:bCs/>
          <w:color w:val="1B2A4A"/>
          <w:sz w:val="30"/>
          <w:szCs w:val="30"/>
        </w:rPr>
        <w:t xml:space="preserve">14. What is deliberately not in this plan</w:t>
      </w:r>
    </w:p>
    <w:tbl>
      <w:tblPr>
        <w:tblW w:type="dxa" w:w="9360"/>
        <w:tblBorders>
          <w:top w:val="single" w:color="C9CED8" w:sz="4"/>
          <w:left w:val="single" w:color="C9CED8" w:sz="4"/>
          <w:bottom w:val="single" w:color="C9CED8" w:sz="4"/>
          <w:right w:val="single" w:color="C9CED8" w:sz="4"/>
          <w:insideH w:val="single" w:color="C9CED8" w:sz="4"/>
          <w:insideV w:val="single" w:color="C9CED8" w:sz="4"/>
        </w:tblBorders>
        <w:tblLayout w:type="fixed"/>
      </w:tblPr>
      <w:tblGrid>
        <w:gridCol w:w="2808"/>
        <w:gridCol w:w="6552"/>
      </w:tblGrid>
      <w:tr>
        <w:trPr>
          <w:cantSplit/>
          <w:tblHeader/>
        </w:trPr>
        <w:tc>
          <w:tcPr>
            <w:tcW w:type="dxa" w:w="2808"/>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Absent</w:t>
            </w:r>
          </w:p>
        </w:tc>
        <w:tc>
          <w:tcPr>
            <w:tcW w:type="dxa" w:w="6552"/>
            <w:shd w:fill="EEF1F6" w:color="auto" w:val="clear"/>
            <w:tcMar>
              <w:top w:type="dxa" w:w="90"/>
              <w:left w:type="dxa" w:w="120"/>
              <w:bottom w:type="dxa" w:w="90"/>
              <w:right w:type="dxa" w:w="120"/>
            </w:tcMar>
          </w:tcPr>
          <w:p>
            <w:pPr>
              <w:spacing w:after="0" w:before="0" w:line="260"/>
            </w:pPr>
            <w:r>
              <w:rPr>
                <w:rFonts w:ascii="Calibri" w:cs="Calibri" w:eastAsia="Calibri" w:hAnsi="Calibri"/>
                <w:b/>
                <w:bCs/>
                <w:color w:val="1B2A4A"/>
                <w:sz w:val="18"/>
                <w:szCs w:val="18"/>
              </w:rPr>
              <w:t xml:space="preserve">Reason</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Sorting, filtering and pagination before phase 4</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Correct at five counterparties and a handful of deals. Necessary at about twenty.</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Notifications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A rating action is only seen by whoever is looking, until the ratings feed is real and arrives without a person pressing anything.</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Amendment raised from the timeline</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timeline shows amendments in phase 3. Raising one from there is a later change.</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Instruments beyond four</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Each needs an exposure measure and an accrual method before its code can join the enumeration.</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Multi currency deposits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The limit arithmetic assumes one currency. The currency column exists, so the answer is a service change rather than a schema change, and it waits until a customer holds a deposit in euro.</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Intraday balances</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Statements are prior day. A stated boundary rather than a defect.</w:t>
            </w:r>
          </w:p>
        </w:tc>
      </w:tr>
      <w:tr>
        <w:trPr>
          <w:cantSplit/>
          <w:tblHeader w:val="false"/>
        </w:trPr>
        <w:tc>
          <w:tcPr>
            <w:tcW w:type="dxa" w:w="2808"/>
            <w:tcMar>
              <w:top w:type="dxa" w:w="90"/>
              <w:left w:type="dxa" w:w="120"/>
              <w:bottom w:type="dxa" w:w="90"/>
              <w:right w:type="dxa" w:w="120"/>
            </w:tcMar>
          </w:tcPr>
          <w:p>
            <w:pPr>
              <w:spacing w:after="0" w:before="0" w:line="260"/>
            </w:pPr>
            <w:r>
              <w:rPr>
                <w:rFonts w:ascii="Calibri" w:cs="Calibri" w:eastAsia="Calibri" w:hAnsi="Calibri"/>
                <w:sz w:val="18"/>
                <w:szCs w:val="18"/>
              </w:rPr>
              <w:t xml:space="preserve">Hedge accounting under IFRS 9</w:t>
            </w:r>
          </w:p>
        </w:tc>
        <w:tc>
          <w:tcPr>
            <w:tcW w:type="dxa" w:w="6552"/>
            <w:tcMar>
              <w:top w:type="dxa" w:w="90"/>
              <w:left w:type="dxa" w:w="120"/>
              <w:bottom w:type="dxa" w:w="90"/>
              <w:right w:type="dxa" w:w="120"/>
            </w:tcMar>
          </w:tcPr>
          <w:p>
            <w:pPr>
              <w:spacing w:after="0" w:before="0" w:line="260"/>
            </w:pPr>
            <w:r>
              <w:rPr>
                <w:rFonts w:ascii="Calibri" w:cs="Calibri" w:eastAsia="Calibri" w:hAnsi="Calibri"/>
                <w:sz w:val="18"/>
                <w:szCs w:val="18"/>
              </w:rPr>
              <w:t xml:space="preserve">Recommended out, pending the accountants.</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2026-09-03T08:03:29.662Z</dcterms:created>
  <dcterms:modified xsi:type="dcterms:W3CDTF">2026-09-03T08:03:29.662Z</dcterms:modified>
</cp:coreProperties>
</file>

<file path=docProps/custom.xml><?xml version="1.0" encoding="utf-8"?>
<Properties xmlns="http://schemas.openxmlformats.org/officeDocument/2006/custom-properties" xmlns:vt="http://schemas.openxmlformats.org/officeDocument/2006/docPropsVTypes"/>
</file>