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8"/>
        </w:rPr>
        <w:t>RoadSOS Emergency Response Platform</w:t>
      </w:r>
    </w:p>
    <w:p>
      <w:pPr>
        <w:spacing w:after="400"/>
      </w:pPr>
      <w:r>
        <w:rPr>
          <w:rFonts w:ascii="Calibri" w:hAnsi="Calibri"/>
          <w:i/>
          <w:color w:val="4A777A"/>
          <w:sz w:val="24"/>
        </w:rPr>
        <w:t>Hackathon Submission: Software Packages, System Assumptions &amp; Implemented Features</w:t>
      </w:r>
    </w:p>
    <w:p>
      <w:pPr>
        <w:spacing w:after="320"/>
        <w:pBdr>
          <w:bottom w:val="single" w:sz="6" w:space="1" w:color="4A777A"/>
        </w:pBdr>
      </w:pPr>
    </w:p>
    <w:p>
      <w:pPr>
        <w:spacing w:before="240" w:after="120"/>
      </w:pPr>
      <w:r>
        <w:rPr>
          <w:b/>
          <w:color w:val="1B365D"/>
          <w:sz w:val="32"/>
        </w:rPr>
        <w:t>1. Executive Summary</w:t>
      </w:r>
    </w:p>
    <w:p>
      <w:pPr>
        <w:spacing w:line="276" w:lineRule="auto" w:after="240"/>
      </w:pPr>
      <w:r>
        <w:t>RoadSOS is an AI-powered emergency assistance platform designed to connect individuals in critical roadside situations with immediate life-saving help. At its core, the platform integrates location-based emergency services discovery, real-time AI injury triage using the Google Gemini API, instant first-aid guidance, and automated SOS assistance. By leveraging the user's Geolocation API and Google Maps API, RoadSOS helps users discover, route to, and contact nearby trauma centers, active ambulance services, local police stations, and rapid rescue teams. The application follows a modular architecture designed for scalability and accessibility across modern web and mobile browsers.</w:t>
      </w:r>
    </w:p>
    <w:p>
      <w:pPr>
        <w:spacing w:before="280" w:after="120"/>
      </w:pPr>
      <w:r>
        <w:rPr>
          <w:b/>
          <w:color w:val="1B365D"/>
          <w:sz w:val="32"/>
        </w:rPr>
        <w:t>2. Implemented Features</w:t>
      </w:r>
    </w:p>
    <w:p>
      <w:pPr>
        <w:pStyle w:val="ListBullet"/>
        <w:spacing w:after="80"/>
      </w:pPr>
      <w:r>
        <w:rPr>
          <w:b/>
          <w:color w:val="4A777A"/>
        </w:rPr>
        <w:t xml:space="preserve">AI-Powered Emergency Triage (Google Gemini API): </w:t>
      </w:r>
      <w:r>
        <w:t>Analyzes incident details, symptoms, consciousness, and breathing inputs using Google Gemini AI integration. Provides instant severity levels (Critical, High, Moderate, Low), explains the reasoning behind the evaluation, and issues prioritized medical action protocols. In the absence of an API key, the system automatically runs a robust local rule-based mock engine to maintain constant service availability.</w:t>
      </w:r>
    </w:p>
    <w:p>
      <w:pPr>
        <w:pStyle w:val="ListBullet"/>
        <w:spacing w:after="80"/>
      </w:pPr>
      <w:r>
        <w:rPr>
          <w:b/>
          <w:color w:val="4A777A"/>
        </w:rPr>
        <w:t xml:space="preserve">Location-Based Emergency Discovery: </w:t>
      </w:r>
      <w:r>
        <w:t>Leverages standard HTML5 Geolocation and Google Maps integration to instantly search, list, and display the closest trauma centers, active ambulance fleets, rescue groups, and police response teams based on the victim's exact coordinates.</w:t>
      </w:r>
    </w:p>
    <w:p>
      <w:pPr>
        <w:pStyle w:val="ListBullet"/>
        <w:spacing w:after="80"/>
      </w:pPr>
      <w:r>
        <w:rPr>
          <w:b/>
          <w:color w:val="4A777A"/>
        </w:rPr>
        <w:t xml:space="preserve">SOS Assistance &amp; Emergency Coordination: </w:t>
      </w:r>
      <w:r>
        <w:t>Facilitates emergency requests by collecting incident details, identifying nearby emergency service providers, and helping users quickly access relevant assistance resources.</w:t>
      </w:r>
    </w:p>
    <w:p>
      <w:pPr>
        <w:pStyle w:val="ListBullet"/>
        <w:spacing w:after="80"/>
      </w:pPr>
      <w:r>
        <w:rPr>
          <w:b/>
          <w:color w:val="4A777A"/>
        </w:rPr>
        <w:t xml:space="preserve">Dynamic First-Aid &amp; Pre-Arrival Guidance: </w:t>
      </w:r>
      <w:r>
        <w:t>Provides situational, structured advice (e.g. CPR preparation, wound elevation, vital signs tracking) directly on screen during triage, helping bystanders secure the patient before professional help arrives.</w:t>
      </w:r>
    </w:p>
    <w:p>
      <w:pPr>
        <w:pStyle w:val="ListBullet"/>
        <w:spacing w:after="80"/>
      </w:pPr>
      <w:r>
        <w:rPr>
          <w:b/>
          <w:color w:val="4A777A"/>
        </w:rPr>
        <w:t xml:space="preserve">Family SOS Alerts: </w:t>
      </w:r>
      <w:r>
        <w:t>Supports emergency contact notifications through Twilio integration, enabling rapid communication during emergencies.</w:t>
      </w:r>
    </w:p>
    <w:p>
      <w:pPr>
        <w:spacing w:before="280" w:after="120"/>
      </w:pPr>
      <w:r>
        <w:rPr>
          <w:b/>
          <w:color w:val="1B365D"/>
          <w:sz w:val="32"/>
        </w:rPr>
        <w:t>3. Future Scope</w:t>
      </w:r>
    </w:p>
    <w:p>
      <w:pPr>
        <w:pStyle w:val="ListBullet"/>
        <w:spacing w:after="80"/>
      </w:pPr>
      <w:r>
        <w:rPr>
          <w:b/>
          <w:color w:val="4A777A"/>
        </w:rPr>
        <w:t xml:space="preserve">Automatic Crash Detection: </w:t>
      </w:r>
      <w:r>
        <w:t>Integrating smartphone accelerometer, gyroscope, and acoustic sensors to detect sudden velocity drops or impact noises, initiating automatic SOS protocols if the user is unresponsive.</w:t>
      </w:r>
    </w:p>
    <w:p>
      <w:pPr>
        <w:pStyle w:val="ListBullet"/>
        <w:spacing w:after="80"/>
      </w:pPr>
      <w:r>
        <w:rPr>
          <w:b/>
          <w:color w:val="4A777A"/>
        </w:rPr>
        <w:t xml:space="preserve">Hospital Bed &amp; ICU Availability Tracking: </w:t>
      </w:r>
      <w:r>
        <w:t>Establishing direct API pipelines with hospital administration grids to query and display real-time bed count and critical care resource capacities before routing.</w:t>
      </w:r>
    </w:p>
    <w:p>
      <w:pPr>
        <w:pStyle w:val="ListBullet"/>
        <w:spacing w:after="80"/>
      </w:pPr>
      <w:r>
        <w:rPr>
          <w:b/>
          <w:color w:val="4A777A"/>
        </w:rPr>
        <w:t xml:space="preserve">Live Ambulance Tracking: </w:t>
      </w:r>
      <w:r>
        <w:t>Adding active WebSockets or Server-Sent Events (SSE) tracking to show the dispatched ambulance's real-time geographic progress directly on the user's map.</w:t>
      </w:r>
    </w:p>
    <w:p>
      <w:pPr>
        <w:pStyle w:val="ListBullet"/>
        <w:spacing w:after="80"/>
      </w:pPr>
      <w:r>
        <w:rPr>
          <w:b/>
          <w:color w:val="4A777A"/>
        </w:rPr>
        <w:t xml:space="preserve">Digital FIR (First Information Report) Generation: </w:t>
      </w:r>
      <w:r>
        <w:t>Autogenerating authenticated digital crash reports and forwarding them securely to police portals for immediate administrative onboarding.</w:t>
      </w:r>
    </w:p>
    <w:p>
      <w:pPr>
        <w:pStyle w:val="ListBullet"/>
        <w:spacing w:after="80"/>
      </w:pPr>
      <w:r>
        <w:rPr>
          <w:b/>
          <w:color w:val="4A777A"/>
        </w:rPr>
        <w:t xml:space="preserve">Insurance Claim Automation: </w:t>
      </w:r>
      <w:r>
        <w:t>Securely cataloging crash photos and triage data to automatically generate pre-filled insurance claims, reducing post-accident financial bureaucracy.</w:t>
      </w:r>
    </w:p>
    <w:p>
      <w:pPr>
        <w:pStyle w:val="ListBullet"/>
        <w:spacing w:after="80"/>
      </w:pPr>
      <w:r>
        <w:rPr>
          <w:b/>
          <w:color w:val="4A777A"/>
        </w:rPr>
        <w:t xml:space="preserve">Smart City Traffic Integration: </w:t>
      </w:r>
      <w:r>
        <w:t>Integrating routing pipelines with municipal traffic signaling grids to secure 'green corridors' for emergency vehicles en route to incidents.</w:t>
      </w:r>
    </w:p>
    <w:p>
      <w:pPr>
        <w:pStyle w:val="ListBullet"/>
        <w:spacing w:after="80"/>
      </w:pPr>
      <w:r>
        <w:rPr>
          <w:b/>
          <w:color w:val="4A777A"/>
        </w:rPr>
        <w:t xml:space="preserve">Accident Hotspot Prediction: </w:t>
      </w:r>
      <w:r>
        <w:t>Using machine learning forecasting networks on historical city data to locate, highlight, and alert drivers of dangerous high-risk zones.</w:t>
      </w:r>
    </w:p>
    <w:p>
      <w:pPr>
        <w:spacing w:before="280" w:after="120"/>
      </w:pPr>
      <w:r>
        <w:rPr>
          <w:b/>
          <w:color w:val="1B365D"/>
          <w:sz w:val="32"/>
        </w:rPr>
        <w:t>4. Core Technology Stack</w:t>
      </w:r>
    </w:p>
    <w:p>
      <w:pPr>
        <w:pStyle w:val="ListBullet"/>
        <w:spacing w:after="80"/>
      </w:pPr>
      <w:r>
        <w:rPr>
          <w:b/>
          <w:color w:val="4A777A"/>
        </w:rPr>
        <w:t xml:space="preserve">Frontend: </w:t>
      </w:r>
      <w:r>
        <w:t>React.js (v19) single-page framework compiled with Vite and styled with Tailwind CSS, supporting lightweight client-side routing via React Router.</w:t>
      </w:r>
    </w:p>
    <w:p>
      <w:pPr>
        <w:pStyle w:val="ListBullet"/>
        <w:spacing w:after="80"/>
      </w:pPr>
      <w:r>
        <w:rPr>
          <w:b/>
          <w:color w:val="4A777A"/>
        </w:rPr>
        <w:t xml:space="preserve">Backend Framework: </w:t>
      </w:r>
      <w:r>
        <w:t>FastAPI (Python) leveraging high-throughput asynchronous routers, dependency injection, and Uvicorn ASGI backend serving.</w:t>
      </w:r>
    </w:p>
    <w:p>
      <w:pPr>
        <w:pStyle w:val="ListBullet"/>
        <w:spacing w:after="80"/>
      </w:pPr>
      <w:r>
        <w:rPr>
          <w:b/>
          <w:color w:val="4A777A"/>
        </w:rPr>
        <w:t xml:space="preserve">Database &amp; ORM: </w:t>
      </w:r>
      <w:r>
        <w:t>SQLAlchemy ORM configured with aiosqlite for modular async SQLite connection pools, built to scale seamlessly to PostgreSQL/MySQL.</w:t>
      </w:r>
    </w:p>
    <w:p>
      <w:pPr>
        <w:pStyle w:val="ListBullet"/>
        <w:spacing w:after="80"/>
      </w:pPr>
      <w:r>
        <w:rPr>
          <w:b/>
          <w:color w:val="4A777A"/>
        </w:rPr>
        <w:t xml:space="preserve">AI Integrations: </w:t>
      </w:r>
      <w:r>
        <w:t>Google Gemini API for medical triage diagnostics, Twilio SDK for instant SMS alerts, and Cloudinary for incident imagery storage.</w:t>
      </w:r>
    </w:p>
    <w:p>
      <w:pPr>
        <w:pStyle w:val="ListBullet"/>
        <w:spacing w:after="80"/>
      </w:pPr>
      <w:r>
        <w:rPr>
          <w:b/>
          <w:color w:val="4A777A"/>
        </w:rPr>
        <w:t xml:space="preserve">Location Services: </w:t>
      </w:r>
      <w:r>
        <w:t>Google Maps Platform and HTML5 Geolocation API for spatial service discovery, distance mapping, and routing calculations.</w:t>
      </w:r>
    </w:p>
    <w:p>
      <w:pPr>
        <w:spacing w:before="280" w:after="120"/>
      </w:pPr>
      <w:r>
        <w:rPr>
          <w:b/>
          <w:color w:val="1B365D"/>
          <w:sz w:val="32"/>
        </w:rPr>
        <w:t>5. Development Tools</w:t>
      </w:r>
    </w:p>
    <w:p>
      <w:pPr>
        <w:pStyle w:val="ListBullet"/>
        <w:spacing w:after="80"/>
      </w:pPr>
      <w:r>
        <w:rPr>
          <w:b/>
          <w:color w:val="4A777A"/>
        </w:rPr>
        <w:t xml:space="preserve">Git &amp; GitHub – </w:t>
      </w:r>
      <w:r>
        <w:t>Version control and collaboration</w:t>
      </w:r>
    </w:p>
    <w:p>
      <w:pPr>
        <w:pStyle w:val="ListBullet"/>
        <w:spacing w:after="80"/>
      </w:pPr>
      <w:r>
        <w:rPr>
          <w:b/>
          <w:color w:val="4A777A"/>
        </w:rPr>
        <w:t xml:space="preserve">Postman – </w:t>
      </w:r>
      <w:r>
        <w:t>API testing and validation</w:t>
      </w:r>
    </w:p>
    <w:p>
      <w:pPr>
        <w:pStyle w:val="ListBullet"/>
        <w:spacing w:after="80"/>
      </w:pPr>
      <w:r>
        <w:rPr>
          <w:b/>
          <w:color w:val="4A777A"/>
        </w:rPr>
        <w:t xml:space="preserve">Vercel – </w:t>
      </w:r>
      <w:r>
        <w:t>Frontend deployment</w:t>
      </w:r>
    </w:p>
    <w:p>
      <w:pPr>
        <w:pStyle w:val="ListBullet"/>
        <w:spacing w:after="80"/>
      </w:pPr>
      <w:r>
        <w:rPr>
          <w:b/>
          <w:color w:val="4A777A"/>
        </w:rPr>
        <w:t xml:space="preserve">Docker – </w:t>
      </w:r>
      <w:r>
        <w:t>Containerization and deployment readiness</w:t>
      </w:r>
    </w:p>
    <w:p>
      <w:pPr>
        <w:spacing w:before="280" w:after="160"/>
      </w:pPr>
      <w:r>
        <w:rPr>
          <w:b/>
          <w:color w:val="1B365D"/>
          <w:sz w:val="32"/>
        </w:rPr>
        <w:t>6. Software Packages &amp; Dependencies</w:t>
      </w:r>
    </w:p>
    <w:p>
      <w:pPr>
        <w:spacing w:before="160" w:after="80"/>
      </w:pPr>
      <w:r>
        <w:rPr>
          <w:b/>
          <w:color w:val="4A777A"/>
          <w:sz w:val="26"/>
        </w:rPr>
        <w:t>6.1 Backend Packages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4680"/>
        <w:gridCol w:w="4680"/>
      </w:tblGrid>
      <w:tr>
        <w:tc>
          <w:tcPr>
            <w:tcW w:type="dxa" w:w="3168"/>
            <w:shd w:fill="1B365D"/>
            <w:tcMar>
              <w:top w:w="120" w:type="dxa"/>
              <w:bottom w:w="120" w:type="dxa"/>
              <w:left w:w="150" w:type="dxa"/>
              <w:right w:w="150" w:type="dxa"/>
            </w:tcMar>
          </w:tcPr>
          <w:p>
            <w:r>
              <w:rPr>
                <w:b/>
                <w:color w:val="FFFFFF"/>
                <w:sz w:val="21"/>
              </w:rPr>
              <w:t>Package</w:t>
            </w:r>
          </w:p>
        </w:tc>
        <w:tc>
          <w:tcPr>
            <w:tcW w:type="dxa" w:w="6192"/>
            <w:shd w:fill="1B365D"/>
            <w:tcMar>
              <w:top w:w="120" w:type="dxa"/>
              <w:bottom w:w="120" w:type="dxa"/>
              <w:left w:w="150" w:type="dxa"/>
              <w:right w:w="150" w:type="dxa"/>
            </w:tcMar>
          </w:tcPr>
          <w:p>
            <w:r>
              <w:rPr>
                <w:b/>
                <w:color w:val="FFFFFF"/>
                <w:sz w:val="21"/>
              </w:rPr>
              <w:t>Purpose</w:t>
            </w:r>
          </w:p>
        </w:tc>
      </w:tr>
      <w:tr>
        <w:tc>
          <w:tcPr>
            <w:tcW w:type="dxa" w:w="3168"/>
            <w:shd w:fill="FFFFFF"/>
            <w:tcMar>
              <w:top w:w="80" w:type="dxa"/>
              <w:bottom w:w="80" w:type="dxa"/>
              <w:left w:w="120" w:type="dxa"/>
              <w:right w:w="120" w:type="dxa"/>
            </w:tcMar>
          </w:tcPr>
          <w:p>
            <w:r>
              <w:rPr>
                <w:b/>
                <w:sz w:val="19"/>
              </w:rPr>
              <w:t>FastAPI (0.111.0)</w:t>
            </w:r>
          </w:p>
        </w:tc>
        <w:tc>
          <w:tcPr>
            <w:tcW w:type="dxa" w:w="6192"/>
            <w:shd w:fill="FFFFFF"/>
            <w:tcMar>
              <w:top w:w="80" w:type="dxa"/>
              <w:bottom w:w="80" w:type="dxa"/>
              <w:left w:w="120" w:type="dxa"/>
              <w:right w:w="120" w:type="dxa"/>
            </w:tcMar>
          </w:tcPr>
          <w:p>
            <w:r>
              <w:rPr>
                <w:sz w:val="19"/>
              </w:rPr>
              <w:t>REST APIs</w:t>
            </w:r>
          </w:p>
        </w:tc>
      </w:tr>
      <w:tr>
        <w:tc>
          <w:tcPr>
            <w:tcW w:type="dxa" w:w="3168"/>
            <w:shd w:fill="F4F6F9"/>
            <w:tcMar>
              <w:top w:w="80" w:type="dxa"/>
              <w:bottom w:w="80" w:type="dxa"/>
              <w:left w:w="120" w:type="dxa"/>
              <w:right w:w="120" w:type="dxa"/>
            </w:tcMar>
          </w:tcPr>
          <w:p>
            <w:r>
              <w:rPr>
                <w:b/>
                <w:sz w:val="19"/>
              </w:rPr>
              <w:t>Uvicorn (0.29.0)</w:t>
            </w:r>
          </w:p>
        </w:tc>
        <w:tc>
          <w:tcPr>
            <w:tcW w:type="dxa" w:w="6192"/>
            <w:shd w:fill="F4F6F9"/>
            <w:tcMar>
              <w:top w:w="80" w:type="dxa"/>
              <w:bottom w:w="80" w:type="dxa"/>
              <w:left w:w="120" w:type="dxa"/>
              <w:right w:w="120" w:type="dxa"/>
            </w:tcMar>
          </w:tcPr>
          <w:p>
            <w:r>
              <w:rPr>
                <w:sz w:val="19"/>
              </w:rPr>
              <w:t>ASGI Server</w:t>
            </w:r>
          </w:p>
        </w:tc>
      </w:tr>
      <w:tr>
        <w:tc>
          <w:tcPr>
            <w:tcW w:type="dxa" w:w="3168"/>
            <w:shd w:fill="FFFFFF"/>
            <w:tcMar>
              <w:top w:w="80" w:type="dxa"/>
              <w:bottom w:w="80" w:type="dxa"/>
              <w:left w:w="120" w:type="dxa"/>
              <w:right w:w="120" w:type="dxa"/>
            </w:tcMar>
          </w:tcPr>
          <w:p>
            <w:r>
              <w:rPr>
                <w:b/>
                <w:sz w:val="19"/>
              </w:rPr>
              <w:t>SQLAlchemy (2.x)</w:t>
            </w:r>
          </w:p>
        </w:tc>
        <w:tc>
          <w:tcPr>
            <w:tcW w:type="dxa" w:w="6192"/>
            <w:shd w:fill="FFFFFF"/>
            <w:tcMar>
              <w:top w:w="80" w:type="dxa"/>
              <w:bottom w:w="80" w:type="dxa"/>
              <w:left w:w="120" w:type="dxa"/>
              <w:right w:w="120" w:type="dxa"/>
            </w:tcMar>
          </w:tcPr>
          <w:p>
            <w:r>
              <w:rPr>
                <w:sz w:val="19"/>
              </w:rPr>
              <w:t>ORM</w:t>
            </w:r>
          </w:p>
        </w:tc>
      </w:tr>
      <w:tr>
        <w:tc>
          <w:tcPr>
            <w:tcW w:type="dxa" w:w="3168"/>
            <w:shd w:fill="F4F6F9"/>
            <w:tcMar>
              <w:top w:w="80" w:type="dxa"/>
              <w:bottom w:w="80" w:type="dxa"/>
              <w:left w:w="120" w:type="dxa"/>
              <w:right w:w="120" w:type="dxa"/>
            </w:tcMar>
          </w:tcPr>
          <w:p>
            <w:r>
              <w:rPr>
                <w:b/>
                <w:sz w:val="19"/>
              </w:rPr>
              <w:t>aiosqlite</w:t>
            </w:r>
          </w:p>
        </w:tc>
        <w:tc>
          <w:tcPr>
            <w:tcW w:type="dxa" w:w="6192"/>
            <w:shd w:fill="F4F6F9"/>
            <w:tcMar>
              <w:top w:w="80" w:type="dxa"/>
              <w:bottom w:w="80" w:type="dxa"/>
              <w:left w:w="120" w:type="dxa"/>
              <w:right w:w="120" w:type="dxa"/>
            </w:tcMar>
          </w:tcPr>
          <w:p>
            <w:r>
              <w:rPr>
                <w:sz w:val="19"/>
              </w:rPr>
              <w:t>Database</w:t>
            </w:r>
          </w:p>
        </w:tc>
      </w:tr>
      <w:tr>
        <w:tc>
          <w:tcPr>
            <w:tcW w:type="dxa" w:w="3168"/>
            <w:shd w:fill="FFFFFF"/>
            <w:tcMar>
              <w:top w:w="80" w:type="dxa"/>
              <w:bottom w:w="80" w:type="dxa"/>
              <w:left w:w="120" w:type="dxa"/>
              <w:right w:w="120" w:type="dxa"/>
            </w:tcMar>
          </w:tcPr>
          <w:p>
            <w:r>
              <w:rPr>
                <w:b/>
                <w:sz w:val="19"/>
              </w:rPr>
              <w:t>google-generativeai</w:t>
            </w:r>
          </w:p>
        </w:tc>
        <w:tc>
          <w:tcPr>
            <w:tcW w:type="dxa" w:w="6192"/>
            <w:shd w:fill="FFFFFF"/>
            <w:tcMar>
              <w:top w:w="80" w:type="dxa"/>
              <w:bottom w:w="80" w:type="dxa"/>
              <w:left w:w="120" w:type="dxa"/>
              <w:right w:w="120" w:type="dxa"/>
            </w:tcMar>
          </w:tcPr>
          <w:p>
            <w:r>
              <w:rPr>
                <w:sz w:val="19"/>
              </w:rPr>
              <w:t>Gemini Integration</w:t>
            </w:r>
          </w:p>
        </w:tc>
      </w:tr>
      <w:tr>
        <w:tc>
          <w:tcPr>
            <w:tcW w:type="dxa" w:w="3168"/>
            <w:shd w:fill="F4F6F9"/>
            <w:tcMar>
              <w:top w:w="80" w:type="dxa"/>
              <w:bottom w:w="80" w:type="dxa"/>
              <w:left w:w="120" w:type="dxa"/>
              <w:right w:w="120" w:type="dxa"/>
            </w:tcMar>
          </w:tcPr>
          <w:p>
            <w:r>
              <w:rPr>
                <w:b/>
                <w:sz w:val="19"/>
              </w:rPr>
              <w:t>Twilio</w:t>
            </w:r>
          </w:p>
        </w:tc>
        <w:tc>
          <w:tcPr>
            <w:tcW w:type="dxa" w:w="6192"/>
            <w:shd w:fill="F4F6F9"/>
            <w:tcMar>
              <w:top w:w="80" w:type="dxa"/>
              <w:bottom w:w="80" w:type="dxa"/>
              <w:left w:w="120" w:type="dxa"/>
              <w:right w:w="120" w:type="dxa"/>
            </w:tcMar>
          </w:tcPr>
          <w:p>
            <w:r>
              <w:rPr>
                <w:sz w:val="19"/>
              </w:rPr>
              <w:t>SMS Alerts</w:t>
            </w:r>
          </w:p>
        </w:tc>
      </w:tr>
      <w:tr>
        <w:tc>
          <w:tcPr>
            <w:tcW w:type="dxa" w:w="3168"/>
            <w:shd w:fill="FFFFFF"/>
            <w:tcMar>
              <w:top w:w="80" w:type="dxa"/>
              <w:bottom w:w="80" w:type="dxa"/>
              <w:left w:w="120" w:type="dxa"/>
              <w:right w:w="120" w:type="dxa"/>
            </w:tcMar>
          </w:tcPr>
          <w:p>
            <w:r>
              <w:rPr>
                <w:b/>
                <w:sz w:val="19"/>
              </w:rPr>
              <w:t>geopy</w:t>
            </w:r>
          </w:p>
        </w:tc>
        <w:tc>
          <w:tcPr>
            <w:tcW w:type="dxa" w:w="6192"/>
            <w:shd w:fill="FFFFFF"/>
            <w:tcMar>
              <w:top w:w="80" w:type="dxa"/>
              <w:bottom w:w="80" w:type="dxa"/>
              <w:left w:w="120" w:type="dxa"/>
              <w:right w:w="120" w:type="dxa"/>
            </w:tcMar>
          </w:tcPr>
          <w:p>
            <w:r>
              <w:rPr>
                <w:sz w:val="19"/>
              </w:rPr>
              <w:t>Provides geographic calculations used for distance estimation and nearby service discovery.</w:t>
            </w:r>
          </w:p>
        </w:tc>
      </w:tr>
      <w:tr>
        <w:tc>
          <w:tcPr>
            <w:tcW w:type="dxa" w:w="3168"/>
            <w:shd w:fill="F4F6F9"/>
            <w:tcMar>
              <w:top w:w="80" w:type="dxa"/>
              <w:bottom w:w="80" w:type="dxa"/>
              <w:left w:w="120" w:type="dxa"/>
              <w:right w:w="120" w:type="dxa"/>
            </w:tcMar>
          </w:tcPr>
          <w:p>
            <w:r>
              <w:rPr>
                <w:b/>
                <w:sz w:val="19"/>
              </w:rPr>
              <w:t>PyJWT (2.8.0)</w:t>
            </w:r>
          </w:p>
        </w:tc>
        <w:tc>
          <w:tcPr>
            <w:tcW w:type="dxa" w:w="6192"/>
            <w:shd w:fill="F4F6F9"/>
            <w:tcMar>
              <w:top w:w="80" w:type="dxa"/>
              <w:bottom w:w="80" w:type="dxa"/>
              <w:left w:w="120" w:type="dxa"/>
              <w:right w:w="120" w:type="dxa"/>
            </w:tcMar>
          </w:tcPr>
          <w:p>
            <w:r>
              <w:rPr>
                <w:sz w:val="19"/>
              </w:rPr>
              <w:t>Authentication</w:t>
            </w:r>
          </w:p>
        </w:tc>
      </w:tr>
      <w:tr>
        <w:tc>
          <w:tcPr>
            <w:tcW w:type="dxa" w:w="3168"/>
            <w:shd w:fill="FFFFFF"/>
            <w:tcMar>
              <w:top w:w="80" w:type="dxa"/>
              <w:bottom w:w="80" w:type="dxa"/>
              <w:left w:w="120" w:type="dxa"/>
              <w:right w:w="120" w:type="dxa"/>
            </w:tcMar>
          </w:tcPr>
          <w:p>
            <w:r>
              <w:rPr>
                <w:b/>
                <w:sz w:val="19"/>
              </w:rPr>
              <w:t>python-dotenv (1.0.1)</w:t>
            </w:r>
          </w:p>
        </w:tc>
        <w:tc>
          <w:tcPr>
            <w:tcW w:type="dxa" w:w="6192"/>
            <w:shd w:fill="FFFFFF"/>
            <w:tcMar>
              <w:top w:w="80" w:type="dxa"/>
              <w:bottom w:w="80" w:type="dxa"/>
              <w:left w:w="120" w:type="dxa"/>
              <w:right w:w="120" w:type="dxa"/>
            </w:tcMar>
          </w:tcPr>
          <w:p>
            <w:r>
              <w:rPr>
                <w:sz w:val="19"/>
              </w:rPr>
              <w:t>Environment Variables</w:t>
            </w:r>
          </w:p>
        </w:tc>
      </w:tr>
    </w:tbl>
    <w:p>
      <w:pPr>
        <w:spacing w:before="240" w:after="80"/>
      </w:pPr>
      <w:r>
        <w:rPr>
          <w:b/>
          <w:color w:val="4A777A"/>
          <w:sz w:val="26"/>
        </w:rPr>
        <w:t>6.2 Frontend Packages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4680"/>
        <w:gridCol w:w="4680"/>
      </w:tblGrid>
      <w:tr>
        <w:tc>
          <w:tcPr>
            <w:tcW w:type="dxa" w:w="3168"/>
            <w:shd w:fill="4A777A"/>
            <w:tcMar>
              <w:top w:w="120" w:type="dxa"/>
              <w:bottom w:w="120" w:type="dxa"/>
              <w:left w:w="150" w:type="dxa"/>
              <w:right w:w="150" w:type="dxa"/>
            </w:tcMar>
          </w:tcPr>
          <w:p>
            <w:r>
              <w:rPr>
                <w:b/>
                <w:color w:val="FFFFFF"/>
                <w:sz w:val="21"/>
              </w:rPr>
              <w:t>Package</w:t>
            </w:r>
          </w:p>
        </w:tc>
        <w:tc>
          <w:tcPr>
            <w:tcW w:type="dxa" w:w="6192"/>
            <w:shd w:fill="4A777A"/>
            <w:tcMar>
              <w:top w:w="120" w:type="dxa"/>
              <w:bottom w:w="120" w:type="dxa"/>
              <w:left w:w="150" w:type="dxa"/>
              <w:right w:w="150" w:type="dxa"/>
            </w:tcMar>
          </w:tcPr>
          <w:p>
            <w:r>
              <w:rPr>
                <w:b/>
                <w:color w:val="FFFFFF"/>
                <w:sz w:val="21"/>
              </w:rPr>
              <w:t>Purpose</w:t>
            </w:r>
          </w:p>
        </w:tc>
      </w:tr>
      <w:tr>
        <w:tc>
          <w:tcPr>
            <w:tcW w:type="dxa" w:w="3168"/>
            <w:shd w:fill="FFFFFF"/>
            <w:tcMar>
              <w:top w:w="80" w:type="dxa"/>
              <w:bottom w:w="80" w:type="dxa"/>
              <w:left w:w="120" w:type="dxa"/>
              <w:right w:w="120" w:type="dxa"/>
            </w:tcMar>
          </w:tcPr>
          <w:p>
            <w:r>
              <w:rPr>
                <w:b/>
                <w:sz w:val="19"/>
              </w:rPr>
              <w:t>React</w:t>
            </w:r>
          </w:p>
        </w:tc>
        <w:tc>
          <w:tcPr>
            <w:tcW w:type="dxa" w:w="6192"/>
            <w:shd w:fill="FFFFFF"/>
            <w:tcMar>
              <w:top w:w="80" w:type="dxa"/>
              <w:bottom w:w="80" w:type="dxa"/>
              <w:left w:w="120" w:type="dxa"/>
              <w:right w:w="120" w:type="dxa"/>
            </w:tcMar>
          </w:tcPr>
          <w:p>
            <w:r>
              <w:rPr>
                <w:sz w:val="19"/>
              </w:rPr>
              <w:t>UI</w:t>
            </w:r>
          </w:p>
        </w:tc>
      </w:tr>
      <w:tr>
        <w:tc>
          <w:tcPr>
            <w:tcW w:type="dxa" w:w="3168"/>
            <w:shd w:fill="F4F6F9"/>
            <w:tcMar>
              <w:top w:w="80" w:type="dxa"/>
              <w:bottom w:w="80" w:type="dxa"/>
              <w:left w:w="120" w:type="dxa"/>
              <w:right w:w="120" w:type="dxa"/>
            </w:tcMar>
          </w:tcPr>
          <w:p>
            <w:r>
              <w:rPr>
                <w:b/>
                <w:sz w:val="19"/>
              </w:rPr>
              <w:t>Vite</w:t>
            </w:r>
          </w:p>
        </w:tc>
        <w:tc>
          <w:tcPr>
            <w:tcW w:type="dxa" w:w="6192"/>
            <w:shd w:fill="F4F6F9"/>
            <w:tcMar>
              <w:top w:w="80" w:type="dxa"/>
              <w:bottom w:w="80" w:type="dxa"/>
              <w:left w:w="120" w:type="dxa"/>
              <w:right w:w="120" w:type="dxa"/>
            </w:tcMar>
          </w:tcPr>
          <w:p>
            <w:r>
              <w:rPr>
                <w:sz w:val="19"/>
              </w:rPr>
              <w:t>Build Tool</w:t>
            </w:r>
          </w:p>
        </w:tc>
      </w:tr>
      <w:tr>
        <w:tc>
          <w:tcPr>
            <w:tcW w:type="dxa" w:w="3168"/>
            <w:shd w:fill="FFFFFF"/>
            <w:tcMar>
              <w:top w:w="80" w:type="dxa"/>
              <w:bottom w:w="80" w:type="dxa"/>
              <w:left w:w="120" w:type="dxa"/>
              <w:right w:w="120" w:type="dxa"/>
            </w:tcMar>
          </w:tcPr>
          <w:p>
            <w:r>
              <w:rPr>
                <w:b/>
                <w:sz w:val="19"/>
              </w:rPr>
              <w:t>React Router</w:t>
            </w:r>
          </w:p>
        </w:tc>
        <w:tc>
          <w:tcPr>
            <w:tcW w:type="dxa" w:w="6192"/>
            <w:shd w:fill="FFFFFF"/>
            <w:tcMar>
              <w:top w:w="80" w:type="dxa"/>
              <w:bottom w:w="80" w:type="dxa"/>
              <w:left w:w="120" w:type="dxa"/>
              <w:right w:w="120" w:type="dxa"/>
            </w:tcMar>
          </w:tcPr>
          <w:p>
            <w:r>
              <w:rPr>
                <w:sz w:val="19"/>
              </w:rPr>
              <w:t>Routing</w:t>
            </w:r>
          </w:p>
        </w:tc>
      </w:tr>
      <w:tr>
        <w:tc>
          <w:tcPr>
            <w:tcW w:type="dxa" w:w="3168"/>
            <w:shd w:fill="F4F6F9"/>
            <w:tcMar>
              <w:top w:w="80" w:type="dxa"/>
              <w:bottom w:w="80" w:type="dxa"/>
              <w:left w:w="120" w:type="dxa"/>
              <w:right w:w="120" w:type="dxa"/>
            </w:tcMar>
          </w:tcPr>
          <w:p>
            <w:r>
              <w:rPr>
                <w:b/>
                <w:sz w:val="19"/>
              </w:rPr>
              <w:t>Tailwind CSS</w:t>
            </w:r>
          </w:p>
        </w:tc>
        <w:tc>
          <w:tcPr>
            <w:tcW w:type="dxa" w:w="6192"/>
            <w:shd w:fill="F4F6F9"/>
            <w:tcMar>
              <w:top w:w="80" w:type="dxa"/>
              <w:bottom w:w="80" w:type="dxa"/>
              <w:left w:w="120" w:type="dxa"/>
              <w:right w:w="120" w:type="dxa"/>
            </w:tcMar>
          </w:tcPr>
          <w:p>
            <w:r>
              <w:rPr>
                <w:sz w:val="19"/>
              </w:rPr>
              <w:t>Styling</w:t>
            </w:r>
          </w:p>
        </w:tc>
      </w:tr>
    </w:tbl>
    <w:p>
      <w:pPr>
        <w:spacing w:before="360" w:after="160"/>
      </w:pPr>
      <w:r>
        <w:rPr>
          <w:b/>
          <w:color w:val="1B365D"/>
          <w:sz w:val="32"/>
        </w:rPr>
        <w:t>7. Key System Assumptions</w:t>
      </w:r>
    </w:p>
    <w:p>
      <w:pPr>
        <w:spacing w:before="160" w:after="40"/>
      </w:pPr>
      <w:r>
        <w:rPr>
          <w:b/>
          <w:color w:val="4A777A"/>
          <w:sz w:val="23"/>
        </w:rPr>
        <w:t>•  Network and Integration Availability</w:t>
      </w:r>
    </w:p>
    <w:p>
      <w:pPr>
        <w:spacing w:after="120" w:line="276" w:lineRule="auto"/>
        <w:ind w:left="360"/>
      </w:pPr>
      <w:r>
        <w:t>The platform assumes reliable network communication between the frontend client and the FastAPI backend server. External network access is assumed to reach Google Gemini (Triage), Twilio (SMS), and Cloudinary (Incident Images) APIs. Fallback mock handlers are implemented so that if external service API keys are not supplied in the environment, the platform gracefully returns simulated response data to prevent crashes during evaluation.</w:t>
      </w:r>
    </w:p>
    <w:p>
      <w:pPr>
        <w:spacing w:before="160" w:after="40"/>
      </w:pPr>
      <w:r>
        <w:rPr>
          <w:b/>
          <w:color w:val="4A777A"/>
          <w:sz w:val="23"/>
        </w:rPr>
        <w:t>•  Browser Capabilities and Hardware Permissions</w:t>
      </w:r>
    </w:p>
    <w:p>
      <w:pPr>
        <w:spacing w:after="120" w:line="276" w:lineRule="auto"/>
        <w:ind w:left="360"/>
      </w:pPr>
      <w:r>
        <w:t>The front-end emergency module relies on the availability of a modern web browser. It assumes the user grants permission to access their browser's Geolocation API. If location permission is denied, the application degrades gracefully by letting the user search by manually selecting coordinates/cities.</w:t>
      </w:r>
    </w:p>
    <w:p>
      <w:pPr>
        <w:spacing w:before="160" w:after="40"/>
      </w:pPr>
      <w:r>
        <w:rPr>
          <w:b/>
          <w:color w:val="4A777A"/>
          <w:sz w:val="23"/>
        </w:rPr>
        <w:t>•  Database and Performance Scale</w:t>
      </w:r>
    </w:p>
    <w:p>
      <w:pPr>
        <w:spacing w:after="120" w:line="276" w:lineRule="auto"/>
        <w:ind w:left="360"/>
      </w:pPr>
      <w:r>
        <w:t>The backend uses an asynchronous SQLite database (roadsos.db) for prototype efficiency, zero-config startup, and testing. Database connection settings, database pooling, and transactions are abstracted using SQLAlchemy ORM to allow transparent database migrations to enterprise platforms.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