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DEMO CONTRACT B — Balanced Software Services Agreement</w:t>
      </w:r>
    </w:p>
    <w:p>
      <w:pPr>
        <w:jc w:val="center"/>
      </w:pPr>
      <w:r>
        <w:rPr>
          <w:b/>
          <w:sz w:val="18"/>
        </w:rPr>
        <w:t>FICTIONAL TEST DOCUMENT — NOT A REAL CONTRACT. Not legal advice.</w:t>
      </w:r>
    </w:p>
    <w:p>
      <w:r>
        <w:t>Parties: Cedar Works Pvt. Ltd. (“Client”) and Bluebird Systems Pvt. Ltd. (“Provider”).</w:t>
      </w:r>
    </w:p>
    <w:p>
      <w:pPr>
        <w:pStyle w:val="Heading2"/>
      </w:pPr>
      <w:r>
        <w:t>1. Services</w:t>
      </w:r>
    </w:p>
    <w:p>
      <w:r>
        <w:t>Provider will develop the agreed software according to a written scope and milestones approved by both parties.</w:t>
      </w:r>
    </w:p>
    <w:p>
      <w:pPr>
        <w:pStyle w:val="Heading2"/>
      </w:pPr>
      <w:r>
        <w:t>2. Payment</w:t>
      </w:r>
    </w:p>
    <w:p>
      <w:r>
        <w:t>Client shall pay undisputed invoices within 30 days. If Client disputes an invoice, it must give written notice explaining the disputed amount within 10 business days. The parties shall attempt to resolve the dispute promptly, and undisputed amounts remain payable.</w:t>
      </w:r>
    </w:p>
    <w:p>
      <w:pPr>
        <w:pStyle w:val="Heading2"/>
      </w:pPr>
      <w:r>
        <w:t>3. Intellectual Property</w:t>
      </w:r>
    </w:p>
    <w:p>
      <w:r>
        <w:t>Each party retains ownership of intellectual property developed or acquired before this Agreement. After full payment, Client owns the bespoke deliverables specifically created for Client under the agreed scope. Provider retains its pre-existing tools, general know-how, reusable components, and independently developed materials. Provider grants Client a perpetual, worldwide, non-exclusive license to any Provider-owned components incorporated into the deliverables, to the extent needed to use those deliverables.</w:t>
      </w:r>
    </w:p>
    <w:p>
      <w:pPr>
        <w:pStyle w:val="Heading2"/>
      </w:pPr>
      <w:r>
        <w:t>4. Indemnification</w:t>
      </w:r>
    </w:p>
    <w:p>
      <w:r>
        <w:t>Each party shall indemnify the other against third-party claims to the extent directly caused by its own infringement of third-party intellectual property rights or its willful misconduct. The indemnified party must provide prompt notice and reasonable cooperation. The indemnifying party may control the defense, but may not settle a claim imposing an admission or non-monetary obligation on the other party without consent.</w:t>
      </w:r>
    </w:p>
    <w:p>
      <w:pPr>
        <w:pStyle w:val="Heading2"/>
      </w:pPr>
      <w:r>
        <w:t>5. Limitation of Liability</w:t>
      </w:r>
    </w:p>
    <w:p>
      <w:r>
        <w:t>Except for the exclusions expressly stated below, each party’s aggregate liability shall not exceed the fees paid or payable under this Agreement during the preceding 12 months. Neither party shall be liable for indirect or consequential loss, except where prohibited by applicable law. The cap and exclusions apply only to the extent permitted by applicable law.</w:t>
      </w:r>
    </w:p>
    <w:p>
      <w:pPr>
        <w:pStyle w:val="Heading2"/>
      </w:pPr>
      <w:r>
        <w:t>6. Warranties</w:t>
      </w:r>
    </w:p>
    <w:p>
      <w:r>
        <w:t>Provider warrants that services will be performed with reasonable professional skill and care. Provider will use commercially reasonable efforts to correct reproducible material defects reported during the 60-day period after acceptance. Provider does not warrant that software will never contain defects or that all services will be uninterrupted.</w:t>
      </w:r>
    </w:p>
    <w:p>
      <w:pPr>
        <w:pStyle w:val="Heading2"/>
      </w:pPr>
      <w:r>
        <w:t>7. Termination</w:t>
      </w:r>
    </w:p>
    <w:p>
      <w:r>
        <w:t>Either party may terminate for a material breach not remedied within 30 days after written notice. Either party may terminate for convenience with 30 days’ written notice. Client shall pay for services properly performed and approved expenses incurred up to the termination date.</w:t>
      </w:r>
    </w:p>
    <w:p>
      <w:pPr>
        <w:pStyle w:val="Heading2"/>
      </w:pPr>
      <w:r>
        <w:t>8. Confidentiality</w:t>
      </w:r>
    </w:p>
    <w:p>
      <w:r>
        <w:t>Each party shall protect the other party’s confidential information using at least reasonable care and use it only to perform or receive services under this Agreement. These obligations survive for five years after termination, except that trade secrets remain protected for as long as they qualify as trade secrets under applicable law.</w:t>
      </w:r>
    </w:p>
    <w:p>
      <w:pPr>
        <w:pStyle w:val="Heading2"/>
      </w:pPr>
      <w:r>
        <w:t>9. Governing Law</w:t>
      </w:r>
    </w:p>
    <w:p>
      <w:r>
        <w:t>This Agreement shall be governed by the laws of Karnataka, India, subject to applicable law.</w:t>
      </w:r>
    </w:p>
    <w:p>
      <w:pPr>
        <w:pStyle w:val="Heading2"/>
      </w:pPr>
      <w:r>
        <w:t>10. Entire Agreement</w:t>
      </w:r>
    </w:p>
    <w:p>
      <w:r>
        <w:t>This document and its written schedules constitute the entire agreement between the parties. Amendments must be in writing and approved by both parties.</w:t>
      </w:r>
    </w:p>
    <w:p>
      <w:r>
        <w:br/>
        <w:t>End of fictional test contract.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