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DEMO CONTRACT D1 — Original Vendor Agreement</w:t>
      </w:r>
    </w:p>
    <w:p>
      <w:pPr>
        <w:jc w:val="center"/>
      </w:pPr>
      <w:r>
        <w:rPr>
          <w:b/>
          <w:sz w:val="18"/>
        </w:rPr>
        <w:t>FICTIONAL TEST DOCUMENT — NOT A REAL CONTRACT. Not legal advice.</w:t>
      </w:r>
    </w:p>
    <w:p>
      <w:r>
        <w:t>Parties: Maple Commerce Pvt. Ltd. (“Client”) and Vertex Digital Pvt. Ltd. (“Vendor”).</w:t>
      </w:r>
    </w:p>
    <w:p>
      <w:pPr>
        <w:pStyle w:val="Heading2"/>
      </w:pPr>
      <w:r>
        <w:t>1. Payment</w:t>
      </w:r>
    </w:p>
    <w:p>
      <w:r>
        <w:t>Client shall pay invoices within 60 days of receipt.</w:t>
      </w:r>
    </w:p>
    <w:p>
      <w:pPr>
        <w:pStyle w:val="Heading2"/>
      </w:pPr>
      <w:r>
        <w:t>2. Liability</w:t>
      </w:r>
    </w:p>
    <w:p>
      <w:r>
        <w:t>Vendor’s aggregate liability shall not exceed the fees paid during the preceding one month. This cap applies to all claims, including indemnification claims, to the extent permitted by applicable law.</w:t>
      </w:r>
    </w:p>
    <w:p>
      <w:pPr>
        <w:pStyle w:val="Heading2"/>
      </w:pPr>
      <w:r>
        <w:t>3. Intellectual Property</w:t>
      </w:r>
    </w:p>
    <w:p>
      <w:r>
        <w:t>Vendor retains ownership of its pre-existing tools, libraries, templates, and general know-how. Upon full payment, Client receives ownership of bespoke deliverables specifically created for Client. Vendor grants Client a perpetual, worldwide, non-exclusive license to embedded Vendor components as necessary to use the deliverables.</w:t>
      </w:r>
    </w:p>
    <w:p>
      <w:pPr>
        <w:pStyle w:val="Heading2"/>
      </w:pPr>
      <w:r>
        <w:t>4. Indemnification</w:t>
      </w:r>
    </w:p>
    <w:p>
      <w:r>
        <w:t>Vendor shall indemnify Client against third-party intellectual property infringement claims arising directly from the unmodified deliverables, subject to the liability provisions of this Agreement.</w:t>
      </w:r>
    </w:p>
    <w:p>
      <w:pPr>
        <w:pStyle w:val="Heading2"/>
      </w:pPr>
      <w:r>
        <w:t>5. Termination</w:t>
      </w:r>
    </w:p>
    <w:p>
      <w:r>
        <w:t>Either party may terminate for material breach if the breach remains uncured 30 days after written notice. Client must pay all undisputed fees for work completed up to termination.</w:t>
      </w:r>
    </w:p>
    <w:p>
      <w:pPr>
        <w:pStyle w:val="Heading2"/>
      </w:pPr>
      <w:r>
        <w:t>6. Confidentiality</w:t>
      </w:r>
    </w:p>
    <w:p>
      <w:r>
        <w:t>Each party shall protect the other party’s confidential information and use it only for purposes of this Agreement.</w:t>
      </w:r>
    </w:p>
    <w:p>
      <w:pPr>
        <w:pStyle w:val="Heading2"/>
      </w:pPr>
      <w:r>
        <w:t>7. Governing Law</w:t>
      </w:r>
    </w:p>
    <w:p>
      <w:r>
        <w:t>The laws of Karnataka, India govern this Agreement.</w:t>
      </w:r>
    </w:p>
    <w:p>
      <w:r>
        <w:br/>
        <w:t>End of fictional test contract.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