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DEMO CONTRACT E — Extended Technology Services Agreement</w:t>
      </w:r>
    </w:p>
    <w:p>
      <w:pPr>
        <w:jc w:val="center"/>
      </w:pPr>
      <w:r>
        <w:rPr>
          <w:b/>
          <w:sz w:val="18"/>
        </w:rPr>
        <w:t>FICTIONAL TEST DOCUMENT — NOT A REAL CONTRACT. Not legal advice.</w:t>
      </w:r>
    </w:p>
    <w:p>
      <w:r>
        <w:t>Parties: Pinecone Logistics Pvt. Ltd. (“Client”) and Silverline Automation Pvt. Ltd. (“Provider”).</w:t>
      </w:r>
    </w:p>
    <w:p>
      <w:pPr>
        <w:pStyle w:val="Heading2"/>
      </w:pPr>
      <w:r>
        <w:t>Part 1 — General Terms</w:t>
      </w:r>
    </w:p>
    <w:p>
      <w:r>
        <w:t>1. Provider will supply software implementation and maintenance services.</w:t>
        <w:br/>
        <w:t>2. Both parties will appoint project contacts.</w:t>
        <w:br/>
        <w:t>3. Project milestones will be agreed in writing.</w:t>
        <w:br/>
        <w:t>4. Each party must comply with applicable law.</w:t>
        <w:br/>
        <w:t>5. The parties will cooperate in good faith to resolve operational issues.</w:t>
      </w:r>
    </w:p>
    <w:p>
      <w:pPr>
        <w:pStyle w:val="Heading2"/>
      </w:pPr>
      <w:r>
        <w:t>Part 2 — Delivery and Acceptance</w:t>
      </w:r>
    </w:p>
    <w:p>
      <w:r>
        <w:t>6. Provider will deliver the agreed milestones.</w:t>
        <w:br/>
        <w:t>7. Client will review each milestone within 10 business days.</w:t>
        <w:br/>
        <w:t>8. Client must identify material defects in writing.</w:t>
        <w:br/>
        <w:t>9. Provider will use reasonable efforts to correct verified defects.</w:t>
        <w:br/>
        <w:t>10. A milestone may be accepted in writing.</w:t>
      </w:r>
    </w:p>
    <w:p>
      <w:pPr>
        <w:pStyle w:val="Heading2"/>
      </w:pPr>
      <w:r>
        <w:t>Part 3 — Operations</w:t>
      </w:r>
    </w:p>
    <w:p>
      <w:r>
        <w:t>11. Provider will maintain reasonable service records.</w:t>
        <w:br/>
        <w:t>12. Client will provide timely access to necessary systems.</w:t>
        <w:br/>
        <w:t>13. Each party will maintain appropriate access controls.</w:t>
        <w:br/>
        <w:t>14. Project changes require written approval.</w:t>
        <w:br/>
        <w:t>15. Neither party may assign this Agreement without the other party’s written consent, except to a successor in a merger or sale of substantially all assets.</w:t>
      </w:r>
    </w:p>
    <w:p>
      <w:pPr>
        <w:pStyle w:val="Heading2"/>
      </w:pPr>
      <w:r>
        <w:t>Part 4 — Routine Provisions</w:t>
      </w:r>
    </w:p>
    <w:p>
      <w:r>
        <w:t>16. Notices must be sent to the designated business contacts.</w:t>
        <w:br/>
        <w:t>17. Each party is responsible for its own personnel.</w:t>
        <w:br/>
        <w:t>18. Neither party is a partner or agent of the other.</w:t>
        <w:br/>
        <w:t>19. Invalid provisions will be severed to the extent permitted by law.</w:t>
        <w:br/>
        <w:t>20. Failure to enforce a right once does not waive that right.</w:t>
        <w:br/>
        <w:t>21. This Agreement may be signed electronically.</w:t>
        <w:br/>
        <w:t>22. Amendments must be in writing.</w:t>
        <w:br/>
        <w:t>23. Each party will maintain reasonable records relevant to its obligations.</w:t>
        <w:br/>
        <w:t>24. The parties will review project status monthly.</w:t>
        <w:br/>
        <w:t>25. Neither party guarantees a particular commercial outcome.</w:t>
      </w:r>
    </w:p>
    <w:p>
      <w:pPr>
        <w:pStyle w:val="Heading2"/>
      </w:pPr>
      <w:r>
        <w:t>Part 5 — Financial and Risk Terms</w:t>
      </w:r>
    </w:p>
    <w:p>
      <w:r>
        <w:t>26. Client shall pay invoices within 30 days.</w:t>
        <w:br/>
        <w:t>27. Undisputed amounts remain payable while a dispute is resolved.</w:t>
        <w:br/>
        <w:t>28. Each party retains ownership of its pre-existing intellectual property.</w:t>
        <w:br/>
        <w:t>29. Client owns bespoke deliverables after full payment.</w:t>
        <w:br/>
        <w:t>30. Provider grants Client a perpetual license to embedded Provider components necessary to use the deliverables.</w:t>
        <w:br/>
        <w:t>31. Provider shall indemnify Client against covered third-party IP infringement claims.</w:t>
        <w:br/>
        <w:t>32. Provider’s aggregate liability shall not exceed fees paid during the preceding one month.</w:t>
        <w:br/>
        <w:t>33. Provider shall indemnify Client against all losses of any kind without any financial limit, including losses arising from Client’s own negligence.</w:t>
        <w:br/>
        <w:t>34. Each party shall protect the other party’s confidential information.</w:t>
        <w:br/>
        <w:t>35. Confidentiality obligations survive termination for five years.</w:t>
        <w:br/>
        <w:t>36. Either party may terminate for material breach after 30 days’ written notice and an opportunity to cure.</w:t>
        <w:br/>
        <w:t>37. Client must pay for services properly performed before termination.</w:t>
        <w:br/>
        <w:t>38. Provider warrants that services will be performed with reasonable professional skill and care.</w:t>
        <w:br/>
        <w:t>39. The Agreement is governed by the laws of Karnataka, India.</w:t>
        <w:br/>
        <w:t>40. The parties shall first attempt to resolve disputes through good-faith discussions.</w:t>
      </w:r>
    </w:p>
    <w:p>
      <w:r>
        <w:br/>
        <w:t>End of fictional test contract.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