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Demo Contract Test Pack — Expected Results</w:t>
      </w:r>
    </w:p>
    <w:p>
      <w:r>
        <w:rPr>
          <w:b/>
        </w:rPr>
        <w:t>All documents are fictional synthetic test fixtures. They are not legal advice and should not be used as real agreements.</w:t>
      </w:r>
    </w:p>
    <w:p>
      <w:pPr>
        <w:pStyle w:val="Heading1"/>
      </w:pPr>
      <w:r>
        <w:t>Test sequence</w:t>
      </w:r>
    </w:p>
    <w:p>
      <w:r>
        <w:t>1. Upload Contract A and analyze it. Confirm that serious one-sided clauses are found with exact source quotes.</w:t>
      </w:r>
    </w:p>
    <w:p>
      <w:r>
        <w:t>2. Upload Contract B. Confirm that reasonable provisions do not all receive high-severity labels.</w:t>
      </w:r>
    </w:p>
    <w:p>
      <w:r>
        <w:t>3. Upload Contract C. Confirm that both sides of each contradiction are cited.</w:t>
      </w:r>
    </w:p>
    <w:p>
      <w:r>
        <w:t>4. Compare D1 (original) with D2 (counterproposal). Confirm changed and unchanged terms are distinguished.</w:t>
      </w:r>
    </w:p>
    <w:p>
      <w:r>
        <w:t>5. Upload Contract E. Confirm the later risk clauses are detected, with no chunk-boundary omissions or duplicate findings.</w:t>
      </w:r>
    </w:p>
    <w:p>
      <w:pPr>
        <w:pStyle w:val="Heading1"/>
      </w:pPr>
      <w:r>
        <w:t>Expected results by file</w:t>
      </w:r>
    </w:p>
    <w:p>
      <w:pPr>
        <w:pStyle w:val="Heading2"/>
      </w:pPr>
      <w:r>
        <w:t>Contract A — High-risk services agreement</w:t>
      </w:r>
    </w:p>
    <w:p>
      <w:pPr>
        <w:pStyle w:val="ListBullet"/>
      </w:pPr>
      <w:r>
        <w:t>Section 2: 90-day payment and unrestricted withholding; medium to high risk.</w:t>
      </w:r>
    </w:p>
    <w:p>
      <w:pPr>
        <w:pStyle w:val="ListBullet"/>
      </w:pPr>
      <w:r>
        <w:t>Section 3: transfer of pre-existing IP and know-how, even before payment; high risk.</w:t>
      </w:r>
    </w:p>
    <w:p>
      <w:pPr>
        <w:pStyle w:val="ListBullet"/>
      </w:pPr>
      <w:r>
        <w:t>Section 4: unlimited one-sided indemnity that includes Client-caused losses; high risk.</w:t>
      </w:r>
    </w:p>
    <w:p>
      <w:pPr>
        <w:pStyle w:val="ListBullet"/>
      </w:pPr>
      <w:r>
        <w:t>Section 5: one-month liability cap and unclear relationship with indemnity; high/context-dependent risk.</w:t>
      </w:r>
    </w:p>
    <w:p>
      <w:pPr>
        <w:pStyle w:val="ListBullet"/>
      </w:pPr>
      <w:r>
        <w:t>Section 6: absolute, broad warranties covering every attack and future systems for five years; high risk.</w:t>
      </w:r>
    </w:p>
    <w:p>
      <w:pPr>
        <w:pStyle w:val="ListBullet"/>
      </w:pPr>
      <w:r>
        <w:t>Section 7: asymmetric termination and no express payment protection for completed work; high risk.</w:t>
      </w:r>
    </w:p>
    <w:p>
      <w:pPr>
        <w:pStyle w:val="ListBullet"/>
      </w:pPr>
      <w:r>
        <w:t>Section 8: confidentiality survives two years; context-dependent low/medium risk, not automatically high.</w:t>
      </w:r>
    </w:p>
    <w:p>
      <w:pPr>
        <w:pStyle w:val="Heading2"/>
      </w:pPr>
      <w:r>
        <w:t>Contract B — Balanced services agreement</w:t>
      </w:r>
    </w:p>
    <w:p>
      <w:pPr>
        <w:pStyle w:val="ListBullet"/>
      </w:pPr>
      <w:r>
        <w:t>Expect a more balanced overall profile. Payment dispute process is defined; pre-existing IP remains with its owner; bespoke deliverables transfer after full payment; indemnity is limited to specified third-party claims; termination is mutual.</w:t>
      </w:r>
    </w:p>
    <w:p>
      <w:pPr>
        <w:pStyle w:val="ListBullet"/>
      </w:pPr>
      <w:r>
        <w:t>Some contextual observations may still be reasonable, but the model should not fabricate critical issues or give it the same risk profile as Contract A.</w:t>
      </w:r>
    </w:p>
    <w:p>
      <w:pPr>
        <w:pStyle w:val="Heading2"/>
      </w:pPr>
      <w:r>
        <w:t>Contract C — Conflicting terms</w:t>
      </w:r>
    </w:p>
    <w:p>
      <w:pPr>
        <w:pStyle w:val="ListBullet"/>
      </w:pPr>
      <w:r>
        <w:t>Payment: 15-day and 90-day deadlines conflict.</w:t>
      </w:r>
    </w:p>
    <w:p>
      <w:pPr>
        <w:pStyle w:val="ListBullet"/>
      </w:pPr>
      <w:r>
        <w:t>Liability: ₹1,00,000 general cap conflicts/overlaps with ₹50,00,000 Provider cap; precedence is unspecified.</w:t>
      </w:r>
    </w:p>
    <w:p>
      <w:pPr>
        <w:pStyle w:val="ListBullet"/>
      </w:pPr>
      <w:r>
        <w:t>Termination: mutual 30-day notice conflicts with Client’s immediate termination right for itself.</w:t>
      </w:r>
    </w:p>
    <w:p>
      <w:pPr>
        <w:pStyle w:val="ListBullet"/>
      </w:pPr>
      <w:r>
        <w:t>IP: pre-existing IP is retained in Section 4.1 but transferred in Section 4.2.</w:t>
      </w:r>
    </w:p>
    <w:p>
      <w:pPr>
        <w:pStyle w:val="ListBullet"/>
      </w:pPr>
      <w:r>
        <w:t>Pass only if evidence from both relevant clauses is provided and the model does not assert a definitive legal interpretation.</w:t>
      </w:r>
    </w:p>
    <w:p>
      <w:pPr>
        <w:pStyle w:val="Heading2"/>
      </w:pPr>
      <w:r>
        <w:t>Contracts D1 and D2 — Cross-document comparison</w:t>
      </w:r>
    </w:p>
    <w:p>
      <w:pPr>
        <w:pStyle w:val="ListBullet"/>
      </w:pPr>
      <w:r>
        <w:t>Payment: 60 days in D1 changes to 15 days in D2; new 1% monthly interest is added.</w:t>
      </w:r>
    </w:p>
    <w:p>
      <w:pPr>
        <w:pStyle w:val="ListBullet"/>
      </w:pPr>
      <w:r>
        <w:t>Liability: one-month fee cap changes to 12 months of fees; D2 adds a fraud/willful-misconduct carve-out to the extent enforceable.</w:t>
      </w:r>
    </w:p>
    <w:p>
      <w:pPr>
        <w:pStyle w:val="ListBullet"/>
      </w:pPr>
      <w:r>
        <w:t>IP, indemnity core, termination, confidentiality, and governing law are materially unchanged.</w:t>
      </w:r>
    </w:p>
    <w:p>
      <w:pPr>
        <w:pStyle w:val="ListBullet"/>
      </w:pPr>
      <w:r>
        <w:t>Pass if the model identifies direction of change, quotes evidence from both documents, and does not claim unchanged terms were revised.</w:t>
      </w:r>
    </w:p>
    <w:p>
      <w:pPr>
        <w:pStyle w:val="Heading2"/>
      </w:pPr>
      <w:r>
        <w:t>Contract E — Long-document/chunking test</w:t>
      </w:r>
    </w:p>
    <w:p>
      <w:pPr>
        <w:pStyle w:val="ListBullet"/>
      </w:pPr>
      <w:r>
        <w:t>Clause 33 must be detected as unlimited indemnity, including losses arising from Client’s own negligence.</w:t>
      </w:r>
    </w:p>
    <w:p>
      <w:pPr>
        <w:pStyle w:val="ListBullet"/>
      </w:pPr>
      <w:r>
        <w:t>Clause 32 must be considered alongside Clause 33 because the interaction between the one-month cap and unlimited indemnity is unclear.</w:t>
      </w:r>
    </w:p>
    <w:p>
      <w:pPr>
        <w:pStyle w:val="ListBullet"/>
      </w:pPr>
      <w:r>
        <w:t>Check for verbatim evidence, plausible section/page references, no chunk-boundary omissions, and no duplicated findings.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Every finding includes a quote that exists verbatim in the extracted contract text.</w:t>
      </w:r>
    </w:p>
    <w:p>
      <w:pPr>
        <w:pStyle w:val="ListBullet"/>
      </w:pPr>
      <w:r>
        <w:t>Page numbers, if provided, are grounded in extraction metadata; do not fail a text-only DOCX test solely because page boundaries are not reliable.</w:t>
      </w:r>
    </w:p>
    <w:p>
      <w:pPr>
        <w:pStyle w:val="ListBullet"/>
      </w:pPr>
      <w:r>
        <w:t>Severity is proportionate to the clause and sensitivity setting; exact numerical scores may vary by model.</w:t>
      </w:r>
    </w:p>
    <w:p>
      <w:pPr>
        <w:pStyle w:val="ListBullet"/>
      </w:pPr>
      <w:r>
        <w:t>Suggested language addresses the identified clause and is clearly presented as a proposal, not legal advice.</w:t>
      </w:r>
    </w:p>
    <w:p>
      <w:pPr>
        <w:pStyle w:val="ListBullet"/>
      </w:pPr>
      <w:r>
        <w:t>Analysis results persist and can be retrieved after page refresh.</w:t>
      </w:r>
    </w:p>
    <w:p>
      <w:pPr>
        <w:pStyle w:val="ListBullet"/>
      </w:pPr>
      <w:r>
        <w:t>With a missing/invalid API key or provider outage, behavior matches the product's documented fallback/error policy; verify that provider metadata distinguishes live AI from deterministic fallback.</w:t>
      </w:r>
    </w:p>
    <w:p>
      <w:pPr>
        <w:pStyle w:val="Heading1"/>
      </w:pPr>
      <w:r>
        <w:t>Negative and edge-case tests (manual)</w:t>
      </w:r>
    </w:p>
    <w:p>
      <w:pPr>
        <w:pStyle w:val="ListBullet"/>
      </w:pPr>
      <w:r>
        <w:t>Corrupted PDF: expect a clear extraction error, not invented contract text.</w:t>
      </w:r>
    </w:p>
    <w:p>
      <w:pPr>
        <w:pStyle w:val="ListBullet"/>
      </w:pPr>
      <w:r>
        <w:t>Unsupported file extension: expect validation rejection with a clear message.</w:t>
      </w:r>
    </w:p>
    <w:p>
      <w:pPr>
        <w:pStyle w:val="ListBullet"/>
      </w:pPr>
      <w:r>
        <w:t>Scanned/image-only PDF: expect an explicit OCR/unsupported-content limitation if OCR is not implemented.</w:t>
      </w:r>
    </w:p>
    <w:p>
      <w:pPr>
        <w:pStyle w:val="ListBullet"/>
      </w:pPr>
      <w:r>
        <w:t>Very large document: expect bounded processing, clear errors if limits are exceeded, and no silent truncation.</w:t>
      </w:r>
    </w:p>
    <w:p>
      <w:pPr>
        <w:pStyle w:val="Heading1"/>
      </w:pPr>
      <w:r>
        <w:t>Security note</w:t>
      </w:r>
    </w:p>
    <w:p>
      <w:r>
        <w:t>Never put API keys into contract files, screenshots, logs, test fixtures, or Git. Use synthetic documents only. This pack tests software behavior and is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