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DEMO CONTRACT A — High-Risk Software Services Agreement</w:t>
      </w:r>
    </w:p>
    <w:p>
      <w:pPr>
        <w:jc w:val="center"/>
      </w:pPr>
      <w:r>
        <w:rPr>
          <w:b/>
          <w:sz w:val="18"/>
        </w:rPr>
        <w:t>FICTIONAL TEST DOCUMENT — NOT A REAL CONTRACT. Not legal advice.</w:t>
      </w:r>
    </w:p>
    <w:p>
      <w:r>
        <w:t>Effective date: 1 October 2026</w:t>
        <w:br/>
        <w:t>Parties: Redstone Retail Pvt. Ltd. (“Client”) and Nimbus Labs Pvt. Ltd. (“Provider”).</w:t>
      </w:r>
    </w:p>
    <w:p>
      <w:pPr>
        <w:pStyle w:val="Heading2"/>
      </w:pPr>
      <w:r>
        <w:t>1. Services</w:t>
      </w:r>
    </w:p>
    <w:p>
      <w:r>
        <w:t>Provider will build and maintain a custom inventory-management application for Client. Delivery milestones will be agreed by email.</w:t>
      </w:r>
    </w:p>
    <w:p>
      <w:pPr>
        <w:pStyle w:val="Heading2"/>
      </w:pPr>
      <w:r>
        <w:t>2. Payment</w:t>
      </w:r>
    </w:p>
    <w:p>
      <w:r>
        <w:t>Client shall pay invoices within 90 days of receipt. Client may withhold any amount for any reason, including minor dissatisfaction, without providing written notice. Provider shall continue performing all services while payment is withheld.</w:t>
      </w:r>
    </w:p>
    <w:p>
      <w:pPr>
        <w:pStyle w:val="Heading2"/>
      </w:pPr>
      <w:r>
        <w:t>3. Intellectual Property</w:t>
      </w:r>
    </w:p>
    <w:p>
      <w:r>
        <w:t>All intellectual property, including Provider’s pre-existing libraries, reusable tools, generic algorithms, templates, know-how, and future improvements, shall become the exclusive property of Client upon signing this Agreement, whether or not Client has paid the relevant invoice.</w:t>
      </w:r>
    </w:p>
    <w:p>
      <w:pPr>
        <w:pStyle w:val="Heading2"/>
      </w:pPr>
      <w:r>
        <w:t>4. Indemnification</w:t>
      </w:r>
    </w:p>
    <w:p>
      <w:r>
        <w:t>Provider shall indemnify, defend, and hold harmless Client against all losses, claims, damages, penalties, legal fees, and liabilities of any kind, without any financial limit, including claims caused partly by Client’s own negligence, misuse, or unauthorized modifications.</w:t>
      </w:r>
    </w:p>
    <w:p>
      <w:pPr>
        <w:pStyle w:val="Heading2"/>
      </w:pPr>
      <w:r>
        <w:t>5. Limitation of Liability</w:t>
      </w:r>
    </w:p>
    <w:p>
      <w:r>
        <w:t>The total aggregate liability of either party shall not exceed the fees paid by Client to Provider during the preceding one month. This limitation does not expressly address the indemnification obligations in Section 4.</w:t>
      </w:r>
    </w:p>
    <w:p>
      <w:pPr>
        <w:pStyle w:val="Heading2"/>
      </w:pPr>
      <w:r>
        <w:t>6. Warranties</w:t>
      </w:r>
    </w:p>
    <w:p>
      <w:r>
        <w:t>Provider warrants that the software will be completely error-free, uninterrupted, secure against every possible cyberattack, and compatible with all current and future third-party systems for five years.</w:t>
      </w:r>
    </w:p>
    <w:p>
      <w:pPr>
        <w:pStyle w:val="Heading2"/>
      </w:pPr>
      <w:r>
        <w:t>7. Termination</w:t>
      </w:r>
    </w:p>
    <w:p>
      <w:r>
        <w:t>Client may terminate this Agreement immediately, for any reason, without notice or payment for completed but unpaid work. Provider may terminate only if Client fails to pay an invoice for 180 days after its due date.</w:t>
      </w:r>
    </w:p>
    <w:p>
      <w:pPr>
        <w:pStyle w:val="Heading2"/>
      </w:pPr>
      <w:r>
        <w:t>8. Confidentiality</w:t>
      </w:r>
    </w:p>
    <w:p>
      <w:r>
        <w:t>Provider shall protect Client’s confidential information using reasonable security measures. This obligation survives termination for two years.</w:t>
      </w:r>
    </w:p>
    <w:p>
      <w:pPr>
        <w:pStyle w:val="Heading2"/>
      </w:pPr>
      <w:r>
        <w:t>9. Governing Law</w:t>
      </w:r>
    </w:p>
    <w:p>
      <w:r>
        <w:t>This Agreement shall be governed by the laws of Karnataka, India.</w:t>
      </w:r>
    </w:p>
    <w:p>
      <w:pPr>
        <w:pStyle w:val="Heading2"/>
      </w:pPr>
      <w:r>
        <w:t>10. Entire Agreement</w:t>
      </w:r>
    </w:p>
    <w:p>
      <w:r>
        <w:t>This document constitutes the entire agreement between the parties, subject to applicable law.</w:t>
      </w:r>
    </w:p>
    <w:p>
      <w:r>
        <w:br/>
        <w:t>End of fictional test contract.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