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is entered into between Redstone Retail Pvt. Ltd. ('Client') and Nimbus Labs Pvt. Ltd. ('Contractor').</w:t>
      </w:r>
    </w:p>
    <w:p>
      <w:pPr>
        <w:pStyle w:val="Heading2"/>
      </w:pPr>
      <w:r>
        <w:t>Section 2: Payment Terms</w:t>
      </w:r>
    </w:p>
    <w:p>
      <w:r>
        <w:t>Client shall remit payment within ninety (90) days following invoice submission. Client reserves the right to unrestricted withholding of any disputed portions without penalty or interest.</w:t>
      </w:r>
    </w:p>
    <w:p>
      <w:pPr>
        <w:pStyle w:val="Heading2"/>
      </w:pPr>
      <w:r>
        <w:t>Section 3: Intellectual Property</w:t>
      </w:r>
    </w:p>
    <w:p>
      <w:r>
        <w:t>Contractor irrevocably transfers, assigns, and sets over to Client all right, title, and interest throughout the universe in all Work Product, background frameworks, and code without reservation.</w:t>
      </w:r>
    </w:p>
    <w:p>
      <w:pPr>
        <w:pStyle w:val="Heading2"/>
      </w:pPr>
      <w:r>
        <w:t>Section 4: Indemnification</w:t>
      </w:r>
    </w:p>
    <w:p>
      <w:r>
        <w:t>Contractor shall defend, indemnify, and hold harmless Client from and against any and all claims, liabilities, losses, damages, costs, and expenses, including losses partly caused by the Client.</w:t>
      </w:r>
    </w:p>
    <w:p>
      <w:pPr>
        <w:pStyle w:val="Heading2"/>
      </w:pPr>
      <w:r>
        <w:t>Section 5: Limitation of Liability</w:t>
      </w:r>
    </w:p>
    <w:p>
      <w:r>
        <w:t>Contractor total aggregate liability under this Agreement shall not exceed the fees actually paid to Contractor in the preceding one month.</w:t>
      </w:r>
    </w:p>
    <w:p>
      <w:pPr>
        <w:pStyle w:val="Heading2"/>
      </w:pPr>
      <w:r>
        <w:t>Section 7: Termination</w:t>
      </w:r>
    </w:p>
    <w:p>
      <w:r>
        <w:t>Client may terminate this Agreement at any time, for any reason, with one-sided termination immediately effective upon notice and without 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