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DEMO CONTRACT C — Conflicting Terms Agreement</w:t>
      </w:r>
    </w:p>
    <w:p>
      <w:pPr>
        <w:jc w:val="center"/>
      </w:pPr>
      <w:r>
        <w:rPr>
          <w:b/>
          <w:sz w:val="18"/>
        </w:rPr>
        <w:t>FICTIONAL TEST DOCUMENT — NOT A REAL CONTRACT. Not legal advice.</w:t>
      </w:r>
    </w:p>
    <w:p>
      <w:r>
        <w:t>Parties: Amberline Foods Pvt. Ltd. (“Client”) and Orbit Software Pvt. Ltd. (“Provider”).</w:t>
      </w:r>
    </w:p>
    <w:p>
      <w:pPr>
        <w:pStyle w:val="Heading2"/>
      </w:pPr>
      <w:r>
        <w:t>1. Payment</w:t>
      </w:r>
    </w:p>
    <w:p>
      <w:r>
        <w:t>Section 1.1: Client must pay every invoice within 15 days of receipt.</w:t>
      </w:r>
    </w:p>
    <w:p>
      <w:r>
        <w:t>Section 1.2: Notwithstanding Section 1.1, all invoices are payable within 90 days of receipt.</w:t>
      </w:r>
    </w:p>
    <w:p>
      <w:pPr>
        <w:pStyle w:val="Heading2"/>
      </w:pPr>
      <w:r>
        <w:t>2. Liability</w:t>
      </w:r>
    </w:p>
    <w:p>
      <w:r>
        <w:t>Section 2.1: Neither party’s aggregate liability shall exceed ₹1,00,000.</w:t>
      </w:r>
    </w:p>
    <w:p>
      <w:r>
        <w:t>Section 2.2: Provider’s aggregate liability for all claims shall not exceed ₹50,00,000.</w:t>
      </w:r>
    </w:p>
    <w:p>
      <w:r>
        <w:t>Section 2.3: This Agreement does not specify which liability cap takes precedence when Sections 2.1 and 2.2 both apply.</w:t>
      </w:r>
    </w:p>
    <w:p>
      <w:pPr>
        <w:pStyle w:val="Heading2"/>
      </w:pPr>
      <w:r>
        <w:t>3. Termination</w:t>
      </w:r>
    </w:p>
    <w:p>
      <w:r>
        <w:t>Section 3.1: Either party may terminate this Agreement by giving 30 days’ written notice.</w:t>
      </w:r>
    </w:p>
    <w:p>
      <w:r>
        <w:t>Section 3.2: Client may terminate this Agreement immediately without notice or cause.</w:t>
      </w:r>
    </w:p>
    <w:p>
      <w:pPr>
        <w:pStyle w:val="Heading2"/>
      </w:pPr>
      <w:r>
        <w:t>4. Intellectual Property</w:t>
      </w:r>
    </w:p>
    <w:p>
      <w:r>
        <w:t>Section 4.1: Each party retains ownership of its pre-existing intellectual property.</w:t>
      </w:r>
    </w:p>
    <w:p>
      <w:r>
        <w:t>Section 4.2: All tools, libraries, source code, and methods used by Provider become Client’s property upon signing, including materials Provider owned before this Agreement.</w:t>
      </w:r>
    </w:p>
    <w:p>
      <w:pPr>
        <w:pStyle w:val="Heading2"/>
      </w:pPr>
      <w:r>
        <w:t>5. Confidentiality</w:t>
      </w:r>
    </w:p>
    <w:p>
      <w:r>
        <w:t>Each party must protect the other party’s confidential information and may use it only for performing this Agreement.</w:t>
      </w:r>
    </w:p>
    <w:p>
      <w:pPr>
        <w:pStyle w:val="Heading2"/>
      </w:pPr>
      <w:r>
        <w:t>6. Governing Law</w:t>
      </w:r>
    </w:p>
    <w:p>
      <w:r>
        <w:t>This Agreement shall be governed by the laws of Karnataka, India.</w:t>
      </w:r>
    </w:p>
    <w:p>
      <w:r>
        <w:br/>
        <w:t>End of fictional test contract.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