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44"/>
          <w:szCs w:val="44"/>
        </w:rPr>
        <w:t xml:space="preserve">Predicting Term-Deposit Subscription in Retail Banking</w:t>
      </w:r>
    </w:p>
    <w:p>
      <w:pPr>
        <w:spacing w:after="100" w:before="200"/>
        <w:jc w:val="center"/>
      </w:pPr>
      <w:r>
        <w:rPr>
          <w:color w:val="2F5496"/>
          <w:sz w:val="26"/>
          <w:szCs w:val="26"/>
        </w:rPr>
        <w:t xml:space="preserve">An End-to-End Data Science Project: Cleaning, EDA, Statistical Modelling, Machine Learning and Business Impact</w:t>
      </w:r>
    </w:p>
    <w:p>
      <w:pPr>
        <w:spacing w:after="500"/>
        <w:jc w:val="center"/>
      </w:pPr>
      <w:r>
        <w:rPr>
          <w:i/>
          <w:iCs/>
          <w:color w:val="555555"/>
          <w:sz w:val="22"/>
          <w:szCs w:val="22"/>
        </w:rPr>
        <w:t xml:space="preserve">Dataset: UCI Bank Marketing (BFSI) | Final Project — Week 6</w:t>
      </w:r>
    </w:p>
    <w:p>
      <w:pPr>
        <w:spacing w:before="700"/>
        <w:jc w:val="center"/>
      </w:pPr>
      <w:r>
        <w:rPr>
          <w:sz w:val="24"/>
          <w:szCs w:val="24"/>
        </w:rPr>
        <w:t xml:space="preserve">Prepared by: Kunal</w:t>
      </w:r>
    </w:p>
    <w:p>
      <w:pPr>
        <w:jc w:val="center"/>
      </w:pPr>
      <w:r>
        <w:rPr>
          <w:sz w:val="22"/>
          <w:szCs w:val="22"/>
        </w:rPr>
        <w:t xml:space="preserve">October 2026</w:t>
      </w:r>
    </w:p>
    <w:p>
      <w:r>
        <w:br w:type="page"/>
      </w:r>
    </w:p>
    <w:p>
      <w:pPr>
        <w:pStyle w:val="Heading1"/>
        <w:spacing w:after="150" w:before="320"/>
      </w:pPr>
      <w:r>
        <w:t xml:space="preserve">Contents</w:t>
      </w:r>
    </w:p>
    <w:p>
      <w:pPr>
        <w:spacing w:after="120"/>
      </w:pPr>
      <w:r>
        <w:t xml:space="preserve">Executive Summary</w:t>
      </w:r>
    </w:p>
    <w:p>
      <w:pPr>
        <w:spacing w:after="120"/>
      </w:pPr>
      <w:r>
        <w:t xml:space="preserve">1. Problem Definition</w:t>
      </w:r>
    </w:p>
    <w:p>
      <w:pPr>
        <w:spacing w:after="120"/>
      </w:pPr>
      <w:r>
        <w:t xml:space="preserve">2. Data Collection and Description</w:t>
      </w:r>
    </w:p>
    <w:p>
      <w:pPr>
        <w:spacing w:after="120"/>
      </w:pPr>
      <w:r>
        <w:t xml:space="preserve">3. Data Preprocessing</w:t>
      </w:r>
    </w:p>
    <w:p>
      <w:pPr>
        <w:spacing w:after="120"/>
      </w:pPr>
      <w:r>
        <w:t xml:space="preserve">4. Exploratory Data Analysis</w:t>
      </w:r>
    </w:p>
    <w:p>
      <w:pPr>
        <w:spacing w:after="120"/>
      </w:pPr>
      <w:r>
        <w:t xml:space="preserve">5. Hypothesis Testing</w:t>
      </w:r>
    </w:p>
    <w:p>
      <w:pPr>
        <w:spacing w:after="120"/>
      </w:pPr>
      <w:r>
        <w:t xml:space="preserve">6. Statistical Modelling (Logistic Regression)</w:t>
      </w:r>
    </w:p>
    <w:p>
      <w:pPr>
        <w:spacing w:after="120"/>
      </w:pPr>
      <w:r>
        <w:t xml:space="preserve">7. Machine Learning: Selection, Tuning and Evaluation</w:t>
      </w:r>
    </w:p>
    <w:p>
      <w:pPr>
        <w:spacing w:after="120"/>
      </w:pPr>
      <w:r>
        <w:t xml:space="preserve">8. Business Impact</w:t>
      </w:r>
    </w:p>
    <w:p>
      <w:pPr>
        <w:spacing w:after="120"/>
      </w:pPr>
      <w:r>
        <w:t xml:space="preserve">9. Implications and Recommendations</w:t>
      </w:r>
    </w:p>
    <w:p>
      <w:pPr>
        <w:spacing w:after="120"/>
      </w:pPr>
      <w:r>
        <w:t xml:space="preserve">10. Limitations</w:t>
      </w:r>
    </w:p>
    <w:p>
      <w:pPr>
        <w:spacing w:after="120"/>
      </w:pPr>
      <w:r>
        <w:t xml:space="preserve">11. Further Work</w:t>
      </w:r>
    </w:p>
    <w:p>
      <w:pPr>
        <w:spacing w:after="120"/>
      </w:pPr>
      <w:r>
        <w:t xml:space="preserve">12. Conclusion</w:t>
      </w:r>
    </w:p>
    <w:p>
      <w:pPr>
        <w:spacing w:after="120"/>
      </w:pPr>
      <w:r>
        <w:t xml:space="preserve">Appendix A: Project Structure and Reproducibility</w:t>
      </w:r>
    </w:p>
    <w:p>
      <w:pPr>
        <w:spacing w:after="120"/>
      </w:pPr>
      <w:r>
        <w:t xml:space="preserve">Appendix B: References</w:t>
      </w:r>
    </w:p>
    <w:p>
      <w:r>
        <w:br w:type="page"/>
      </w:r>
    </w:p>
    <w:p>
      <w:pPr>
        <w:pStyle w:val="Heading1"/>
        <w:spacing w:after="150" w:before="320"/>
      </w:pPr>
      <w:r>
        <w:t xml:space="preserve">Executive Summary</w:t>
      </w:r>
    </w:p>
    <w:p>
      <w:pPr>
        <w:spacing w:after="120"/>
      </w:pPr>
      <w:r>
        <w:t xml:space="preserve">A retail bank's telemarketing team converts only 11.3% of calls into term-deposit subscriptions, so most call effort is spent on clients who say no. This project uses the public UCI Bank Marketing dataset (41,188 calls, 21 columns) to answer two questions: which factors are associated with a successful call, and can a model rank clients well enough to focus calls on the most promising ones?</w:t>
      </w:r>
    </w:p>
    <w:p>
      <w:pPr>
        <w:spacing w:after="120"/>
      </w:pPr>
      <w:r>
        <w:t xml:space="preserve">The full pipeline was followed: data cleaning, exploratory analysis, hypothesis tests, logistic regression for inference, four machine-learning algorithms compared with 5-fold cross-validation, randomised hyper-parameter tuning, held-out test evaluation, and a business-impact (gain/lift) analysis.</w:t>
      </w:r>
    </w:p>
    <w:p>
      <w:pPr>
        <w:spacing w:after="120"/>
      </w:pPr>
      <w:r>
        <w:rPr>
          <w:b/>
          <w:bCs/>
        </w:rPr>
        <w:t xml:space="preserve">Key findings:</w:t>
      </w:r>
    </w:p>
    <w:p>
      <w:pPr>
        <w:pStyle w:val="ListParagraph"/>
        <w:numPr>
          <w:ilvl w:val="0"/>
          <w:numId w:val="2"/>
        </w:numPr>
        <w:spacing w:after="60"/>
      </w:pPr>
      <w:r>
        <w:t xml:space="preserve">Prior campaign success is the strongest behavioural signal: conversion is 65.11% for previously successful clients versus 8.83% for never-contacted clients, and the adjusted odds ratio is 6.10 (95% CI 5.24-7.09).</w:t>
      </w:r>
    </w:p>
    <w:p>
      <w:pPr>
        <w:pStyle w:val="ListParagraph"/>
        <w:numPr>
          <w:ilvl w:val="0"/>
          <w:numId w:val="2"/>
        </w:numPr>
        <w:spacing w:after="60"/>
      </w:pPr>
      <w:r>
        <w:t xml:space="preserve">Cellular contact converts at 14.74% versus 5.23% for landline; adjusted for other factors, landline contact has 0.55x the odds of cellular (about 45% lower).</w:t>
      </w:r>
    </w:p>
    <w:p>
      <w:pPr>
        <w:pStyle w:val="ListParagraph"/>
        <w:numPr>
          <w:ilvl w:val="0"/>
          <w:numId w:val="2"/>
        </w:numPr>
        <w:spacing w:after="60"/>
      </w:pPr>
      <w:r>
        <w:t xml:space="preserve">Three of the macro-economic indicators are severely collinear (VIF up to 64.5); keeping only nr_employed stabilises the coefficients but costs model fit (AIC +181), a trade-off documented in Section 6.</w:t>
      </w:r>
    </w:p>
    <w:p>
      <w:pPr>
        <w:pStyle w:val="ListParagraph"/>
        <w:numPr>
          <w:ilvl w:val="0"/>
          <w:numId w:val="2"/>
        </w:numPr>
        <w:spacing w:after="60"/>
      </w:pPr>
      <w:r>
        <w:t xml:space="preserve">Age is not significant as a linear term in the full model (OR 1.002, p = 0.29), but the age-subscription relationship is strongly U-shaped (20.96% for under-25s, 8.51% for 35-45, 46.93% for over-65s), so the non-significant linear term should not be read as "age does not matter".</w:t>
      </w:r>
    </w:p>
    <w:p>
      <w:pPr>
        <w:pStyle w:val="ListParagraph"/>
        <w:numPr>
          <w:ilvl w:val="0"/>
          <w:numId w:val="2"/>
        </w:numPr>
        <w:spacing w:after="60"/>
      </w:pPr>
      <w:r>
        <w:t xml:space="preserve">The final model, a tuned Random Forest, reaches a test ROC-AUC of 0.816 and average precision of 0.490 (random split). Scoring clients and calling the top 20% would reach 66% of all subscribers (lift 3.3x).</w:t>
      </w:r>
    </w:p>
    <w:p>
      <w:pPr>
        <w:pStyle w:val="ListParagraph"/>
        <w:numPr>
          <w:ilvl w:val="0"/>
          <w:numId w:val="2"/>
        </w:numPr>
        <w:spacing w:after="60"/>
      </w:pPr>
      <w:r>
        <w:t xml:space="preserve">Important caveat: when the model is trained on the earliest 75% of calls and tested on the latest 25%, ROC-AUC falls to 0.631 (Random Forest) and 0.430 (logistic regression). The headline figures therefore describe performance within the 2008-2010 campaign period and should not be read as a forecast for future campaigns.</w:t>
      </w:r>
    </w:p>
    <w:p>
      <w:pPr>
        <w:pStyle w:val="Heading1"/>
        <w:spacing w:after="150" w:before="320"/>
      </w:pPr>
      <w:r>
        <w:t xml:space="preserve">1. Problem Definition</w:t>
      </w:r>
    </w:p>
    <w:p>
      <w:pPr>
        <w:spacing w:after="120"/>
      </w:pPr>
      <w:r>
        <w:t xml:space="preserve">Business problem: outbound telemarketing is expensive and most calls fail. If the bank can estimate each client's probability of subscribing before calling, it can prioritise high-probability clients and reduce wasted calls.</w:t>
      </w:r>
    </w:p>
    <w:p>
      <w:pPr>
        <w:spacing w:after="120"/>
      </w:pPr>
      <w:r>
        <w:t xml:space="preserve">Analytical formulation: supervised binary classification, target y = 1 if the client subscribed to a term deposit, else 0. The project has a descriptive goal (which factors matter, with statistical evidence) and a predictive goal (rank clients accurately on unseen data).</w:t>
      </w:r>
    </w:p>
    <w:p>
      <w:pPr>
        <w:spacing w:after="120"/>
      </w:pPr>
      <w:r>
        <w:t xml:space="preserve">Success criteria: (a) statistically supported findings with effect sizes and confidence intervals; (b) a model evaluated on data it never saw during training or tuning, using metrics suited to a 11% positive class (ROC-AUC, average precision, recall, precision); (c) a business-facing translation of model quality into calls saved.</w:t>
      </w:r>
    </w:p>
    <w:p>
      <w:pPr>
        <w:pStyle w:val="Heading1"/>
        <w:spacing w:after="150" w:before="320"/>
      </w:pPr>
      <w:r>
        <w:t xml:space="preserve">2. Data Collection and Description</w:t>
      </w:r>
    </w:p>
    <w:p>
      <w:pPr>
        <w:spacing w:after="120"/>
      </w:pPr>
      <w:r>
        <w:t xml:space="preserve">Source: UCI Machine Learning Repository, Bank Marketing dataset (Moro, Cortez and Rita, 2014), obtained as a public CSV mirror on GitHub. Each row is one phone contact with a client of a Portuguese retail bank between May 2008 and November 2010.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F5496" w:val="clear"/>
          </w:tcPr>
          <w:p>
            <w:r>
              <w:rPr>
                <w:b/>
                <w:bCs/>
                <w:color w:val="FFFFFF"/>
                <w:sz w:val="19"/>
                <w:szCs w:val="19"/>
              </w:rPr>
              <w:t xml:space="preserve">Attribute</w:t>
            </w:r>
          </w:p>
        </w:tc>
        <w:tc>
          <w:tcPr>
            <w:tcW w:type="dxa" w:w="6800"/>
            <w:shd w:fill="2F5496" w:val="clear"/>
          </w:tcPr>
          <w:p>
            <w:r>
              <w:rPr>
                <w:b/>
                <w:bCs/>
                <w:color w:val="FFFFFF"/>
                <w:sz w:val="19"/>
                <w:szCs w:val="19"/>
              </w:rPr>
              <w:t xml:space="preserve">Detail</w:t>
            </w:r>
          </w:p>
        </w:tc>
      </w:tr>
      <w:tr>
        <w:tc>
          <w:tcPr>
            <w:tcW w:type="dxa" w:w="2600"/>
            <w:shd w:fill="F2F2F2" w:val="clear"/>
          </w:tcPr>
          <w:p>
            <w:r>
              <w:rPr>
                <w:sz w:val="19"/>
                <w:szCs w:val="19"/>
              </w:rPr>
              <w:t xml:space="preserve">Raw size</w:t>
            </w:r>
          </w:p>
        </w:tc>
        <w:tc>
          <w:tcPr>
            <w:tcW w:type="dxa" w:w="6800"/>
            <w:shd w:fill="F2F2F2" w:val="clear"/>
          </w:tcPr>
          <w:p>
            <w:r>
              <w:rPr>
                <w:sz w:val="19"/>
                <w:szCs w:val="19"/>
              </w:rPr>
              <w:t xml:space="preserve">41,188 rows x 21 columns (semicolon-delimited)</w:t>
            </w:r>
          </w:p>
        </w:tc>
      </w:tr>
      <w:tr>
        <w:tc>
          <w:tcPr>
            <w:tcW w:type="dxa" w:w="2600"/>
            <w:shd w:fill="FFFFFF" w:val="clear"/>
          </w:tcPr>
          <w:p>
            <w:r>
              <w:rPr>
                <w:sz w:val="19"/>
                <w:szCs w:val="19"/>
              </w:rPr>
              <w:t xml:space="preserve">Target</w:t>
            </w:r>
          </w:p>
        </w:tc>
        <w:tc>
          <w:tcPr>
            <w:tcW w:type="dxa" w:w="6800"/>
            <w:shd w:fill="FFFFFF" w:val="clear"/>
          </w:tcPr>
          <w:p>
            <w:r>
              <w:rPr>
                <w:sz w:val="19"/>
                <w:szCs w:val="19"/>
              </w:rPr>
              <w:t xml:space="preserve">y: subscribed to a term deposit (yes / no)</w:t>
            </w:r>
          </w:p>
        </w:tc>
      </w:tr>
      <w:tr>
        <w:tc>
          <w:tcPr>
            <w:tcW w:type="dxa" w:w="2600"/>
            <w:shd w:fill="F2F2F2" w:val="clear"/>
          </w:tcPr>
          <w:p>
            <w:r>
              <w:rPr>
                <w:sz w:val="19"/>
                <w:szCs w:val="19"/>
              </w:rPr>
              <w:t xml:space="preserve">Client features</w:t>
            </w:r>
          </w:p>
        </w:tc>
        <w:tc>
          <w:tcPr>
            <w:tcW w:type="dxa" w:w="6800"/>
            <w:shd w:fill="F2F2F2" w:val="clear"/>
          </w:tcPr>
          <w:p>
            <w:r>
              <w:rPr>
                <w:sz w:val="19"/>
                <w:szCs w:val="19"/>
              </w:rPr>
              <w:t xml:space="preserve">age, job, marital, education, default, housing, loan</w:t>
            </w:r>
          </w:p>
        </w:tc>
      </w:tr>
      <w:tr>
        <w:tc>
          <w:tcPr>
            <w:tcW w:type="dxa" w:w="2600"/>
            <w:shd w:fill="FFFFFF" w:val="clear"/>
          </w:tcPr>
          <w:p>
            <w:r>
              <w:rPr>
                <w:sz w:val="19"/>
                <w:szCs w:val="19"/>
              </w:rPr>
              <w:t xml:space="preserve">Campaign features</w:t>
            </w:r>
          </w:p>
        </w:tc>
        <w:tc>
          <w:tcPr>
            <w:tcW w:type="dxa" w:w="6800"/>
            <w:shd w:fill="FFFFFF" w:val="clear"/>
          </w:tcPr>
          <w:p>
            <w:r>
              <w:rPr>
                <w:sz w:val="19"/>
                <w:szCs w:val="19"/>
              </w:rPr>
              <w:t xml:space="preserve">contact channel, month, day_of_week, duration, campaign (contacts this campaign)</w:t>
            </w:r>
          </w:p>
        </w:tc>
      </w:tr>
      <w:tr>
        <w:tc>
          <w:tcPr>
            <w:tcW w:type="dxa" w:w="2600"/>
            <w:shd w:fill="F2F2F2" w:val="clear"/>
          </w:tcPr>
          <w:p>
            <w:r>
              <w:rPr>
                <w:sz w:val="19"/>
                <w:szCs w:val="19"/>
              </w:rPr>
              <w:t xml:space="preserve">History features</w:t>
            </w:r>
          </w:p>
        </w:tc>
        <w:tc>
          <w:tcPr>
            <w:tcW w:type="dxa" w:w="6800"/>
            <w:shd w:fill="F2F2F2" w:val="clear"/>
          </w:tcPr>
          <w:p>
            <w:r>
              <w:rPr>
                <w:sz w:val="19"/>
                <w:szCs w:val="19"/>
              </w:rPr>
              <w:t xml:space="preserve">pdays, previous, poutcome (outcome of previous campaign)</w:t>
            </w:r>
          </w:p>
        </w:tc>
      </w:tr>
      <w:tr>
        <w:tc>
          <w:tcPr>
            <w:tcW w:type="dxa" w:w="2600"/>
            <w:shd w:fill="FFFFFF" w:val="clear"/>
          </w:tcPr>
          <w:p>
            <w:r>
              <w:rPr>
                <w:sz w:val="19"/>
                <w:szCs w:val="19"/>
              </w:rPr>
              <w:t xml:space="preserve">Macro-economic features</w:t>
            </w:r>
          </w:p>
        </w:tc>
        <w:tc>
          <w:tcPr>
            <w:tcW w:type="dxa" w:w="6800"/>
            <w:shd w:fill="FFFFFF" w:val="clear"/>
          </w:tcPr>
          <w:p>
            <w:r>
              <w:rPr>
                <w:sz w:val="19"/>
                <w:szCs w:val="19"/>
              </w:rPr>
              <w:t xml:space="preserve">emp_var_rate, cons_price_idx, cons_conf_idx, euribor3m, nr_employed</w:t>
            </w:r>
          </w:p>
        </w:tc>
      </w:tr>
    </w:tbl>
    <w:p/>
    <w:p>
      <w:pPr>
        <w:spacing w:after="120"/>
      </w:pPr>
      <w:r>
        <w:rPr>
          <w:b/>
          <w:bCs/>
        </w:rPr>
        <w:t xml:space="preserve">Numeric summary (after cleaning):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1100"/>
        <w:gridCol w:w="1300"/>
        <w:gridCol w:w="1300"/>
        <w:gridCol w:w="1000"/>
      </w:tblGrid>
      <w:tr>
        <w:trPr>
          <w:tblHeader/>
        </w:trPr>
        <w:tc>
          <w:tcPr>
            <w:tcW w:type="dxa" w:w="2300"/>
            <w:shd w:fill="2F5496" w:val="clear"/>
          </w:tcPr>
          <w:p>
            <w:r>
              <w:rPr>
                <w:b/>
                <w:bCs/>
                <w:color w:val="FFFFFF"/>
                <w:sz w:val="19"/>
                <w:szCs w:val="19"/>
              </w:rPr>
              <w:t xml:space="preserve">Variable</w:t>
            </w:r>
          </w:p>
        </w:tc>
        <w:tc>
          <w:tcPr>
            <w:tcW w:type="dxa" w:w="1200"/>
            <w:shd w:fill="2F5496" w:val="clear"/>
          </w:tcPr>
          <w:p>
            <w:r>
              <w:rPr>
                <w:b/>
                <w:bCs/>
                <w:color w:val="FFFFFF"/>
                <w:sz w:val="19"/>
                <w:szCs w:val="19"/>
              </w:rPr>
              <w:t xml:space="preserve">Mean</w:t>
            </w:r>
          </w:p>
        </w:tc>
        <w:tc>
          <w:tcPr>
            <w:tcW w:type="dxa" w:w="1200"/>
            <w:shd w:fill="2F5496" w:val="clear"/>
          </w:tcPr>
          <w:p>
            <w:r>
              <w:rPr>
                <w:b/>
                <w:bCs/>
                <w:color w:val="FFFFFF"/>
                <w:sz w:val="19"/>
                <w:szCs w:val="19"/>
              </w:rPr>
              <w:t xml:space="preserve">Std</w:t>
            </w:r>
          </w:p>
        </w:tc>
        <w:tc>
          <w:tcPr>
            <w:tcW w:type="dxa" w:w="1100"/>
            <w:shd w:fill="2F5496" w:val="clear"/>
          </w:tcPr>
          <w:p>
            <w:r>
              <w:rPr>
                <w:b/>
                <w:bCs/>
                <w:color w:val="FFFFFF"/>
                <w:sz w:val="19"/>
                <w:szCs w:val="19"/>
              </w:rPr>
              <w:t xml:space="preserve">Min</w:t>
            </w:r>
          </w:p>
        </w:tc>
        <w:tc>
          <w:tcPr>
            <w:tcW w:type="dxa" w:w="1300"/>
            <w:shd w:fill="2F5496" w:val="clear"/>
          </w:tcPr>
          <w:p>
            <w:r>
              <w:rPr>
                <w:b/>
                <w:bCs/>
                <w:color w:val="FFFFFF"/>
                <w:sz w:val="19"/>
                <w:szCs w:val="19"/>
              </w:rPr>
              <w:t xml:space="preserve">Median</w:t>
            </w:r>
          </w:p>
        </w:tc>
        <w:tc>
          <w:tcPr>
            <w:tcW w:type="dxa" w:w="1300"/>
            <w:shd w:fill="2F5496" w:val="clear"/>
          </w:tcPr>
          <w:p>
            <w:r>
              <w:rPr>
                <w:b/>
                <w:bCs/>
                <w:color w:val="FFFFFF"/>
                <w:sz w:val="19"/>
                <w:szCs w:val="19"/>
              </w:rPr>
              <w:t xml:space="preserve">Max</w:t>
            </w:r>
          </w:p>
        </w:tc>
        <w:tc>
          <w:tcPr>
            <w:tcW w:type="dxa" w:w="1000"/>
            <w:shd w:fill="2F5496" w:val="clear"/>
          </w:tcPr>
          <w:p>
            <w:r>
              <w:rPr>
                <w:b/>
                <w:bCs/>
                <w:color w:val="FFFFFF"/>
                <w:sz w:val="19"/>
                <w:szCs w:val="19"/>
              </w:rPr>
              <w:t xml:space="preserve">Skew</w:t>
            </w:r>
          </w:p>
        </w:tc>
      </w:tr>
      <w:tr>
        <w:tc>
          <w:tcPr>
            <w:tcW w:type="dxa" w:w="2300"/>
            <w:shd w:fill="F2F2F2" w:val="clear"/>
          </w:tcPr>
          <w:p>
            <w:r>
              <w:rPr>
                <w:sz w:val="19"/>
                <w:szCs w:val="19"/>
              </w:rPr>
              <w:t xml:space="preserve">age</w:t>
            </w:r>
          </w:p>
        </w:tc>
        <w:tc>
          <w:tcPr>
            <w:tcW w:type="dxa" w:w="1200"/>
            <w:shd w:fill="F2F2F2" w:val="clear"/>
          </w:tcPr>
          <w:p>
            <w:r>
              <w:rPr>
                <w:sz w:val="19"/>
                <w:szCs w:val="19"/>
              </w:rPr>
              <w:t xml:space="preserve">40.02</w:t>
            </w:r>
          </w:p>
        </w:tc>
        <w:tc>
          <w:tcPr>
            <w:tcW w:type="dxa" w:w="1200"/>
            <w:shd w:fill="F2F2F2" w:val="clear"/>
          </w:tcPr>
          <w:p>
            <w:r>
              <w:rPr>
                <w:sz w:val="19"/>
                <w:szCs w:val="19"/>
              </w:rPr>
              <w:t xml:space="preserve">10.42</w:t>
            </w:r>
          </w:p>
        </w:tc>
        <w:tc>
          <w:tcPr>
            <w:tcW w:type="dxa" w:w="1100"/>
            <w:shd w:fill="F2F2F2" w:val="clear"/>
          </w:tcPr>
          <w:p>
            <w:r>
              <w:rPr>
                <w:sz w:val="19"/>
                <w:szCs w:val="19"/>
              </w:rPr>
              <w:t xml:space="preserve">17.00</w:t>
            </w:r>
          </w:p>
        </w:tc>
        <w:tc>
          <w:tcPr>
            <w:tcW w:type="dxa" w:w="1300"/>
            <w:shd w:fill="F2F2F2" w:val="clear"/>
          </w:tcPr>
          <w:p>
            <w:r>
              <w:rPr>
                <w:sz w:val="19"/>
                <w:szCs w:val="19"/>
              </w:rPr>
              <w:t xml:space="preserve">38.00</w:t>
            </w:r>
          </w:p>
        </w:tc>
        <w:tc>
          <w:tcPr>
            <w:tcW w:type="dxa" w:w="1300"/>
            <w:shd w:fill="F2F2F2" w:val="clear"/>
          </w:tcPr>
          <w:p>
            <w:r>
              <w:rPr>
                <w:sz w:val="19"/>
                <w:szCs w:val="19"/>
              </w:rPr>
              <w:t xml:space="preserve">98.00</w:t>
            </w:r>
          </w:p>
        </w:tc>
        <w:tc>
          <w:tcPr>
            <w:tcW w:type="dxa" w:w="1000"/>
            <w:shd w:fill="F2F2F2" w:val="clear"/>
          </w:tcPr>
          <w:p>
            <w:r>
              <w:rPr>
                <w:sz w:val="19"/>
                <w:szCs w:val="19"/>
              </w:rPr>
              <w:t xml:space="preserve">0.78</w:t>
            </w:r>
          </w:p>
        </w:tc>
      </w:tr>
      <w:tr>
        <w:tc>
          <w:tcPr>
            <w:tcW w:type="dxa" w:w="2300"/>
            <w:shd w:fill="FFFFFF" w:val="clear"/>
          </w:tcPr>
          <w:p>
            <w:r>
              <w:rPr>
                <w:sz w:val="19"/>
                <w:szCs w:val="19"/>
              </w:rPr>
              <w:t xml:space="preserve">duration</w:t>
            </w:r>
          </w:p>
        </w:tc>
        <w:tc>
          <w:tcPr>
            <w:tcW w:type="dxa" w:w="1200"/>
            <w:shd w:fill="FFFFFF" w:val="clear"/>
          </w:tcPr>
          <w:p>
            <w:r>
              <w:rPr>
                <w:sz w:val="19"/>
                <w:szCs w:val="19"/>
              </w:rPr>
              <w:t xml:space="preserve">258.33</w:t>
            </w:r>
          </w:p>
        </w:tc>
        <w:tc>
          <w:tcPr>
            <w:tcW w:type="dxa" w:w="1200"/>
            <w:shd w:fill="FFFFFF" w:val="clear"/>
          </w:tcPr>
          <w:p>
            <w:r>
              <w:rPr>
                <w:sz w:val="19"/>
                <w:szCs w:val="19"/>
              </w:rPr>
              <w:t xml:space="preserve">259.31</w:t>
            </w:r>
          </w:p>
        </w:tc>
        <w:tc>
          <w:tcPr>
            <w:tcW w:type="dxa" w:w="1100"/>
            <w:shd w:fill="FFFFFF" w:val="clear"/>
          </w:tcPr>
          <w:p>
            <w:r>
              <w:rPr>
                <w:sz w:val="19"/>
                <w:szCs w:val="19"/>
              </w:rPr>
              <w:t xml:space="preserve">0.00</w:t>
            </w:r>
          </w:p>
        </w:tc>
        <w:tc>
          <w:tcPr>
            <w:tcW w:type="dxa" w:w="1300"/>
            <w:shd w:fill="FFFFFF" w:val="clear"/>
          </w:tcPr>
          <w:p>
            <w:r>
              <w:rPr>
                <w:sz w:val="19"/>
                <w:szCs w:val="19"/>
              </w:rPr>
              <w:t xml:space="preserve">180.00</w:t>
            </w:r>
          </w:p>
        </w:tc>
        <w:tc>
          <w:tcPr>
            <w:tcW w:type="dxa" w:w="1300"/>
            <w:shd w:fill="FFFFFF" w:val="clear"/>
          </w:tcPr>
          <w:p>
            <w:r>
              <w:rPr>
                <w:sz w:val="19"/>
                <w:szCs w:val="19"/>
              </w:rPr>
              <w:t xml:space="preserve">4918.00</w:t>
            </w:r>
          </w:p>
        </w:tc>
        <w:tc>
          <w:tcPr>
            <w:tcW w:type="dxa" w:w="1000"/>
            <w:shd w:fill="FFFFFF" w:val="clear"/>
          </w:tcPr>
          <w:p>
            <w:r>
              <w:rPr>
                <w:sz w:val="19"/>
                <w:szCs w:val="19"/>
              </w:rPr>
              <w:t xml:space="preserve">3.26</w:t>
            </w:r>
          </w:p>
        </w:tc>
      </w:tr>
      <w:tr>
        <w:tc>
          <w:tcPr>
            <w:tcW w:type="dxa" w:w="2300"/>
            <w:shd w:fill="F2F2F2" w:val="clear"/>
          </w:tcPr>
          <w:p>
            <w:r>
              <w:rPr>
                <w:sz w:val="19"/>
                <w:szCs w:val="19"/>
              </w:rPr>
              <w:t xml:space="preserve">campaign</w:t>
            </w:r>
          </w:p>
        </w:tc>
        <w:tc>
          <w:tcPr>
            <w:tcW w:type="dxa" w:w="1200"/>
            <w:shd w:fill="F2F2F2" w:val="clear"/>
          </w:tcPr>
          <w:p>
            <w:r>
              <w:rPr>
                <w:sz w:val="19"/>
                <w:szCs w:val="19"/>
              </w:rPr>
              <w:t xml:space="preserve">2.57</w:t>
            </w:r>
          </w:p>
        </w:tc>
        <w:tc>
          <w:tcPr>
            <w:tcW w:type="dxa" w:w="1200"/>
            <w:shd w:fill="F2F2F2" w:val="clear"/>
          </w:tcPr>
          <w:p>
            <w:r>
              <w:rPr>
                <w:sz w:val="19"/>
                <w:szCs w:val="19"/>
              </w:rPr>
              <w:t xml:space="preserve">2.77</w:t>
            </w:r>
          </w:p>
        </w:tc>
        <w:tc>
          <w:tcPr>
            <w:tcW w:type="dxa" w:w="1100"/>
            <w:shd w:fill="F2F2F2" w:val="clear"/>
          </w:tcPr>
          <w:p>
            <w:r>
              <w:rPr>
                <w:sz w:val="19"/>
                <w:szCs w:val="19"/>
              </w:rPr>
              <w:t xml:space="preserve">1.00</w:t>
            </w:r>
          </w:p>
        </w:tc>
        <w:tc>
          <w:tcPr>
            <w:tcW w:type="dxa" w:w="1300"/>
            <w:shd w:fill="F2F2F2" w:val="clear"/>
          </w:tcPr>
          <w:p>
            <w:r>
              <w:rPr>
                <w:sz w:val="19"/>
                <w:szCs w:val="19"/>
              </w:rPr>
              <w:t xml:space="preserve">2.00</w:t>
            </w:r>
          </w:p>
        </w:tc>
        <w:tc>
          <w:tcPr>
            <w:tcW w:type="dxa" w:w="1300"/>
            <w:shd w:fill="F2F2F2" w:val="clear"/>
          </w:tcPr>
          <w:p>
            <w:r>
              <w:rPr>
                <w:sz w:val="19"/>
                <w:szCs w:val="19"/>
              </w:rPr>
              <w:t xml:space="preserve">56.00</w:t>
            </w:r>
          </w:p>
        </w:tc>
        <w:tc>
          <w:tcPr>
            <w:tcW w:type="dxa" w:w="1000"/>
            <w:shd w:fill="F2F2F2" w:val="clear"/>
          </w:tcPr>
          <w:p>
            <w:r>
              <w:rPr>
                <w:sz w:val="19"/>
                <w:szCs w:val="19"/>
              </w:rPr>
              <w:t xml:space="preserve">4.76</w:t>
            </w:r>
          </w:p>
        </w:tc>
      </w:tr>
      <w:tr>
        <w:tc>
          <w:tcPr>
            <w:tcW w:type="dxa" w:w="2300"/>
            <w:shd w:fill="FFFFFF" w:val="clear"/>
          </w:tcPr>
          <w:p>
            <w:r>
              <w:rPr>
                <w:sz w:val="19"/>
                <w:szCs w:val="19"/>
              </w:rPr>
              <w:t xml:space="preserve">previous</w:t>
            </w:r>
          </w:p>
        </w:tc>
        <w:tc>
          <w:tcPr>
            <w:tcW w:type="dxa" w:w="1200"/>
            <w:shd w:fill="FFFFFF" w:val="clear"/>
          </w:tcPr>
          <w:p>
            <w:r>
              <w:rPr>
                <w:sz w:val="19"/>
                <w:szCs w:val="19"/>
              </w:rPr>
              <w:t xml:space="preserve">0.17</w:t>
            </w:r>
          </w:p>
        </w:tc>
        <w:tc>
          <w:tcPr>
            <w:tcW w:type="dxa" w:w="1200"/>
            <w:shd w:fill="FFFFFF" w:val="clear"/>
          </w:tcPr>
          <w:p>
            <w:r>
              <w:rPr>
                <w:sz w:val="19"/>
                <w:szCs w:val="19"/>
              </w:rPr>
              <w:t xml:space="preserve">0.49</w:t>
            </w:r>
          </w:p>
        </w:tc>
        <w:tc>
          <w:tcPr>
            <w:tcW w:type="dxa" w:w="1100"/>
            <w:shd w:fill="FFFFFF" w:val="clear"/>
          </w:tcPr>
          <w:p>
            <w:r>
              <w:rPr>
                <w:sz w:val="19"/>
                <w:szCs w:val="19"/>
              </w:rPr>
              <w:t xml:space="preserve">0.00</w:t>
            </w:r>
          </w:p>
        </w:tc>
        <w:tc>
          <w:tcPr>
            <w:tcW w:type="dxa" w:w="1300"/>
            <w:shd w:fill="FFFFFF" w:val="clear"/>
          </w:tcPr>
          <w:p>
            <w:r>
              <w:rPr>
                <w:sz w:val="19"/>
                <w:szCs w:val="19"/>
              </w:rPr>
              <w:t xml:space="preserve">0.00</w:t>
            </w:r>
          </w:p>
        </w:tc>
        <w:tc>
          <w:tcPr>
            <w:tcW w:type="dxa" w:w="1300"/>
            <w:shd w:fill="FFFFFF" w:val="clear"/>
          </w:tcPr>
          <w:p>
            <w:r>
              <w:rPr>
                <w:sz w:val="19"/>
                <w:szCs w:val="19"/>
              </w:rPr>
              <w:t xml:space="preserve">7.00</w:t>
            </w:r>
          </w:p>
        </w:tc>
        <w:tc>
          <w:tcPr>
            <w:tcW w:type="dxa" w:w="1000"/>
            <w:shd w:fill="FFFFFF" w:val="clear"/>
          </w:tcPr>
          <w:p>
            <w:r>
              <w:rPr>
                <w:sz w:val="19"/>
                <w:szCs w:val="19"/>
              </w:rPr>
              <w:t xml:space="preserve">3.83</w:t>
            </w:r>
          </w:p>
        </w:tc>
      </w:tr>
      <w:tr>
        <w:tc>
          <w:tcPr>
            <w:tcW w:type="dxa" w:w="2300"/>
            <w:shd w:fill="F2F2F2" w:val="clear"/>
          </w:tcPr>
          <w:p>
            <w:r>
              <w:rPr>
                <w:sz w:val="19"/>
                <w:szCs w:val="19"/>
              </w:rPr>
              <w:t xml:space="preserve">emp_var_rate</w:t>
            </w:r>
          </w:p>
        </w:tc>
        <w:tc>
          <w:tcPr>
            <w:tcW w:type="dxa" w:w="1200"/>
            <w:shd w:fill="F2F2F2" w:val="clear"/>
          </w:tcPr>
          <w:p>
            <w:r>
              <w:rPr>
                <w:sz w:val="19"/>
                <w:szCs w:val="19"/>
              </w:rPr>
              <w:t xml:space="preserve">0.08</w:t>
            </w:r>
          </w:p>
        </w:tc>
        <w:tc>
          <w:tcPr>
            <w:tcW w:type="dxa" w:w="1200"/>
            <w:shd w:fill="F2F2F2" w:val="clear"/>
          </w:tcPr>
          <w:p>
            <w:r>
              <w:rPr>
                <w:sz w:val="19"/>
                <w:szCs w:val="19"/>
              </w:rPr>
              <w:t xml:space="preserve">1.57</w:t>
            </w:r>
          </w:p>
        </w:tc>
        <w:tc>
          <w:tcPr>
            <w:tcW w:type="dxa" w:w="1100"/>
            <w:shd w:fill="F2F2F2" w:val="clear"/>
          </w:tcPr>
          <w:p>
            <w:r>
              <w:rPr>
                <w:sz w:val="19"/>
                <w:szCs w:val="19"/>
              </w:rPr>
              <w:t xml:space="preserve">-3.40</w:t>
            </w:r>
          </w:p>
        </w:tc>
        <w:tc>
          <w:tcPr>
            <w:tcW w:type="dxa" w:w="1300"/>
            <w:shd w:fill="F2F2F2" w:val="clear"/>
          </w:tcPr>
          <w:p>
            <w:r>
              <w:rPr>
                <w:sz w:val="19"/>
                <w:szCs w:val="19"/>
              </w:rPr>
              <w:t xml:space="preserve">1.10</w:t>
            </w:r>
          </w:p>
        </w:tc>
        <w:tc>
          <w:tcPr>
            <w:tcW w:type="dxa" w:w="1300"/>
            <w:shd w:fill="F2F2F2" w:val="clear"/>
          </w:tcPr>
          <w:p>
            <w:r>
              <w:rPr>
                <w:sz w:val="19"/>
                <w:szCs w:val="19"/>
              </w:rPr>
              <w:t xml:space="preserve">1.40</w:t>
            </w:r>
          </w:p>
        </w:tc>
        <w:tc>
          <w:tcPr>
            <w:tcW w:type="dxa" w:w="1000"/>
            <w:shd w:fill="F2F2F2" w:val="clear"/>
          </w:tcPr>
          <w:p>
            <w:r>
              <w:rPr>
                <w:sz w:val="19"/>
                <w:szCs w:val="19"/>
              </w:rPr>
              <w:t xml:space="preserve">-0.72</w:t>
            </w:r>
          </w:p>
        </w:tc>
      </w:tr>
      <w:tr>
        <w:tc>
          <w:tcPr>
            <w:tcW w:type="dxa" w:w="2300"/>
            <w:shd w:fill="FFFFFF" w:val="clear"/>
          </w:tcPr>
          <w:p>
            <w:r>
              <w:rPr>
                <w:sz w:val="19"/>
                <w:szCs w:val="19"/>
              </w:rPr>
              <w:t xml:space="preserve">cons_price_idx</w:t>
            </w:r>
          </w:p>
        </w:tc>
        <w:tc>
          <w:tcPr>
            <w:tcW w:type="dxa" w:w="1200"/>
            <w:shd w:fill="FFFFFF" w:val="clear"/>
          </w:tcPr>
          <w:p>
            <w:r>
              <w:rPr>
                <w:sz w:val="19"/>
                <w:szCs w:val="19"/>
              </w:rPr>
              <w:t xml:space="preserve">93.58</w:t>
            </w:r>
          </w:p>
        </w:tc>
        <w:tc>
          <w:tcPr>
            <w:tcW w:type="dxa" w:w="1200"/>
            <w:shd w:fill="FFFFFF" w:val="clear"/>
          </w:tcPr>
          <w:p>
            <w:r>
              <w:rPr>
                <w:sz w:val="19"/>
                <w:szCs w:val="19"/>
              </w:rPr>
              <w:t xml:space="preserve">0.58</w:t>
            </w:r>
          </w:p>
        </w:tc>
        <w:tc>
          <w:tcPr>
            <w:tcW w:type="dxa" w:w="1100"/>
            <w:shd w:fill="FFFFFF" w:val="clear"/>
          </w:tcPr>
          <w:p>
            <w:r>
              <w:rPr>
                <w:sz w:val="19"/>
                <w:szCs w:val="19"/>
              </w:rPr>
              <w:t xml:space="preserve">92.20</w:t>
            </w:r>
          </w:p>
        </w:tc>
        <w:tc>
          <w:tcPr>
            <w:tcW w:type="dxa" w:w="1300"/>
            <w:shd w:fill="FFFFFF" w:val="clear"/>
          </w:tcPr>
          <w:p>
            <w:r>
              <w:rPr>
                <w:sz w:val="19"/>
                <w:szCs w:val="19"/>
              </w:rPr>
              <w:t xml:space="preserve">93.75</w:t>
            </w:r>
          </w:p>
        </w:tc>
        <w:tc>
          <w:tcPr>
            <w:tcW w:type="dxa" w:w="1300"/>
            <w:shd w:fill="FFFFFF" w:val="clear"/>
          </w:tcPr>
          <w:p>
            <w:r>
              <w:rPr>
                <w:sz w:val="19"/>
                <w:szCs w:val="19"/>
              </w:rPr>
              <w:t xml:space="preserve">94.77</w:t>
            </w:r>
          </w:p>
        </w:tc>
        <w:tc>
          <w:tcPr>
            <w:tcW w:type="dxa" w:w="1000"/>
            <w:shd w:fill="FFFFFF" w:val="clear"/>
          </w:tcPr>
          <w:p>
            <w:r>
              <w:rPr>
                <w:sz w:val="19"/>
                <w:szCs w:val="19"/>
              </w:rPr>
              <w:t xml:space="preserve">-0.23</w:t>
            </w:r>
          </w:p>
        </w:tc>
      </w:tr>
      <w:tr>
        <w:tc>
          <w:tcPr>
            <w:tcW w:type="dxa" w:w="2300"/>
            <w:shd w:fill="F2F2F2" w:val="clear"/>
          </w:tcPr>
          <w:p>
            <w:r>
              <w:rPr>
                <w:sz w:val="19"/>
                <w:szCs w:val="19"/>
              </w:rPr>
              <w:t xml:space="preserve">cons_conf_idx</w:t>
            </w:r>
          </w:p>
        </w:tc>
        <w:tc>
          <w:tcPr>
            <w:tcW w:type="dxa" w:w="1200"/>
            <w:shd w:fill="F2F2F2" w:val="clear"/>
          </w:tcPr>
          <w:p>
            <w:r>
              <w:rPr>
                <w:sz w:val="19"/>
                <w:szCs w:val="19"/>
              </w:rPr>
              <w:t xml:space="preserve">-40.50</w:t>
            </w:r>
          </w:p>
        </w:tc>
        <w:tc>
          <w:tcPr>
            <w:tcW w:type="dxa" w:w="1200"/>
            <w:shd w:fill="F2F2F2" w:val="clear"/>
          </w:tcPr>
          <w:p>
            <w:r>
              <w:rPr>
                <w:sz w:val="19"/>
                <w:szCs w:val="19"/>
              </w:rPr>
              <w:t xml:space="preserve">4.63</w:t>
            </w:r>
          </w:p>
        </w:tc>
        <w:tc>
          <w:tcPr>
            <w:tcW w:type="dxa" w:w="1100"/>
            <w:shd w:fill="F2F2F2" w:val="clear"/>
          </w:tcPr>
          <w:p>
            <w:r>
              <w:rPr>
                <w:sz w:val="19"/>
                <w:szCs w:val="19"/>
              </w:rPr>
              <w:t xml:space="preserve">-50.80</w:t>
            </w:r>
          </w:p>
        </w:tc>
        <w:tc>
          <w:tcPr>
            <w:tcW w:type="dxa" w:w="1300"/>
            <w:shd w:fill="F2F2F2" w:val="clear"/>
          </w:tcPr>
          <w:p>
            <w:r>
              <w:rPr>
                <w:sz w:val="19"/>
                <w:szCs w:val="19"/>
              </w:rPr>
              <w:t xml:space="preserve">-41.80</w:t>
            </w:r>
          </w:p>
        </w:tc>
        <w:tc>
          <w:tcPr>
            <w:tcW w:type="dxa" w:w="1300"/>
            <w:shd w:fill="F2F2F2" w:val="clear"/>
          </w:tcPr>
          <w:p>
            <w:r>
              <w:rPr>
                <w:sz w:val="19"/>
                <w:szCs w:val="19"/>
              </w:rPr>
              <w:t xml:space="preserve">-26.90</w:t>
            </w:r>
          </w:p>
        </w:tc>
        <w:tc>
          <w:tcPr>
            <w:tcW w:type="dxa" w:w="1000"/>
            <w:shd w:fill="F2F2F2" w:val="clear"/>
          </w:tcPr>
          <w:p>
            <w:r>
              <w:rPr>
                <w:sz w:val="19"/>
                <w:szCs w:val="19"/>
              </w:rPr>
              <w:t xml:space="preserve">0.30</w:t>
            </w:r>
          </w:p>
        </w:tc>
      </w:tr>
      <w:tr>
        <w:tc>
          <w:tcPr>
            <w:tcW w:type="dxa" w:w="2300"/>
            <w:shd w:fill="FFFFFF" w:val="clear"/>
          </w:tcPr>
          <w:p>
            <w:r>
              <w:rPr>
                <w:sz w:val="19"/>
                <w:szCs w:val="19"/>
              </w:rPr>
              <w:t xml:space="preserve">euribor3m</w:t>
            </w:r>
          </w:p>
        </w:tc>
        <w:tc>
          <w:tcPr>
            <w:tcW w:type="dxa" w:w="1200"/>
            <w:shd w:fill="FFFFFF" w:val="clear"/>
          </w:tcPr>
          <w:p>
            <w:r>
              <w:rPr>
                <w:sz w:val="19"/>
                <w:szCs w:val="19"/>
              </w:rPr>
              <w:t xml:space="preserve">3.62</w:t>
            </w:r>
          </w:p>
        </w:tc>
        <w:tc>
          <w:tcPr>
            <w:tcW w:type="dxa" w:w="1200"/>
            <w:shd w:fill="FFFFFF" w:val="clear"/>
          </w:tcPr>
          <w:p>
            <w:r>
              <w:rPr>
                <w:sz w:val="19"/>
                <w:szCs w:val="19"/>
              </w:rPr>
              <w:t xml:space="preserve">1.73</w:t>
            </w:r>
          </w:p>
        </w:tc>
        <w:tc>
          <w:tcPr>
            <w:tcW w:type="dxa" w:w="1100"/>
            <w:shd w:fill="FFFFFF" w:val="clear"/>
          </w:tcPr>
          <w:p>
            <w:r>
              <w:rPr>
                <w:sz w:val="19"/>
                <w:szCs w:val="19"/>
              </w:rPr>
              <w:t xml:space="preserve">0.63</w:t>
            </w:r>
          </w:p>
        </w:tc>
        <w:tc>
          <w:tcPr>
            <w:tcW w:type="dxa" w:w="1300"/>
            <w:shd w:fill="FFFFFF" w:val="clear"/>
          </w:tcPr>
          <w:p>
            <w:r>
              <w:rPr>
                <w:sz w:val="19"/>
                <w:szCs w:val="19"/>
              </w:rPr>
              <w:t xml:space="preserve">4.86</w:t>
            </w:r>
          </w:p>
        </w:tc>
        <w:tc>
          <w:tcPr>
            <w:tcW w:type="dxa" w:w="1300"/>
            <w:shd w:fill="FFFFFF" w:val="clear"/>
          </w:tcPr>
          <w:p>
            <w:r>
              <w:rPr>
                <w:sz w:val="19"/>
                <w:szCs w:val="19"/>
              </w:rPr>
              <w:t xml:space="preserve">5.04</w:t>
            </w:r>
          </w:p>
        </w:tc>
        <w:tc>
          <w:tcPr>
            <w:tcW w:type="dxa" w:w="1000"/>
            <w:shd w:fill="FFFFFF" w:val="clear"/>
          </w:tcPr>
          <w:p>
            <w:r>
              <w:rPr>
                <w:sz w:val="19"/>
                <w:szCs w:val="19"/>
              </w:rPr>
              <w:t xml:space="preserve">-0.71</w:t>
            </w:r>
          </w:p>
        </w:tc>
      </w:tr>
      <w:tr>
        <w:tc>
          <w:tcPr>
            <w:tcW w:type="dxa" w:w="2300"/>
            <w:shd w:fill="F2F2F2" w:val="clear"/>
          </w:tcPr>
          <w:p>
            <w:r>
              <w:rPr>
                <w:sz w:val="19"/>
                <w:szCs w:val="19"/>
              </w:rPr>
              <w:t xml:space="preserve">nr_employed</w:t>
            </w:r>
          </w:p>
        </w:tc>
        <w:tc>
          <w:tcPr>
            <w:tcW w:type="dxa" w:w="1200"/>
            <w:shd w:fill="F2F2F2" w:val="clear"/>
          </w:tcPr>
          <w:p>
            <w:r>
              <w:rPr>
                <w:sz w:val="19"/>
                <w:szCs w:val="19"/>
              </w:rPr>
              <w:t xml:space="preserve">5167.03</w:t>
            </w:r>
          </w:p>
        </w:tc>
        <w:tc>
          <w:tcPr>
            <w:tcW w:type="dxa" w:w="1200"/>
            <w:shd w:fill="F2F2F2" w:val="clear"/>
          </w:tcPr>
          <w:p>
            <w:r>
              <w:rPr>
                <w:sz w:val="19"/>
                <w:szCs w:val="19"/>
              </w:rPr>
              <w:t xml:space="preserve">72.25</w:t>
            </w:r>
          </w:p>
        </w:tc>
        <w:tc>
          <w:tcPr>
            <w:tcW w:type="dxa" w:w="1100"/>
            <w:shd w:fill="F2F2F2" w:val="clear"/>
          </w:tcPr>
          <w:p>
            <w:r>
              <w:rPr>
                <w:sz w:val="19"/>
                <w:szCs w:val="19"/>
              </w:rPr>
              <w:t xml:space="preserve">4963.60</w:t>
            </w:r>
          </w:p>
        </w:tc>
        <w:tc>
          <w:tcPr>
            <w:tcW w:type="dxa" w:w="1300"/>
            <w:shd w:fill="F2F2F2" w:val="clear"/>
          </w:tcPr>
          <w:p>
            <w:r>
              <w:rPr>
                <w:sz w:val="19"/>
                <w:szCs w:val="19"/>
              </w:rPr>
              <w:t xml:space="preserve">5191.00</w:t>
            </w:r>
          </w:p>
        </w:tc>
        <w:tc>
          <w:tcPr>
            <w:tcW w:type="dxa" w:w="1300"/>
            <w:shd w:fill="F2F2F2" w:val="clear"/>
          </w:tcPr>
          <w:p>
            <w:r>
              <w:rPr>
                <w:sz w:val="19"/>
                <w:szCs w:val="19"/>
              </w:rPr>
              <w:t xml:space="preserve">5228.10</w:t>
            </w:r>
          </w:p>
        </w:tc>
        <w:tc>
          <w:tcPr>
            <w:tcW w:type="dxa" w:w="1000"/>
            <w:shd w:fill="F2F2F2" w:val="clear"/>
          </w:tcPr>
          <w:p>
            <w:r>
              <w:rPr>
                <w:sz w:val="19"/>
                <w:szCs w:val="19"/>
              </w:rPr>
              <w:t xml:space="preserve">-1.04</w:t>
            </w:r>
          </w:p>
        </w:tc>
      </w:tr>
    </w:tbl>
    <w:p/>
    <w:p>
      <w:pPr>
        <w:spacing w:after="120"/>
      </w:pPr>
      <w:r>
        <w:t xml:space="preserve">Age, duration, campaign and previous are all right-skewed (skew 0.78, 3.26, 4.76, 3.83): most calls are short, most clients are contacted a few times, and a small number of extreme values pull the mean above the median (for example duration: mean 258s versus median 180s).</w:t>
      </w:r>
    </w:p>
    <w:p>
      <w:pPr>
        <w:pStyle w:val="Heading1"/>
        <w:spacing w:after="150" w:before="320"/>
      </w:pPr>
      <w:r>
        <w:t xml:space="preserve">3. Data Preprocessing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200"/>
      </w:tblGrid>
      <w:tr>
        <w:trPr>
          <w:tblHeader/>
        </w:trPr>
        <w:tc>
          <w:tcPr>
            <w:tcW w:type="dxa" w:w="1900"/>
            <w:shd w:fill="2F5496" w:val="clear"/>
          </w:tcPr>
          <w:p>
            <w:r>
              <w:rPr>
                <w:b/>
                <w:bCs/>
                <w:color w:val="FFFFFF"/>
                <w:sz w:val="19"/>
                <w:szCs w:val="19"/>
              </w:rPr>
              <w:t xml:space="preserve">Issue found</w:t>
            </w:r>
          </w:p>
        </w:tc>
        <w:tc>
          <w:tcPr>
            <w:tcW w:type="dxa" w:w="3300"/>
            <w:shd w:fill="2F5496" w:val="clear"/>
          </w:tcPr>
          <w:p>
            <w:r>
              <w:rPr>
                <w:b/>
                <w:bCs/>
                <w:color w:val="FFFFFF"/>
                <w:sz w:val="19"/>
                <w:szCs w:val="19"/>
              </w:rPr>
              <w:t xml:space="preserve">Evidence</w:t>
            </w:r>
          </w:p>
        </w:tc>
        <w:tc>
          <w:tcPr>
            <w:tcW w:type="dxa" w:w="4200"/>
            <w:shd w:fill="2F5496" w:val="clear"/>
          </w:tcPr>
          <w:p>
            <w:r>
              <w:rPr>
                <w:b/>
                <w:bCs/>
                <w:color w:val="FFFFFF"/>
                <w:sz w:val="19"/>
                <w:szCs w:val="19"/>
              </w:rPr>
              <w:t xml:space="preserve">Action and rationale</w:t>
            </w:r>
          </w:p>
        </w:tc>
      </w:tr>
      <w:tr>
        <w:tc>
          <w:tcPr>
            <w:tcW w:type="dxa" w:w="1900"/>
            <w:shd w:fill="F2F2F2" w:val="clear"/>
          </w:tcPr>
          <w:p>
            <w:r>
              <w:rPr>
                <w:sz w:val="19"/>
                <w:szCs w:val="19"/>
              </w:rPr>
              <w:t xml:space="preserve">Duplicate rows</w:t>
            </w:r>
          </w:p>
        </w:tc>
        <w:tc>
          <w:tcPr>
            <w:tcW w:type="dxa" w:w="3300"/>
            <w:shd w:fill="F2F2F2" w:val="clear"/>
          </w:tcPr>
          <w:p>
            <w:r>
              <w:rPr>
                <w:sz w:val="19"/>
                <w:szCs w:val="19"/>
              </w:rPr>
              <w:t xml:space="preserve">12 exact duplicates</w:t>
            </w:r>
          </w:p>
        </w:tc>
        <w:tc>
          <w:tcPr>
            <w:tcW w:type="dxa" w:w="4200"/>
            <w:shd w:fill="F2F2F2" w:val="clear"/>
          </w:tcPr>
          <w:p>
            <w:r>
              <w:rPr>
                <w:sz w:val="19"/>
                <w:szCs w:val="19"/>
              </w:rPr>
              <w:t xml:space="preserve">Removed.</w:t>
            </w:r>
          </w:p>
        </w:tc>
      </w:tr>
      <w:tr>
        <w:tc>
          <w:tcPr>
            <w:tcW w:type="dxa" w:w="1900"/>
            <w:shd w:fill="FFFFFF" w:val="clear"/>
          </w:tcPr>
          <w:p>
            <w:r>
              <w:rPr>
                <w:sz w:val="19"/>
                <w:szCs w:val="19"/>
              </w:rPr>
              <w:t xml:space="preserve">Missing values</w:t>
            </w:r>
          </w:p>
        </w:tc>
        <w:tc>
          <w:tcPr>
            <w:tcW w:type="dxa" w:w="3300"/>
            <w:shd w:fill="FFFFFF" w:val="clear"/>
          </w:tcPr>
          <w:p>
            <w:r>
              <w:rPr>
                <w:sz w:val="19"/>
                <w:szCs w:val="19"/>
              </w:rPr>
              <w:t xml:space="preserve">0 NaN; but 'unknown' category in job (330), marital (80), education (1731), default (8597), housing (990), loan (990)</w:t>
            </w:r>
          </w:p>
        </w:tc>
        <w:tc>
          <w:tcPr>
            <w:tcW w:type="dxa" w:w="4200"/>
            <w:shd w:fill="FFFFFF" w:val="clear"/>
          </w:tcPr>
          <w:p>
            <w:r>
              <w:rPr>
                <w:sz w:val="19"/>
                <w:szCs w:val="19"/>
              </w:rPr>
              <w:t xml:space="preserve">Kept 'unknown' as its own level; not imputed, because non-disclosure can itself be informative and the largest case (default) is 21% of rows.</w:t>
            </w:r>
          </w:p>
        </w:tc>
      </w:tr>
      <w:tr>
        <w:tc>
          <w:tcPr>
            <w:tcW w:type="dxa" w:w="1900"/>
            <w:shd w:fill="F2F2F2" w:val="clear"/>
          </w:tcPr>
          <w:p>
            <w:r>
              <w:rPr>
                <w:sz w:val="19"/>
                <w:szCs w:val="19"/>
              </w:rPr>
              <w:t xml:space="preserve">Sentinel value</w:t>
            </w:r>
          </w:p>
        </w:tc>
        <w:tc>
          <w:tcPr>
            <w:tcW w:type="dxa" w:w="3300"/>
            <w:shd w:fill="F2F2F2" w:val="clear"/>
          </w:tcPr>
          <w:p>
            <w:r>
              <w:rPr>
                <w:sz w:val="19"/>
                <w:szCs w:val="19"/>
              </w:rPr>
              <w:t xml:space="preserve">pdays = 999 means 'never previously contacted'</w:t>
            </w:r>
          </w:p>
        </w:tc>
        <w:tc>
          <w:tcPr>
            <w:tcW w:type="dxa" w:w="4200"/>
            <w:shd w:fill="F2F2F2" w:val="clear"/>
          </w:tcPr>
          <w:p>
            <w:r>
              <w:rPr>
                <w:sz w:val="19"/>
                <w:szCs w:val="19"/>
              </w:rPr>
              <w:t xml:space="preserve">Replaced by binary flag was_previously_contacted; raw pdays dropped to avoid a meaningless numeric scale.</w:t>
            </w:r>
          </w:p>
        </w:tc>
      </w:tr>
      <w:tr>
        <w:tc>
          <w:tcPr>
            <w:tcW w:type="dxa" w:w="1900"/>
            <w:shd w:fill="FFFFFF" w:val="clear"/>
          </w:tcPr>
          <w:p>
            <w:r>
              <w:rPr>
                <w:sz w:val="19"/>
                <w:szCs w:val="19"/>
              </w:rPr>
              <w:t xml:space="preserve">Quasi-complete separation</w:t>
            </w:r>
          </w:p>
        </w:tc>
        <w:tc>
          <w:tcPr>
            <w:tcW w:type="dxa" w:w="3300"/>
            <w:shd w:fill="FFFFFF" w:val="clear"/>
          </w:tcPr>
          <w:p>
            <w:r>
              <w:rPr>
                <w:sz w:val="19"/>
                <w:szCs w:val="19"/>
              </w:rPr>
              <w:t xml:space="preserve">default = 'yes' has 3 rows, all non-subscribers</w:t>
            </w:r>
          </w:p>
        </w:tc>
        <w:tc>
          <w:tcPr>
            <w:tcW w:type="dxa" w:w="4200"/>
            <w:shd w:fill="FFFFFF" w:val="clear"/>
          </w:tcPr>
          <w:p>
            <w:r>
              <w:rPr>
                <w:sz w:val="19"/>
                <w:szCs w:val="19"/>
              </w:rPr>
              <w:t xml:space="preserve">Rows removed: otherwise the logistic-regression coefficient diverges and the optimiser fails to converge.</w:t>
            </w:r>
          </w:p>
        </w:tc>
      </w:tr>
      <w:tr>
        <w:tc>
          <w:tcPr>
            <w:tcW w:type="dxa" w:w="1900"/>
            <w:shd w:fill="F2F2F2" w:val="clear"/>
          </w:tcPr>
          <w:p>
            <w:r>
              <w:rPr>
                <w:sz w:val="19"/>
                <w:szCs w:val="19"/>
              </w:rPr>
              <w:t xml:space="preserve">Data leakage</w:t>
            </w:r>
          </w:p>
        </w:tc>
        <w:tc>
          <w:tcPr>
            <w:tcW w:type="dxa" w:w="3300"/>
            <w:shd w:fill="F2F2F2" w:val="clear"/>
          </w:tcPr>
          <w:p>
            <w:r>
              <w:rPr>
                <w:sz w:val="19"/>
                <w:szCs w:val="19"/>
              </w:rPr>
              <w:t xml:space="preserve">duration is known only after the call ends</w:t>
            </w:r>
          </w:p>
        </w:tc>
        <w:tc>
          <w:tcPr>
            <w:tcW w:type="dxa" w:w="4200"/>
            <w:shd w:fill="F2F2F2" w:val="clear"/>
          </w:tcPr>
          <w:p>
            <w:r>
              <w:rPr>
                <w:sz w:val="19"/>
                <w:szCs w:val="19"/>
              </w:rPr>
              <w:t xml:space="preserve">Excluded from all predictive and explanatory models. It correlates strongly with the target (r = 0.405) but cannot be used to decide whom to call.</w:t>
            </w:r>
          </w:p>
        </w:tc>
      </w:tr>
      <w:tr>
        <w:tc>
          <w:tcPr>
            <w:tcW w:type="dxa" w:w="1900"/>
            <w:shd w:fill="FFFFFF" w:val="clear"/>
          </w:tcPr>
          <w:p>
            <w:r>
              <w:rPr>
                <w:sz w:val="19"/>
                <w:szCs w:val="19"/>
              </w:rPr>
              <w:t xml:space="preserve">Skewed count</w:t>
            </w:r>
          </w:p>
        </w:tc>
        <w:tc>
          <w:tcPr>
            <w:tcW w:type="dxa" w:w="3300"/>
            <w:shd w:fill="FFFFFF" w:val="clear"/>
          </w:tcPr>
          <w:p>
            <w:r>
              <w:rPr>
                <w:sz w:val="19"/>
                <w:szCs w:val="19"/>
              </w:rPr>
              <w:t xml:space="preserve">campaign skew 4.76</w:t>
            </w:r>
          </w:p>
        </w:tc>
        <w:tc>
          <w:tcPr>
            <w:tcW w:type="dxa" w:w="4200"/>
            <w:shd w:fill="FFFFFF" w:val="clear"/>
          </w:tcPr>
          <w:p>
            <w:r>
              <w:rPr>
                <w:sz w:val="19"/>
                <w:szCs w:val="19"/>
              </w:rPr>
              <w:t xml:space="preserve">log(1 + campaign) used in models.</w:t>
            </w:r>
          </w:p>
        </w:tc>
      </w:tr>
      <w:tr>
        <w:tc>
          <w:tcPr>
            <w:tcW w:type="dxa" w:w="1900"/>
            <w:shd w:fill="F2F2F2" w:val="clear"/>
          </w:tcPr>
          <w:p>
            <w:r>
              <w:rPr>
                <w:sz w:val="19"/>
                <w:szCs w:val="19"/>
              </w:rPr>
              <w:t xml:space="preserve">Categorical encoding</w:t>
            </w:r>
          </w:p>
        </w:tc>
        <w:tc>
          <w:tcPr>
            <w:tcW w:type="dxa" w:w="3300"/>
            <w:shd w:fill="F2F2F2" w:val="clear"/>
          </w:tcPr>
          <w:p>
            <w:r>
              <w:rPr>
                <w:sz w:val="19"/>
                <w:szCs w:val="19"/>
              </w:rPr>
              <w:t xml:space="preserve">8 categorical features</w:t>
            </w:r>
          </w:p>
        </w:tc>
        <w:tc>
          <w:tcPr>
            <w:tcW w:type="dxa" w:w="4200"/>
            <w:shd w:fill="F2F2F2" w:val="clear"/>
          </w:tcPr>
          <w:p>
            <w:r>
              <w:rPr>
                <w:sz w:val="19"/>
                <w:szCs w:val="19"/>
              </w:rPr>
              <w:t xml:space="preserve">One-hot encoding with first level dropped; numeric features standardised only for the scale-sensitive logistic regression.</w:t>
            </w:r>
          </w:p>
        </w:tc>
      </w:tr>
    </w:tbl>
    <w:p/>
    <w:p>
      <w:pPr>
        <w:spacing w:after="120"/>
      </w:pPr>
      <w:r>
        <w:t xml:space="preserve">After cleaning, 41,173 rows remain with a positive rate of 11.27%. The cleaned dataset is saved as data/bank_clean_final.csv.</w:t>
      </w:r>
    </w:p>
    <w:p>
      <w:pPr>
        <w:pStyle w:val="Heading1"/>
        <w:spacing w:after="150" w:before="320"/>
      </w:pPr>
      <w:r>
        <w:t xml:space="preserve">4. Exploratory Data Analysis</w:t>
      </w:r>
    </w:p>
    <w:p>
      <w:pPr>
        <w:spacing w:after="60" w:before="12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43100"/>
                    </a:xfrm>
                    <a:prstGeom prst="rect">
                      <a:avLst/>
                    </a:prstGeom>
                  </pic:spPr>
                </pic:pic>
              </a:graphicData>
            </a:graphic>
          </wp:inline>
        </w:drawing>
      </w:r>
    </w:p>
    <w:p>
      <w:pPr>
        <w:spacing w:after="220"/>
        <w:jc w:val="center"/>
      </w:pPr>
      <w:r>
        <w:rPr>
          <w:i/>
          <w:iCs/>
          <w:color w:val="555555"/>
          <w:sz w:val="20"/>
          <w:szCs w:val="20"/>
        </w:rPr>
        <w:t xml:space="preserve">Figure 1. Target balance (left) and client age distribution (right).</w:t>
      </w:r>
    </w:p>
    <w:p>
      <w:pPr>
        <w:spacing w:after="120"/>
      </w:pPr>
      <w:r>
        <w:t xml:space="preserve">The target is imbalanced: 11.3% of contacts subscribed. Plain accuracy would therefore be misleading (always predicting 'no' scores about 89%), so ROC-AUC, average precision, recall and precision are used throughout. Ages concentrate between 30 and 50 with a long right tail up to 98.</w:t>
      </w:r>
    </w:p>
    <w:p>
      <w:pPr>
        <w:spacing w:after="60" w:before="120"/>
        <w:jc w:val="center"/>
      </w:pPr>
      <w:r>
        <w:drawing>
          <wp:inline distT="0" distB="0" distL="0" distR="0">
            <wp:extent cx="5524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29050"/>
                    </a:xfrm>
                    <a:prstGeom prst="rect">
                      <a:avLst/>
                    </a:prstGeom>
                  </pic:spPr>
                </pic:pic>
              </a:graphicData>
            </a:graphic>
          </wp:inline>
        </w:drawing>
      </w:r>
    </w:p>
    <w:p>
      <w:pPr>
        <w:spacing w:after="220"/>
        <w:jc w:val="center"/>
      </w:pPr>
      <w:r>
        <w:rPr>
          <w:i/>
          <w:iCs/>
          <w:color w:val="555555"/>
          <w:sz w:val="20"/>
          <w:szCs w:val="20"/>
        </w:rPr>
        <w:t xml:space="preserve">Figure 2. Subscription rate by job, previous outcome, contact channel and month; dashed line is the overall rate.</w:t>
      </w:r>
    </w:p>
    <w:p>
      <w:pPr>
        <w:pStyle w:val="ListParagraph"/>
        <w:numPr>
          <w:ilvl w:val="0"/>
          <w:numId w:val="2"/>
        </w:numPr>
        <w:spacing w:after="60"/>
      </w:pPr>
      <w:r>
        <w:t xml:space="preserve">Previous outcome: success 65.11%, failure 14.23%, nonexistent 8.83%.</w:t>
      </w:r>
    </w:p>
    <w:p>
      <w:pPr>
        <w:pStyle w:val="ListParagraph"/>
        <w:numPr>
          <w:ilvl w:val="0"/>
          <w:numId w:val="2"/>
        </w:numPr>
        <w:spacing w:after="60"/>
      </w:pPr>
      <w:r>
        <w:t xml:space="preserve">Job: students 31.43% and retirees 25.26% are highest; blue-collar 6.9% and services 8.14% are lowest.</w:t>
      </w:r>
    </w:p>
    <w:p>
      <w:pPr>
        <w:pStyle w:val="ListParagraph"/>
        <w:numPr>
          <w:ilvl w:val="0"/>
          <w:numId w:val="2"/>
        </w:numPr>
        <w:spacing w:after="60"/>
      </w:pPr>
      <w:r>
        <w:t xml:space="preserve">Channel: cellular 14.74% versus telephone 5.23%.</w:t>
      </w:r>
    </w:p>
    <w:p>
      <w:pPr>
        <w:pStyle w:val="ListParagraph"/>
        <w:numPr>
          <w:ilvl w:val="0"/>
          <w:numId w:val="2"/>
        </w:numPr>
        <w:spacing w:after="60"/>
      </w:pPr>
      <w:r>
        <w:t xml:space="preserve">Month: March (50.55%), December (48.9%) and September (44.91%) are highest, May is lowest (6.44%). These high-rate months are also the smallest: March, September and December have 546, 570 and 182 contacts versus 13,767 in May, so their rates are less precise.</w:t>
      </w:r>
    </w:p>
    <w:p>
      <w:pPr>
        <w:spacing w:after="60" w:before="120"/>
        <w:jc w:val="center"/>
      </w:pPr>
      <w:r>
        <w:drawing>
          <wp:inline distT="0" distB="0" distL="0" distR="0">
            <wp:extent cx="44767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86150"/>
                    </a:xfrm>
                    <a:prstGeom prst="rect">
                      <a:avLst/>
                    </a:prstGeom>
                  </pic:spPr>
                </pic:pic>
              </a:graphicData>
            </a:graphic>
          </wp:inline>
        </w:drawing>
      </w:r>
    </w:p>
    <w:p>
      <w:pPr>
        <w:spacing w:after="220"/>
        <w:jc w:val="center"/>
      </w:pPr>
      <w:r>
        <w:rPr>
          <w:i/>
          <w:iCs/>
          <w:color w:val="555555"/>
          <w:sz w:val="20"/>
          <w:szCs w:val="20"/>
        </w:rPr>
        <w:t xml:space="preserve">Figure 3. Correlation heatmap of numeric features and the target.</w:t>
      </w:r>
    </w:p>
    <w:p>
      <w:pPr>
        <w:spacing w:after="120"/>
      </w:pPr>
      <w:r>
        <w:t xml:space="preserve">Three macro-economic variables are almost interchangeable: emp_var_rate with euribor3m r = 0.972, euribor3m with nr_employed r = 0.945, emp_var_rate with nr_employed r = 0.907. Each is negatively correlated with subscription (nr_employed r = -0.355, euribor3m r = -0.308); duration has the highest positive correlation (r = 0.405) but is excluded as leakage. Section 6 examines the consequences of this collinearity.</w:t>
      </w:r>
    </w:p>
    <w:p>
      <w:pPr>
        <w:pStyle w:val="Heading1"/>
        <w:spacing w:after="150" w:before="320"/>
      </w:pPr>
      <w:r>
        <w:t xml:space="preserve">5. Hypothesis Testing</w:t>
      </w:r>
    </w:p>
    <w:p>
      <w:pPr>
        <w:spacing w:after="120"/>
      </w:pPr>
      <w:r>
        <w:t xml:space="preserve">Univariate tests (alpha = 0.05, two-sided) were run before modelling to decide which variables merit inclusion.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100"/>
      </w:tblGrid>
      <w:tr>
        <w:trPr>
          <w:tblHeader/>
        </w:trPr>
        <w:tc>
          <w:tcPr>
            <w:tcW w:type="dxa" w:w="3300"/>
            <w:shd w:fill="2F5496" w:val="clear"/>
          </w:tcPr>
          <w:p>
            <w:r>
              <w:rPr>
                <w:b/>
                <w:bCs/>
                <w:color w:val="FFFFFF"/>
                <w:sz w:val="19"/>
                <w:szCs w:val="19"/>
              </w:rPr>
              <w:t xml:space="preserve">Test</w:t>
            </w:r>
          </w:p>
        </w:tc>
        <w:tc>
          <w:tcPr>
            <w:tcW w:type="dxa" w:w="4000"/>
            <w:shd w:fill="2F5496" w:val="clear"/>
          </w:tcPr>
          <w:p>
            <w:r>
              <w:rPr>
                <w:b/>
                <w:bCs/>
                <w:color w:val="FFFFFF"/>
                <w:sz w:val="19"/>
                <w:szCs w:val="19"/>
              </w:rPr>
              <w:t xml:space="preserve">Result</w:t>
            </w:r>
          </w:p>
        </w:tc>
        <w:tc>
          <w:tcPr>
            <w:tcW w:type="dxa" w:w="2100"/>
            <w:shd w:fill="2F5496" w:val="clear"/>
          </w:tcPr>
          <w:p>
            <w:r>
              <w:rPr>
                <w:b/>
                <w:bCs/>
                <w:color w:val="FFFFFF"/>
                <w:sz w:val="19"/>
                <w:szCs w:val="19"/>
              </w:rPr>
              <w:t xml:space="preserve">Decision</w:t>
            </w:r>
          </w:p>
        </w:tc>
      </w:tr>
      <w:tr>
        <w:tc>
          <w:tcPr>
            <w:tcW w:type="dxa" w:w="3300"/>
            <w:shd w:fill="F2F2F2" w:val="clear"/>
          </w:tcPr>
          <w:p>
            <w:r>
              <w:rPr>
                <w:sz w:val="19"/>
                <w:szCs w:val="19"/>
              </w:rPr>
              <w:t xml:space="preserve">Welch t-test: duration, yes vs no</w:t>
            </w:r>
          </w:p>
        </w:tc>
        <w:tc>
          <w:tcPr>
            <w:tcW w:type="dxa" w:w="4000"/>
            <w:shd w:fill="F2F2F2" w:val="clear"/>
          </w:tcPr>
          <w:p>
            <w:r>
              <w:rPr>
                <w:sz w:val="19"/>
                <w:szCs w:val="19"/>
              </w:rPr>
              <w:t xml:space="preserve">Mean 553.3s vs 220.9s; t = 55.5; p &lt; 0.001</w:t>
            </w:r>
          </w:p>
        </w:tc>
        <w:tc>
          <w:tcPr>
            <w:tcW w:type="dxa" w:w="2100"/>
            <w:shd w:fill="F2F2F2" w:val="clear"/>
          </w:tcPr>
          <w:p>
            <w:r>
              <w:rPr>
                <w:sz w:val="19"/>
                <w:szCs w:val="19"/>
              </w:rPr>
              <w:t xml:space="preserve">Reject H0 (but leakage variable)</w:t>
            </w:r>
          </w:p>
        </w:tc>
      </w:tr>
      <w:tr>
        <w:tc>
          <w:tcPr>
            <w:tcW w:type="dxa" w:w="3300"/>
            <w:shd w:fill="FFFFFF" w:val="clear"/>
          </w:tcPr>
          <w:p>
            <w:r>
              <w:rPr>
                <w:sz w:val="19"/>
                <w:szCs w:val="19"/>
              </w:rPr>
              <w:t xml:space="preserve">Welch t-test: age, yes vs no</w:t>
            </w:r>
          </w:p>
        </w:tc>
        <w:tc>
          <w:tcPr>
            <w:tcW w:type="dxa" w:w="4000"/>
            <w:shd w:fill="FFFFFF" w:val="clear"/>
          </w:tcPr>
          <w:p>
            <w:r>
              <w:rPr>
                <w:sz w:val="19"/>
                <w:szCs w:val="19"/>
              </w:rPr>
              <w:t xml:space="preserve">Mean 40.91 vs 39.91 years; t = 4.78; p = 1.8e-6</w:t>
            </w:r>
          </w:p>
        </w:tc>
        <w:tc>
          <w:tcPr>
            <w:tcW w:type="dxa" w:w="2100"/>
            <w:shd w:fill="FFFFFF" w:val="clear"/>
          </w:tcPr>
          <w:p>
            <w:r>
              <w:rPr>
                <w:sz w:val="19"/>
                <w:szCs w:val="19"/>
              </w:rPr>
              <w:t xml:space="preserve">Reject H0 (small difference of about 1 year)</w:t>
            </w:r>
          </w:p>
        </w:tc>
      </w:tr>
      <w:tr>
        <w:tc>
          <w:tcPr>
            <w:tcW w:type="dxa" w:w="3300"/>
            <w:shd w:fill="F2F2F2" w:val="clear"/>
          </w:tcPr>
          <w:p>
            <w:r>
              <w:rPr>
                <w:sz w:val="19"/>
                <w:szCs w:val="19"/>
              </w:rPr>
              <w:t xml:space="preserve">Chi-square: poutcome vs y</w:t>
            </w:r>
          </w:p>
        </w:tc>
        <w:tc>
          <w:tcPr>
            <w:tcW w:type="dxa" w:w="4000"/>
            <w:shd w:fill="F2F2F2" w:val="clear"/>
          </w:tcPr>
          <w:p>
            <w:r>
              <w:rPr>
                <w:sz w:val="19"/>
                <w:szCs w:val="19"/>
              </w:rPr>
              <w:t xml:space="preserve">chi2 = 4229.9, df = 2, p &lt; 0.001</w:t>
            </w:r>
          </w:p>
        </w:tc>
        <w:tc>
          <w:tcPr>
            <w:tcW w:type="dxa" w:w="2100"/>
            <w:shd w:fill="F2F2F2" w:val="clear"/>
          </w:tcPr>
          <w:p>
            <w:r>
              <w:rPr>
                <w:sz w:val="19"/>
                <w:szCs w:val="19"/>
              </w:rPr>
              <w:t xml:space="preserve">Reject H0 (associated)</w:t>
            </w:r>
          </w:p>
        </w:tc>
      </w:tr>
      <w:tr>
        <w:tc>
          <w:tcPr>
            <w:tcW w:type="dxa" w:w="3300"/>
            <w:shd w:fill="FFFFFF" w:val="clear"/>
          </w:tcPr>
          <w:p>
            <w:r>
              <w:rPr>
                <w:sz w:val="19"/>
                <w:szCs w:val="19"/>
              </w:rPr>
              <w:t xml:space="preserve">Chi-square: job vs y</w:t>
            </w:r>
          </w:p>
        </w:tc>
        <w:tc>
          <w:tcPr>
            <w:tcW w:type="dxa" w:w="4000"/>
            <w:shd w:fill="FFFFFF" w:val="clear"/>
          </w:tcPr>
          <w:p>
            <w:r>
              <w:rPr>
                <w:sz w:val="19"/>
                <w:szCs w:val="19"/>
              </w:rPr>
              <w:t xml:space="preserve">chi2 = 961.7, df = 11, p &lt; 0.001</w:t>
            </w:r>
          </w:p>
        </w:tc>
        <w:tc>
          <w:tcPr>
            <w:tcW w:type="dxa" w:w="2100"/>
            <w:shd w:fill="FFFFFF" w:val="clear"/>
          </w:tcPr>
          <w:p>
            <w:r>
              <w:rPr>
                <w:sz w:val="19"/>
                <w:szCs w:val="19"/>
              </w:rPr>
              <w:t xml:space="preserve">Reject H0 (associated)</w:t>
            </w:r>
          </w:p>
        </w:tc>
      </w:tr>
      <w:tr>
        <w:tc>
          <w:tcPr>
            <w:tcW w:type="dxa" w:w="3300"/>
            <w:shd w:fill="F2F2F2" w:val="clear"/>
          </w:tcPr>
          <w:p>
            <w:r>
              <w:rPr>
                <w:sz w:val="19"/>
                <w:szCs w:val="19"/>
              </w:rPr>
              <w:t xml:space="preserve">Chi-square: contact vs y</w:t>
            </w:r>
          </w:p>
        </w:tc>
        <w:tc>
          <w:tcPr>
            <w:tcW w:type="dxa" w:w="4000"/>
            <w:shd w:fill="F2F2F2" w:val="clear"/>
          </w:tcPr>
          <w:p>
            <w:r>
              <w:rPr>
                <w:sz w:val="19"/>
                <w:szCs w:val="19"/>
              </w:rPr>
              <w:t xml:space="preserve">chi2 = 862.3, df = 1, p &lt; 0.001</w:t>
            </w:r>
          </w:p>
        </w:tc>
        <w:tc>
          <w:tcPr>
            <w:tcW w:type="dxa" w:w="2100"/>
            <w:shd w:fill="F2F2F2" w:val="clear"/>
          </w:tcPr>
          <w:p>
            <w:r>
              <w:rPr>
                <w:sz w:val="19"/>
                <w:szCs w:val="19"/>
              </w:rPr>
              <w:t xml:space="preserve">Reject H0 (associated)</w:t>
            </w:r>
          </w:p>
        </w:tc>
      </w:tr>
      <w:tr>
        <w:tc>
          <w:tcPr>
            <w:tcW w:type="dxa" w:w="3300"/>
            <w:shd w:fill="FFFFFF" w:val="clear"/>
          </w:tcPr>
          <w:p>
            <w:r>
              <w:rPr>
                <w:sz w:val="19"/>
                <w:szCs w:val="19"/>
              </w:rPr>
              <w:t xml:space="preserve">Chi-square: default vs y</w:t>
            </w:r>
          </w:p>
        </w:tc>
        <w:tc>
          <w:tcPr>
            <w:tcW w:type="dxa" w:w="4000"/>
            <w:shd w:fill="FFFFFF" w:val="clear"/>
          </w:tcPr>
          <w:p>
            <w:r>
              <w:rPr>
                <w:sz w:val="19"/>
                <w:szCs w:val="19"/>
              </w:rPr>
              <w:t xml:space="preserve">chi2 = 405.4, df = 1, p &lt; 0.001</w:t>
            </w:r>
          </w:p>
        </w:tc>
        <w:tc>
          <w:tcPr>
            <w:tcW w:type="dxa" w:w="2100"/>
            <w:shd w:fill="FFFFFF" w:val="clear"/>
          </w:tcPr>
          <w:p>
            <w:r>
              <w:rPr>
                <w:sz w:val="19"/>
                <w:szCs w:val="19"/>
              </w:rPr>
              <w:t xml:space="preserve">Reject H0 (associated)</w:t>
            </w:r>
          </w:p>
        </w:tc>
      </w:tr>
      <w:tr>
        <w:tc>
          <w:tcPr>
            <w:tcW w:type="dxa" w:w="3300"/>
            <w:shd w:fill="F2F2F2" w:val="clear"/>
          </w:tcPr>
          <w:p>
            <w:r>
              <w:rPr>
                <w:sz w:val="19"/>
                <w:szCs w:val="19"/>
              </w:rPr>
              <w:t xml:space="preserve">Chi-square: education vs y</w:t>
            </w:r>
          </w:p>
        </w:tc>
        <w:tc>
          <w:tcPr>
            <w:tcW w:type="dxa" w:w="4000"/>
            <w:shd w:fill="F2F2F2" w:val="clear"/>
          </w:tcPr>
          <w:p>
            <w:r>
              <w:rPr>
                <w:sz w:val="19"/>
                <w:szCs w:val="19"/>
              </w:rPr>
              <w:t xml:space="preserve">chi2 = 192.8, df = 7, p &lt; 0.001</w:t>
            </w:r>
          </w:p>
        </w:tc>
        <w:tc>
          <w:tcPr>
            <w:tcW w:type="dxa" w:w="2100"/>
            <w:shd w:fill="F2F2F2" w:val="clear"/>
          </w:tcPr>
          <w:p>
            <w:r>
              <w:rPr>
                <w:sz w:val="19"/>
                <w:szCs w:val="19"/>
              </w:rPr>
              <w:t xml:space="preserve">Reject H0 (associated)</w:t>
            </w:r>
          </w:p>
        </w:tc>
      </w:tr>
      <w:tr>
        <w:tc>
          <w:tcPr>
            <w:tcW w:type="dxa" w:w="3300"/>
            <w:shd w:fill="FFFFFF" w:val="clear"/>
          </w:tcPr>
          <w:p>
            <w:r>
              <w:rPr>
                <w:sz w:val="19"/>
                <w:szCs w:val="19"/>
              </w:rPr>
              <w:t xml:space="preserve">Chi-square: marital vs y</w:t>
            </w:r>
          </w:p>
        </w:tc>
        <w:tc>
          <w:tcPr>
            <w:tcW w:type="dxa" w:w="4000"/>
            <w:shd w:fill="FFFFFF" w:val="clear"/>
          </w:tcPr>
          <w:p>
            <w:r>
              <w:rPr>
                <w:sz w:val="19"/>
                <w:szCs w:val="19"/>
              </w:rPr>
              <w:t xml:space="preserve">chi2 = 122.9, df = 3, p &lt; 0.001</w:t>
            </w:r>
          </w:p>
        </w:tc>
        <w:tc>
          <w:tcPr>
            <w:tcW w:type="dxa" w:w="2100"/>
            <w:shd w:fill="FFFFFF" w:val="clear"/>
          </w:tcPr>
          <w:p>
            <w:r>
              <w:rPr>
                <w:sz w:val="19"/>
                <w:szCs w:val="19"/>
              </w:rPr>
              <w:t xml:space="preserve">Reject H0 (associated)</w:t>
            </w:r>
          </w:p>
        </w:tc>
      </w:tr>
      <w:tr>
        <w:tc>
          <w:tcPr>
            <w:tcW w:type="dxa" w:w="3300"/>
            <w:shd w:fill="F2F2F2" w:val="clear"/>
          </w:tcPr>
          <w:p>
            <w:r>
              <w:rPr>
                <w:sz w:val="19"/>
                <w:szCs w:val="19"/>
              </w:rPr>
              <w:t xml:space="preserve">Chi-square: housing vs y</w:t>
            </w:r>
          </w:p>
        </w:tc>
        <w:tc>
          <w:tcPr>
            <w:tcW w:type="dxa" w:w="4000"/>
            <w:shd w:fill="F2F2F2" w:val="clear"/>
          </w:tcPr>
          <w:p>
            <w:r>
              <w:rPr>
                <w:sz w:val="19"/>
                <w:szCs w:val="19"/>
              </w:rPr>
              <w:t xml:space="preserve">chi2 = 5.7, df = 2, p = 0.057</w:t>
            </w:r>
          </w:p>
        </w:tc>
        <w:tc>
          <w:tcPr>
            <w:tcW w:type="dxa" w:w="2100"/>
            <w:shd w:fill="F2F2F2" w:val="clear"/>
          </w:tcPr>
          <w:p>
            <w:r>
              <w:rPr>
                <w:sz w:val="19"/>
                <w:szCs w:val="19"/>
              </w:rPr>
              <w:t xml:space="preserve">Fail to reject H0</w:t>
            </w:r>
          </w:p>
        </w:tc>
      </w:tr>
      <w:tr>
        <w:tc>
          <w:tcPr>
            <w:tcW w:type="dxa" w:w="3300"/>
            <w:shd w:fill="FFFFFF" w:val="clear"/>
          </w:tcPr>
          <w:p>
            <w:r>
              <w:rPr>
                <w:sz w:val="19"/>
                <w:szCs w:val="19"/>
              </w:rPr>
              <w:t xml:space="preserve">Chi-square: loan vs y</w:t>
            </w:r>
          </w:p>
        </w:tc>
        <w:tc>
          <w:tcPr>
            <w:tcW w:type="dxa" w:w="4000"/>
            <w:shd w:fill="FFFFFF" w:val="clear"/>
          </w:tcPr>
          <w:p>
            <w:r>
              <w:rPr>
                <w:sz w:val="19"/>
                <w:szCs w:val="19"/>
              </w:rPr>
              <w:t xml:space="preserve">chi2 = 1.1, df = 2, p = 0.576</w:t>
            </w:r>
          </w:p>
        </w:tc>
        <w:tc>
          <w:tcPr>
            <w:tcW w:type="dxa" w:w="2100"/>
            <w:shd w:fill="FFFFFF" w:val="clear"/>
          </w:tcPr>
          <w:p>
            <w:r>
              <w:rPr>
                <w:sz w:val="19"/>
                <w:szCs w:val="19"/>
              </w:rPr>
              <w:t xml:space="preserve">Fail to reject H0</w:t>
            </w:r>
          </w:p>
        </w:tc>
      </w:tr>
    </w:tbl>
    <w:p/>
    <w:p>
      <w:pPr>
        <w:spacing w:after="120"/>
      </w:pPr>
      <w:r>
        <w:t xml:space="preserve">poutcome, job, contact, default, education and marital status are significantly associated with the outcome. housing and loan are not (p = 0.057 and 0.576) and were excluded from the logistic model. Note that with 41,000 rows even very small differences become statistically significant, which is why effect sizes (odds ratios, differences in rates) are reported alongside p-values.</w:t>
      </w:r>
    </w:p>
    <w:p>
      <w:pPr>
        <w:pStyle w:val="Heading1"/>
        <w:spacing w:after="150" w:before="320"/>
      </w:pPr>
      <w:r>
        <w:t xml:space="preserve">6. Statistical Modelling (Logistic Regression)</w:t>
      </w:r>
    </w:p>
    <w:p>
      <w:pPr>
        <w:pStyle w:val="Heading2"/>
        <w:spacing w:after="120" w:before="240"/>
      </w:pPr>
      <w:r>
        <w:t xml:space="preserve">6.1 Multicollinearity: diagnosis, consequences and treatment</w:t>
      </w:r>
    </w:p>
    <w:p>
      <w:pPr>
        <w:spacing w:after="120"/>
      </w:pPr>
      <w:r>
        <w:t xml:space="preserve">VIF alone says a variable is redundant; it does not show what the redundancy does to the model. Four complementary diagnostics were therefore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400"/>
      </w:tblGrid>
      <w:tr>
        <w:trPr>
          <w:tblHeader/>
        </w:trPr>
        <w:tc>
          <w:tcPr>
            <w:tcW w:type="dxa" w:w="4200"/>
            <w:shd w:fill="2F5496" w:val="clear"/>
          </w:tcPr>
          <w:p>
            <w:r>
              <w:rPr>
                <w:b/>
                <w:bCs/>
                <w:color w:val="FFFFFF"/>
                <w:sz w:val="19"/>
                <w:szCs w:val="19"/>
              </w:rPr>
              <w:t xml:space="preserve">Diagnostic</w:t>
            </w:r>
          </w:p>
        </w:tc>
        <w:tc>
          <w:tcPr>
            <w:tcW w:type="dxa" w:w="2800"/>
            <w:shd w:fill="2F5496" w:val="clear"/>
          </w:tcPr>
          <w:p>
            <w:r>
              <w:rPr>
                <w:b/>
                <w:bCs/>
                <w:color w:val="FFFFFF"/>
                <w:sz w:val="19"/>
                <w:szCs w:val="19"/>
              </w:rPr>
              <w:t xml:space="preserve">All 4 macro variables</w:t>
            </w:r>
          </w:p>
        </w:tc>
        <w:tc>
          <w:tcPr>
            <w:tcW w:type="dxa" w:w="2400"/>
            <w:shd w:fill="2F5496" w:val="clear"/>
          </w:tcPr>
          <w:p>
            <w:r>
              <w:rPr>
                <w:b/>
                <w:bCs/>
                <w:color w:val="FFFFFF"/>
                <w:sz w:val="19"/>
                <w:szCs w:val="19"/>
              </w:rPr>
              <w:t xml:space="preserve">Only nr_employed kept</w:t>
            </w:r>
          </w:p>
        </w:tc>
      </w:tr>
      <w:tr>
        <w:tc>
          <w:tcPr>
            <w:tcW w:type="dxa" w:w="4200"/>
            <w:shd w:fill="F2F2F2" w:val="clear"/>
          </w:tcPr>
          <w:p>
            <w:r>
              <w:rPr>
                <w:sz w:val="19"/>
                <w:szCs w:val="19"/>
              </w:rPr>
              <w:t xml:space="preserve">VIF: emp_var_rate / euribor3m / nr_employed / cons_price_idx</w:t>
            </w:r>
          </w:p>
        </w:tc>
        <w:tc>
          <w:tcPr>
            <w:tcW w:type="dxa" w:w="2800"/>
            <w:shd w:fill="F2F2F2" w:val="clear"/>
          </w:tcPr>
          <w:p>
            <w:r>
              <w:rPr>
                <w:sz w:val="19"/>
                <w:szCs w:val="19"/>
              </w:rPr>
              <w:t xml:space="preserve">33.2 / 64.5 / 31.6 / 6.3</w:t>
            </w:r>
          </w:p>
        </w:tc>
        <w:tc>
          <w:tcPr>
            <w:tcW w:type="dxa" w:w="2400"/>
            <w:shd w:fill="F2F2F2" w:val="clear"/>
          </w:tcPr>
          <w:p>
            <w:r>
              <w:rPr>
                <w:sz w:val="19"/>
                <w:szCs w:val="19"/>
              </w:rPr>
              <w:t xml:space="preserve">nr_employed 1.37</w:t>
            </w:r>
          </w:p>
        </w:tc>
      </w:tr>
      <w:tr>
        <w:tc>
          <w:tcPr>
            <w:tcW w:type="dxa" w:w="4200"/>
            <w:shd w:fill="FFFFFF" w:val="clear"/>
          </w:tcPr>
          <w:p>
            <w:r>
              <w:rPr>
                <w:sz w:val="19"/>
                <w:szCs w:val="19"/>
              </w:rPr>
              <w:t xml:space="preserve">Largest VIF among all predictors</w:t>
            </w:r>
          </w:p>
        </w:tc>
        <w:tc>
          <w:tcPr>
            <w:tcW w:type="dxa" w:w="2800"/>
            <w:shd w:fill="FFFFFF" w:val="clear"/>
          </w:tcPr>
          <w:p>
            <w:r>
              <w:rPr>
                <w:sz w:val="19"/>
                <w:szCs w:val="19"/>
              </w:rPr>
              <w:t xml:space="preserve">64.5</w:t>
            </w:r>
          </w:p>
        </w:tc>
        <w:tc>
          <w:tcPr>
            <w:tcW w:type="dxa" w:w="2400"/>
            <w:shd w:fill="FFFFFF" w:val="clear"/>
          </w:tcPr>
          <w:p>
            <w:r>
              <w:rPr>
                <w:sz w:val="19"/>
                <w:szCs w:val="19"/>
              </w:rPr>
              <w:t xml:space="preserve">1.37</w:t>
            </w:r>
          </w:p>
        </w:tc>
      </w:tr>
      <w:tr>
        <w:tc>
          <w:tcPr>
            <w:tcW w:type="dxa" w:w="4200"/>
            <w:shd w:fill="F2F2F2" w:val="clear"/>
          </w:tcPr>
          <w:p>
            <w:r>
              <w:rPr>
                <w:sz w:val="19"/>
                <w:szCs w:val="19"/>
              </w:rPr>
              <w:t xml:space="preserve">Condition number (standardised predictors)</w:t>
            </w:r>
          </w:p>
        </w:tc>
        <w:tc>
          <w:tcPr>
            <w:tcW w:type="dxa" w:w="2800"/>
            <w:shd w:fill="F2F2F2" w:val="clear"/>
          </w:tcPr>
          <w:p>
            <w:r>
              <w:rPr>
                <w:sz w:val="19"/>
                <w:szCs w:val="19"/>
              </w:rPr>
              <w:t xml:space="preserve">18.8</w:t>
            </w:r>
          </w:p>
        </w:tc>
        <w:tc>
          <w:tcPr>
            <w:tcW w:type="dxa" w:w="2400"/>
            <w:shd w:fill="F2F2F2" w:val="clear"/>
          </w:tcPr>
          <w:p>
            <w:r>
              <w:rPr>
                <w:sz w:val="19"/>
                <w:szCs w:val="19"/>
              </w:rPr>
              <w:t xml:space="preserve">1.79</w:t>
            </w:r>
          </w:p>
        </w:tc>
      </w:tr>
      <w:tr>
        <w:tc>
          <w:tcPr>
            <w:tcW w:type="dxa" w:w="4200"/>
            <w:shd w:fill="FFFFFF" w:val="clear"/>
          </w:tcPr>
          <w:p>
            <w:r>
              <w:rPr>
                <w:sz w:val="19"/>
                <w:szCs w:val="19"/>
              </w:rPr>
              <w:t xml:space="preserve">Log-likelihood / AIC</w:t>
            </w:r>
          </w:p>
        </w:tc>
        <w:tc>
          <w:tcPr>
            <w:tcW w:type="dxa" w:w="2800"/>
            <w:shd w:fill="FFFFFF" w:val="clear"/>
          </w:tcPr>
          <w:p>
            <w:r>
              <w:rPr>
                <w:sz w:val="19"/>
                <w:szCs w:val="19"/>
              </w:rPr>
              <w:t xml:space="preserve">-11595.9 / 23259.7</w:t>
            </w:r>
          </w:p>
        </w:tc>
        <w:tc>
          <w:tcPr>
            <w:tcW w:type="dxa" w:w="2400"/>
            <w:shd w:fill="FFFFFF" w:val="clear"/>
          </w:tcPr>
          <w:p>
            <w:r>
              <w:rPr>
                <w:sz w:val="19"/>
                <w:szCs w:val="19"/>
              </w:rPr>
              <w:t xml:space="preserve">-11689.3 / 23440.5</w:t>
            </w:r>
          </w:p>
        </w:tc>
      </w:tr>
    </w:tbl>
    <w:p/>
    <w:p>
      <w:pPr>
        <w:spacing w:after="120"/>
      </w:pPr>
      <w:r>
        <w:rPr>
          <w:b/>
          <w:bCs/>
        </w:rPr>
        <w:t xml:space="preserve">1) VIF. </w:t>
      </w:r>
      <w:r>
        <w:rPr>
          <w:b w:val="false"/>
          <w:bCs w:val="false"/>
        </w:rPr>
        <w:t xml:space="preserve">emp_var_rate, euribor3m and nr_employed have VIF 33, 64 and 32, far above the usual threshold of 5-10.</w:t>
      </w:r>
    </w:p>
    <w:p>
      <w:pPr>
        <w:spacing w:after="120"/>
      </w:pPr>
      <w:r>
        <w:rPr>
          <w:b/>
          <w:bCs/>
        </w:rPr>
        <w:t xml:space="preserve">2) Condition number. </w:t>
      </w:r>
      <w:r>
        <w:rPr>
          <w:b w:val="false"/>
          <w:bCs w:val="false"/>
        </w:rPr>
        <w:t xml:space="preserve">18.8 for the full set. By the common rule of thumb (above 30 is severe) this is only moderate, so VIF and the condition number disagree on severity; the VIFs are the more alarming and, as the next check shows, the better guide here.</w:t>
      </w:r>
    </w:p>
    <w:p>
      <w:pPr>
        <w:spacing w:after="120"/>
      </w:pPr>
      <w:r>
        <w:rPr>
          <w:b/>
          <w:bCs/>
        </w:rPr>
        <w:t xml:space="preserve">3) Coefficient behaviour. </w:t>
      </w:r>
      <w:r>
        <w:rPr>
          <w:b w:val="false"/>
          <w:bCs w:val="false"/>
        </w:rPr>
        <w:t xml:space="preserve">In the model with all four macro variables, euribor3m has coefficient 0.006 (SE 0.075) and nr_employed -0.0004 (SE 0.0013): both are indistinguishable from zero even though each has a marginal correlation near -0.3 with the target. cons_price_idx takes a coefficient of 1.18 (positive) although its marginal correlation is -0.136 (negative), a sign reversal typical of collinearity. With only nr_employed retained, its coefficient becomes -0.0103 with SE 0.00025, a stable and interpretable estimate.</w:t>
      </w:r>
    </w:p>
    <w:p>
      <w:pPr>
        <w:spacing w:after="120"/>
      </w:pPr>
      <w:r>
        <w:rPr>
          <w:b/>
          <w:bCs/>
        </w:rPr>
        <w:t xml:space="preserve">4) Cost of the fix. </w:t>
      </w:r>
      <w:r>
        <w:rPr>
          <w:b w:val="false"/>
          <w:bCs w:val="false"/>
        </w:rPr>
        <w:t xml:space="preserve">Dropping three variables is not free: AIC rises from 23259.7 to 23440.5 (+181), so the full model fits the data better. The reduced model was chosen for interpretability, not fit. Its nr_employed coefficient should be read as a proxy for the overall economic regime, not as the isolated effect of the number of employees, because the three dropped variables moved together with it.</w:t>
      </w:r>
    </w:p>
    <w:p>
      <w:pPr>
        <w:spacing w:after="120"/>
      </w:pPr>
      <w:r>
        <w:t xml:space="preserve">Prediction is a different matter: tree ensembles and regularised models are not harmed in accuracy by correlated inputs, so all macro variables were kept in the machine-learning stage. The cost appears instead in interpretation: permutation importance is split across the correlated variables (nr_employed 0.020, euribor3m 0.016, emp_var_rate 0.010), so no single one looks as important as the group as a whole.</w:t>
      </w:r>
    </w:p>
    <w:p>
      <w:pPr>
        <w:pStyle w:val="Heading2"/>
        <w:spacing w:after="120" w:before="240"/>
      </w:pPr>
      <w:r>
        <w:t xml:space="preserve">6.2 Final logistic model</w:t>
      </w:r>
    </w:p>
    <w:p>
      <w:pPr>
        <w:spacing w:after="120"/>
      </w:pPr>
      <w:r>
        <w:t xml:space="preserve">Specification: logit P(subscribe) = intercept + age + log(campaign) + previous + cons_conf_idx + nr_employed + job + marital + education + contact + poutcome + default (30 estimated parameters besides the intercept), fitted on all 41,173 cleaned rows (converged: true). Likelihood-ratio test against the intercept-only model: chi2 = 5612.5, df = 30, p &lt; 0.001. McFadden pseudo-R2 = 0.194.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700"/>
        <w:gridCol w:w="1000"/>
        <w:gridCol w:w="2700"/>
      </w:tblGrid>
      <w:tr>
        <w:trPr>
          <w:tblHeader/>
        </w:trPr>
        <w:tc>
          <w:tcPr>
            <w:tcW w:type="dxa" w:w="2900"/>
            <w:shd w:fill="2F5496" w:val="clear"/>
          </w:tcPr>
          <w:p>
            <w:r>
              <w:rPr>
                <w:b/>
                <w:bCs/>
                <w:color w:val="FFFFFF"/>
                <w:sz w:val="19"/>
                <w:szCs w:val="19"/>
              </w:rPr>
              <w:t xml:space="preserve">Predictor</w:t>
            </w:r>
          </w:p>
        </w:tc>
        <w:tc>
          <w:tcPr>
            <w:tcW w:type="dxa" w:w="1100"/>
            <w:shd w:fill="2F5496" w:val="clear"/>
          </w:tcPr>
          <w:p>
            <w:r>
              <w:rPr>
                <w:b/>
                <w:bCs/>
                <w:color w:val="FFFFFF"/>
                <w:sz w:val="19"/>
                <w:szCs w:val="19"/>
              </w:rPr>
              <w:t xml:space="preserve">Odds ratio</w:t>
            </w:r>
          </w:p>
        </w:tc>
        <w:tc>
          <w:tcPr>
            <w:tcW w:type="dxa" w:w="1700"/>
            <w:shd w:fill="2F5496" w:val="clear"/>
          </w:tcPr>
          <w:p>
            <w:r>
              <w:rPr>
                <w:b/>
                <w:bCs/>
                <w:color w:val="FFFFFF"/>
                <w:sz w:val="19"/>
                <w:szCs w:val="19"/>
              </w:rPr>
              <w:t xml:space="preserve">95% CI</w:t>
            </w:r>
          </w:p>
        </w:tc>
        <w:tc>
          <w:tcPr>
            <w:tcW w:type="dxa" w:w="1000"/>
            <w:shd w:fill="2F5496" w:val="clear"/>
          </w:tcPr>
          <w:p>
            <w:r>
              <w:rPr>
                <w:b/>
                <w:bCs/>
                <w:color w:val="FFFFFF"/>
                <w:sz w:val="19"/>
                <w:szCs w:val="19"/>
              </w:rPr>
              <w:t xml:space="preserve">p-value</w:t>
            </w:r>
          </w:p>
        </w:tc>
        <w:tc>
          <w:tcPr>
            <w:tcW w:type="dxa" w:w="2700"/>
            <w:shd w:fill="2F5496" w:val="clear"/>
          </w:tcPr>
          <w:p>
            <w:r>
              <w:rPr>
                <w:b/>
                <w:bCs/>
                <w:color w:val="FFFFFF"/>
                <w:sz w:val="19"/>
                <w:szCs w:val="19"/>
              </w:rPr>
              <w:t xml:space="preserve">Reading</w:t>
            </w:r>
          </w:p>
        </w:tc>
      </w:tr>
      <w:tr>
        <w:tc>
          <w:tcPr>
            <w:tcW w:type="dxa" w:w="2900"/>
            <w:shd w:fill="F2F2F2" w:val="clear"/>
          </w:tcPr>
          <w:p>
            <w:r>
              <w:rPr>
                <w:sz w:val="19"/>
                <w:szCs w:val="19"/>
              </w:rPr>
              <w:t xml:space="preserve">poutcome = success (vs nonexistent)</w:t>
            </w:r>
          </w:p>
        </w:tc>
        <w:tc>
          <w:tcPr>
            <w:tcW w:type="dxa" w:w="1100"/>
            <w:shd w:fill="F2F2F2" w:val="clear"/>
          </w:tcPr>
          <w:p>
            <w:r>
              <w:rPr>
                <w:sz w:val="19"/>
                <w:szCs w:val="19"/>
              </w:rPr>
              <w:t xml:space="preserve">6.10</w:t>
            </w:r>
          </w:p>
        </w:tc>
        <w:tc>
          <w:tcPr>
            <w:tcW w:type="dxa" w:w="1700"/>
            <w:shd w:fill="F2F2F2" w:val="clear"/>
          </w:tcPr>
          <w:p>
            <w:r>
              <w:rPr>
                <w:sz w:val="19"/>
                <w:szCs w:val="19"/>
              </w:rPr>
              <w:t xml:space="preserve">5.24 - 7.09</w:t>
            </w:r>
          </w:p>
        </w:tc>
        <w:tc>
          <w:tcPr>
            <w:tcW w:type="dxa" w:w="1000"/>
            <w:shd w:fill="F2F2F2" w:val="clear"/>
          </w:tcPr>
          <w:p>
            <w:r>
              <w:rPr>
                <w:sz w:val="19"/>
                <w:szCs w:val="19"/>
              </w:rPr>
              <w:t xml:space="preserve">&lt; 0.001</w:t>
            </w:r>
          </w:p>
        </w:tc>
        <w:tc>
          <w:tcPr>
            <w:tcW w:type="dxa" w:w="2700"/>
            <w:shd w:fill="F2F2F2" w:val="clear"/>
          </w:tcPr>
          <w:p>
            <w:r>
              <w:rPr>
                <w:sz w:val="19"/>
                <w:szCs w:val="19"/>
              </w:rPr>
              <w:t xml:space="preserve">Previous success multiplies the odds about 6-fold</w:t>
            </w:r>
          </w:p>
        </w:tc>
      </w:tr>
      <w:tr>
        <w:tc>
          <w:tcPr>
            <w:tcW w:type="dxa" w:w="2900"/>
            <w:shd w:fill="FFFFFF" w:val="clear"/>
          </w:tcPr>
          <w:p>
            <w:r>
              <w:rPr>
                <w:sz w:val="19"/>
                <w:szCs w:val="19"/>
              </w:rPr>
              <w:t xml:space="preserve">contact = telephone (vs cellular)</w:t>
            </w:r>
          </w:p>
        </w:tc>
        <w:tc>
          <w:tcPr>
            <w:tcW w:type="dxa" w:w="1100"/>
            <w:shd w:fill="FFFFFF" w:val="clear"/>
          </w:tcPr>
          <w:p>
            <w:r>
              <w:rPr>
                <w:sz w:val="19"/>
                <w:szCs w:val="19"/>
              </w:rPr>
              <w:t xml:space="preserve">0.549</w:t>
            </w:r>
          </w:p>
        </w:tc>
        <w:tc>
          <w:tcPr>
            <w:tcW w:type="dxa" w:w="1700"/>
            <w:shd w:fill="FFFFFF" w:val="clear"/>
          </w:tcPr>
          <w:p>
            <w:r>
              <w:rPr>
                <w:sz w:val="19"/>
                <w:szCs w:val="19"/>
              </w:rPr>
              <w:t xml:space="preserve">0.502 - 0.600</w:t>
            </w:r>
          </w:p>
        </w:tc>
        <w:tc>
          <w:tcPr>
            <w:tcW w:type="dxa" w:w="1000"/>
            <w:shd w:fill="FFFFFF" w:val="clear"/>
          </w:tcPr>
          <w:p>
            <w:r>
              <w:rPr>
                <w:sz w:val="19"/>
                <w:szCs w:val="19"/>
              </w:rPr>
              <w:t xml:space="preserve">&lt; 0.001</w:t>
            </w:r>
          </w:p>
        </w:tc>
        <w:tc>
          <w:tcPr>
            <w:tcW w:type="dxa" w:w="2700"/>
            <w:shd w:fill="FFFFFF" w:val="clear"/>
          </w:tcPr>
          <w:p>
            <w:r>
              <w:rPr>
                <w:sz w:val="19"/>
                <w:szCs w:val="19"/>
              </w:rPr>
              <w:t xml:space="preserve">Landline: about 45% lower odds</w:t>
            </w:r>
          </w:p>
        </w:tc>
      </w:tr>
      <w:tr>
        <w:tc>
          <w:tcPr>
            <w:tcW w:type="dxa" w:w="2900"/>
            <w:shd w:fill="F2F2F2" w:val="clear"/>
          </w:tcPr>
          <w:p>
            <w:r>
              <w:rPr>
                <w:sz w:val="19"/>
                <w:szCs w:val="19"/>
              </w:rPr>
              <w:t xml:space="preserve">nr_employed (per unit)</w:t>
            </w:r>
          </w:p>
        </w:tc>
        <w:tc>
          <w:tcPr>
            <w:tcW w:type="dxa" w:w="1100"/>
            <w:shd w:fill="F2F2F2" w:val="clear"/>
          </w:tcPr>
          <w:p>
            <w:r>
              <w:rPr>
                <w:sz w:val="19"/>
                <w:szCs w:val="19"/>
              </w:rPr>
              <w:t xml:space="preserve">0.9898</w:t>
            </w:r>
          </w:p>
        </w:tc>
        <w:tc>
          <w:tcPr>
            <w:tcW w:type="dxa" w:w="1700"/>
            <w:shd w:fill="F2F2F2" w:val="clear"/>
          </w:tcPr>
          <w:p>
            <w:r>
              <w:rPr>
                <w:sz w:val="19"/>
                <w:szCs w:val="19"/>
              </w:rPr>
              <w:t xml:space="preserve">0.9893 - 0.9903</w:t>
            </w:r>
          </w:p>
        </w:tc>
        <w:tc>
          <w:tcPr>
            <w:tcW w:type="dxa" w:w="1000"/>
            <w:shd w:fill="F2F2F2" w:val="clear"/>
          </w:tcPr>
          <w:p>
            <w:r>
              <w:rPr>
                <w:sz w:val="19"/>
                <w:szCs w:val="19"/>
              </w:rPr>
              <w:t xml:space="preserve">&lt; 0.001</w:t>
            </w:r>
          </w:p>
        </w:tc>
        <w:tc>
          <w:tcPr>
            <w:tcW w:type="dxa" w:w="2700"/>
            <w:shd w:fill="F2F2F2" w:val="clear"/>
          </w:tcPr>
          <w:p>
            <w:r>
              <w:rPr>
                <w:sz w:val="19"/>
                <w:szCs w:val="19"/>
              </w:rPr>
              <w:t xml:space="preserve">Stronger economy, lower odds (regime proxy)</w:t>
            </w:r>
          </w:p>
        </w:tc>
      </w:tr>
      <w:tr>
        <w:tc>
          <w:tcPr>
            <w:tcW w:type="dxa" w:w="2900"/>
            <w:shd w:fill="FFFFFF" w:val="clear"/>
          </w:tcPr>
          <w:p>
            <w:r>
              <w:rPr>
                <w:sz w:val="19"/>
                <w:szCs w:val="19"/>
              </w:rPr>
              <w:t xml:space="preserve">log(campaign)</w:t>
            </w:r>
          </w:p>
        </w:tc>
        <w:tc>
          <w:tcPr>
            <w:tcW w:type="dxa" w:w="1100"/>
            <w:shd w:fill="FFFFFF" w:val="clear"/>
          </w:tcPr>
          <w:p>
            <w:r>
              <w:rPr>
                <w:sz w:val="19"/>
                <w:szCs w:val="19"/>
              </w:rPr>
              <w:t xml:space="preserve">0.834</w:t>
            </w:r>
          </w:p>
        </w:tc>
        <w:tc>
          <w:tcPr>
            <w:tcW w:type="dxa" w:w="1700"/>
            <w:shd w:fill="FFFFFF" w:val="clear"/>
          </w:tcPr>
          <w:p>
            <w:r>
              <w:rPr>
                <w:sz w:val="19"/>
                <w:szCs w:val="19"/>
              </w:rPr>
              <w:t xml:space="preserve">0.770 - 0.903</w:t>
            </w:r>
          </w:p>
        </w:tc>
        <w:tc>
          <w:tcPr>
            <w:tcW w:type="dxa" w:w="1000"/>
            <w:shd w:fill="FFFFFF" w:val="clear"/>
          </w:tcPr>
          <w:p>
            <w:r>
              <w:rPr>
                <w:sz w:val="19"/>
                <w:szCs w:val="19"/>
              </w:rPr>
              <w:t xml:space="preserve">&lt; 0.001</w:t>
            </w:r>
          </w:p>
        </w:tc>
        <w:tc>
          <w:tcPr>
            <w:tcW w:type="dxa" w:w="2700"/>
            <w:shd w:fill="FFFFFF" w:val="clear"/>
          </w:tcPr>
          <w:p>
            <w:r>
              <w:rPr>
                <w:sz w:val="19"/>
                <w:szCs w:val="19"/>
              </w:rPr>
              <w:t xml:space="preserve">More contacts in this campaign, lower odds</w:t>
            </w:r>
          </w:p>
        </w:tc>
      </w:tr>
      <w:tr>
        <w:tc>
          <w:tcPr>
            <w:tcW w:type="dxa" w:w="2900"/>
            <w:shd w:fill="F2F2F2" w:val="clear"/>
          </w:tcPr>
          <w:p>
            <w:r>
              <w:rPr>
                <w:sz w:val="19"/>
                <w:szCs w:val="19"/>
              </w:rPr>
              <w:t xml:space="preserve">cons_conf_idx (per unit)</w:t>
            </w:r>
          </w:p>
        </w:tc>
        <w:tc>
          <w:tcPr>
            <w:tcW w:type="dxa" w:w="1100"/>
            <w:shd w:fill="F2F2F2" w:val="clear"/>
          </w:tcPr>
          <w:p>
            <w:r>
              <w:rPr>
                <w:sz w:val="19"/>
                <w:szCs w:val="19"/>
              </w:rPr>
              <w:t xml:space="preserve">1.022</w:t>
            </w:r>
          </w:p>
        </w:tc>
        <w:tc>
          <w:tcPr>
            <w:tcW w:type="dxa" w:w="1700"/>
            <w:shd w:fill="F2F2F2" w:val="clear"/>
          </w:tcPr>
          <w:p>
            <w:r>
              <w:rPr>
                <w:sz w:val="19"/>
                <w:szCs w:val="19"/>
              </w:rPr>
              <w:t xml:space="preserve">1.015 - 1.028</w:t>
            </w:r>
          </w:p>
        </w:tc>
        <w:tc>
          <w:tcPr>
            <w:tcW w:type="dxa" w:w="1000"/>
            <w:shd w:fill="F2F2F2" w:val="clear"/>
          </w:tcPr>
          <w:p>
            <w:r>
              <w:rPr>
                <w:sz w:val="19"/>
                <w:szCs w:val="19"/>
              </w:rPr>
              <w:t xml:space="preserve">&lt; 0.001</w:t>
            </w:r>
          </w:p>
        </w:tc>
        <w:tc>
          <w:tcPr>
            <w:tcW w:type="dxa" w:w="2700"/>
            <w:shd w:fill="F2F2F2" w:val="clear"/>
          </w:tcPr>
          <w:p>
            <w:r>
              <w:rPr>
                <w:sz w:val="19"/>
                <w:szCs w:val="19"/>
              </w:rPr>
              <w:t xml:space="preserve">Higher confidence, slightly higher odds</w:t>
            </w:r>
          </w:p>
        </w:tc>
      </w:tr>
      <w:tr>
        <w:tc>
          <w:tcPr>
            <w:tcW w:type="dxa" w:w="2900"/>
            <w:shd w:fill="FFFFFF" w:val="clear"/>
          </w:tcPr>
          <w:p>
            <w:r>
              <w:rPr>
                <w:sz w:val="19"/>
                <w:szCs w:val="19"/>
              </w:rPr>
              <w:t xml:space="preserve">job = retired (vs admin.)</w:t>
            </w:r>
          </w:p>
        </w:tc>
        <w:tc>
          <w:tcPr>
            <w:tcW w:type="dxa" w:w="1100"/>
            <w:shd w:fill="FFFFFF" w:val="clear"/>
          </w:tcPr>
          <w:p>
            <w:r>
              <w:rPr>
                <w:sz w:val="19"/>
                <w:szCs w:val="19"/>
              </w:rPr>
              <w:t xml:space="preserve">1.363</w:t>
            </w:r>
          </w:p>
        </w:tc>
        <w:tc>
          <w:tcPr>
            <w:tcW w:type="dxa" w:w="1700"/>
            <w:shd w:fill="FFFFFF" w:val="clear"/>
          </w:tcPr>
          <w:p>
            <w:r>
              <w:rPr>
                <w:sz w:val="19"/>
                <w:szCs w:val="19"/>
              </w:rPr>
              <w:t xml:space="preserve">1.137 - 1.635</w:t>
            </w:r>
          </w:p>
        </w:tc>
        <w:tc>
          <w:tcPr>
            <w:tcW w:type="dxa" w:w="1000"/>
            <w:shd w:fill="FFFFFF" w:val="clear"/>
          </w:tcPr>
          <w:p>
            <w:r>
              <w:rPr>
                <w:sz w:val="19"/>
                <w:szCs w:val="19"/>
              </w:rPr>
              <w:t xml:space="preserve">0.0008</w:t>
            </w:r>
          </w:p>
        </w:tc>
        <w:tc>
          <w:tcPr>
            <w:tcW w:type="dxa" w:w="2700"/>
            <w:shd w:fill="FFFFFF" w:val="clear"/>
          </w:tcPr>
          <w:p>
            <w:r>
              <w:rPr>
                <w:sz w:val="19"/>
                <w:szCs w:val="19"/>
              </w:rPr>
              <w:t xml:space="preserve">About 36% higher odds</w:t>
            </w:r>
          </w:p>
        </w:tc>
      </w:tr>
      <w:tr>
        <w:tc>
          <w:tcPr>
            <w:tcW w:type="dxa" w:w="2900"/>
            <w:shd w:fill="F2F2F2" w:val="clear"/>
          </w:tcPr>
          <w:p>
            <w:r>
              <w:rPr>
                <w:sz w:val="19"/>
                <w:szCs w:val="19"/>
              </w:rPr>
              <w:t xml:space="preserve">job = student (vs admin.)</w:t>
            </w:r>
          </w:p>
        </w:tc>
        <w:tc>
          <w:tcPr>
            <w:tcW w:type="dxa" w:w="1100"/>
            <w:shd w:fill="F2F2F2" w:val="clear"/>
          </w:tcPr>
          <w:p>
            <w:r>
              <w:rPr>
                <w:sz w:val="19"/>
                <w:szCs w:val="19"/>
              </w:rPr>
              <w:t xml:space="preserve">1.355</w:t>
            </w:r>
          </w:p>
        </w:tc>
        <w:tc>
          <w:tcPr>
            <w:tcW w:type="dxa" w:w="1700"/>
            <w:shd w:fill="F2F2F2" w:val="clear"/>
          </w:tcPr>
          <w:p>
            <w:r>
              <w:rPr>
                <w:sz w:val="19"/>
                <w:szCs w:val="19"/>
              </w:rPr>
              <w:t xml:space="preserve">1.117 - 1.644</w:t>
            </w:r>
          </w:p>
        </w:tc>
        <w:tc>
          <w:tcPr>
            <w:tcW w:type="dxa" w:w="1000"/>
            <w:shd w:fill="F2F2F2" w:val="clear"/>
          </w:tcPr>
          <w:p>
            <w:r>
              <w:rPr>
                <w:sz w:val="19"/>
                <w:szCs w:val="19"/>
              </w:rPr>
              <w:t xml:space="preserve">0.0021</w:t>
            </w:r>
          </w:p>
        </w:tc>
        <w:tc>
          <w:tcPr>
            <w:tcW w:type="dxa" w:w="2700"/>
            <w:shd w:fill="F2F2F2" w:val="clear"/>
          </w:tcPr>
          <w:p>
            <w:r>
              <w:rPr>
                <w:sz w:val="19"/>
                <w:szCs w:val="19"/>
              </w:rPr>
              <w:t xml:space="preserve">About 35% higher odds</w:t>
            </w:r>
          </w:p>
        </w:tc>
      </w:tr>
      <w:tr>
        <w:tc>
          <w:tcPr>
            <w:tcW w:type="dxa" w:w="2900"/>
            <w:shd w:fill="FFFFFF" w:val="clear"/>
          </w:tcPr>
          <w:p>
            <w:r>
              <w:rPr>
                <w:sz w:val="19"/>
                <w:szCs w:val="19"/>
              </w:rPr>
              <w:t xml:space="preserve">job = blue-collar (vs admin.)</w:t>
            </w:r>
          </w:p>
        </w:tc>
        <w:tc>
          <w:tcPr>
            <w:tcW w:type="dxa" w:w="1100"/>
            <w:shd w:fill="FFFFFF" w:val="clear"/>
          </w:tcPr>
          <w:p>
            <w:r>
              <w:rPr>
                <w:sz w:val="19"/>
                <w:szCs w:val="19"/>
              </w:rPr>
              <w:t xml:space="preserve">0.797</w:t>
            </w:r>
          </w:p>
        </w:tc>
        <w:tc>
          <w:tcPr>
            <w:tcW w:type="dxa" w:w="1700"/>
            <w:shd w:fill="FFFFFF" w:val="clear"/>
          </w:tcPr>
          <w:p>
            <w:r>
              <w:rPr>
                <w:sz w:val="19"/>
                <w:szCs w:val="19"/>
              </w:rPr>
              <w:t xml:space="preserve">0.698 - 0.910</w:t>
            </w:r>
          </w:p>
        </w:tc>
        <w:tc>
          <w:tcPr>
            <w:tcW w:type="dxa" w:w="1000"/>
            <w:shd w:fill="FFFFFF" w:val="clear"/>
          </w:tcPr>
          <w:p>
            <w:r>
              <w:rPr>
                <w:sz w:val="19"/>
                <w:szCs w:val="19"/>
              </w:rPr>
              <w:t xml:space="preserve">0.0008</w:t>
            </w:r>
          </w:p>
        </w:tc>
        <w:tc>
          <w:tcPr>
            <w:tcW w:type="dxa" w:w="2700"/>
            <w:shd w:fill="FFFFFF" w:val="clear"/>
          </w:tcPr>
          <w:p>
            <w:r>
              <w:rPr>
                <w:sz w:val="19"/>
                <w:szCs w:val="19"/>
              </w:rPr>
              <w:t xml:space="preserve">About 20% lower odds</w:t>
            </w:r>
          </w:p>
        </w:tc>
      </w:tr>
      <w:tr>
        <w:tc>
          <w:tcPr>
            <w:tcW w:type="dxa" w:w="2900"/>
            <w:shd w:fill="F2F2F2" w:val="clear"/>
          </w:tcPr>
          <w:p>
            <w:r>
              <w:rPr>
                <w:sz w:val="19"/>
                <w:szCs w:val="19"/>
              </w:rPr>
              <w:t xml:space="preserve">default = unknown (vs no)</w:t>
            </w:r>
          </w:p>
        </w:tc>
        <w:tc>
          <w:tcPr>
            <w:tcW w:type="dxa" w:w="1100"/>
            <w:shd w:fill="F2F2F2" w:val="clear"/>
          </w:tcPr>
          <w:p>
            <w:r>
              <w:rPr>
                <w:sz w:val="19"/>
                <w:szCs w:val="19"/>
              </w:rPr>
              <w:t xml:space="preserve">0.735</w:t>
            </w:r>
          </w:p>
        </w:tc>
        <w:tc>
          <w:tcPr>
            <w:tcW w:type="dxa" w:w="1700"/>
            <w:shd w:fill="F2F2F2" w:val="clear"/>
          </w:tcPr>
          <w:p>
            <w:r>
              <w:rPr>
                <w:sz w:val="19"/>
                <w:szCs w:val="19"/>
              </w:rPr>
              <w:t xml:space="preserve">0.658 - 0.822</w:t>
            </w:r>
          </w:p>
        </w:tc>
        <w:tc>
          <w:tcPr>
            <w:tcW w:type="dxa" w:w="1000"/>
            <w:shd w:fill="F2F2F2" w:val="clear"/>
          </w:tcPr>
          <w:p>
            <w:r>
              <w:rPr>
                <w:sz w:val="19"/>
                <w:szCs w:val="19"/>
              </w:rPr>
              <w:t xml:space="preserve">&lt; 0.001</w:t>
            </w:r>
          </w:p>
        </w:tc>
        <w:tc>
          <w:tcPr>
            <w:tcW w:type="dxa" w:w="2700"/>
            <w:shd w:fill="F2F2F2" w:val="clear"/>
          </w:tcPr>
          <w:p>
            <w:r>
              <w:rPr>
                <w:sz w:val="19"/>
                <w:szCs w:val="19"/>
              </w:rPr>
              <w:t xml:space="preserve">Non-disclosure: about 26% lower odds</w:t>
            </w:r>
          </w:p>
        </w:tc>
      </w:tr>
      <w:tr>
        <w:tc>
          <w:tcPr>
            <w:tcW w:type="dxa" w:w="2900"/>
            <w:shd w:fill="FFFFFF" w:val="clear"/>
          </w:tcPr>
          <w:p>
            <w:r>
              <w:rPr>
                <w:sz w:val="19"/>
                <w:szCs w:val="19"/>
              </w:rPr>
              <w:t xml:space="preserve">previous</w:t>
            </w:r>
          </w:p>
        </w:tc>
        <w:tc>
          <w:tcPr>
            <w:tcW w:type="dxa" w:w="1100"/>
            <w:shd w:fill="FFFFFF" w:val="clear"/>
          </w:tcPr>
          <w:p>
            <w:r>
              <w:rPr>
                <w:sz w:val="19"/>
                <w:szCs w:val="19"/>
              </w:rPr>
              <w:t xml:space="preserve">1.072</w:t>
            </w:r>
          </w:p>
        </w:tc>
        <w:tc>
          <w:tcPr>
            <w:tcW w:type="dxa" w:w="1700"/>
            <w:shd w:fill="FFFFFF" w:val="clear"/>
          </w:tcPr>
          <w:p>
            <w:r>
              <w:rPr>
                <w:sz w:val="19"/>
                <w:szCs w:val="19"/>
              </w:rPr>
              <w:t xml:space="preserve">0.970 - 1.186</w:t>
            </w:r>
          </w:p>
        </w:tc>
        <w:tc>
          <w:tcPr>
            <w:tcW w:type="dxa" w:w="1000"/>
            <w:shd w:fill="FFFFFF" w:val="clear"/>
          </w:tcPr>
          <w:p>
            <w:r>
              <w:rPr>
                <w:sz w:val="19"/>
                <w:szCs w:val="19"/>
              </w:rPr>
              <w:t xml:space="preserve">0.174</w:t>
            </w:r>
          </w:p>
        </w:tc>
        <w:tc>
          <w:tcPr>
            <w:tcW w:type="dxa" w:w="2700"/>
            <w:shd w:fill="FFFFFF" w:val="clear"/>
          </w:tcPr>
          <w:p>
            <w:r>
              <w:rPr>
                <w:sz w:val="19"/>
                <w:szCs w:val="19"/>
              </w:rPr>
              <w:t xml:space="preserve">Not significant once poutcome is included</w:t>
            </w:r>
          </w:p>
        </w:tc>
      </w:tr>
      <w:tr>
        <w:tc>
          <w:tcPr>
            <w:tcW w:type="dxa" w:w="2900"/>
            <w:shd w:fill="F2F2F2" w:val="clear"/>
          </w:tcPr>
          <w:p>
            <w:r>
              <w:rPr>
                <w:sz w:val="19"/>
                <w:szCs w:val="19"/>
              </w:rPr>
              <w:t xml:space="preserve">age (per year)</w:t>
            </w:r>
          </w:p>
        </w:tc>
        <w:tc>
          <w:tcPr>
            <w:tcW w:type="dxa" w:w="1100"/>
            <w:shd w:fill="F2F2F2" w:val="clear"/>
          </w:tcPr>
          <w:p>
            <w:r>
              <w:rPr>
                <w:sz w:val="19"/>
                <w:szCs w:val="19"/>
              </w:rPr>
              <w:t xml:space="preserve">1.0022</w:t>
            </w:r>
          </w:p>
        </w:tc>
        <w:tc>
          <w:tcPr>
            <w:tcW w:type="dxa" w:w="1700"/>
            <w:shd w:fill="F2F2F2" w:val="clear"/>
          </w:tcPr>
          <w:p>
            <w:r>
              <w:rPr>
                <w:sz w:val="19"/>
                <w:szCs w:val="19"/>
              </w:rPr>
              <w:t xml:space="preserve">0.9981 - 1.0063</w:t>
            </w:r>
          </w:p>
        </w:tc>
        <w:tc>
          <w:tcPr>
            <w:tcW w:type="dxa" w:w="1000"/>
            <w:shd w:fill="F2F2F2" w:val="clear"/>
          </w:tcPr>
          <w:p>
            <w:r>
              <w:rPr>
                <w:sz w:val="19"/>
                <w:szCs w:val="19"/>
              </w:rPr>
              <w:t xml:space="preserve">0.290</w:t>
            </w:r>
          </w:p>
        </w:tc>
        <w:tc>
          <w:tcPr>
            <w:tcW w:type="dxa" w:w="2700"/>
            <w:shd w:fill="F2F2F2" w:val="clear"/>
          </w:tcPr>
          <w:p>
            <w:r>
              <w:rPr>
                <w:sz w:val="19"/>
                <w:szCs w:val="19"/>
              </w:rPr>
              <w:t xml:space="preserve">Not significant as a linear term; see 6.3</w:t>
            </w:r>
          </w:p>
        </w:tc>
      </w:tr>
    </w:tbl>
    <w:p/>
    <w:p>
      <w:pPr>
        <w:pStyle w:val="Heading2"/>
        <w:spacing w:after="120" w:before="240"/>
      </w:pPr>
      <w:r>
        <w:t xml:space="preserve">6.3 The age effect: significant alone, not significant in the full model</w:t>
      </w:r>
    </w:p>
    <w:p>
      <w:pPr>
        <w:spacing w:after="120"/>
      </w:pPr>
      <w:r>
        <w:t xml:space="preserve">Age is a good test of how much a single coefficient can be trusted. The table shows the age odds ratio as blocks of covariates are added.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2200"/>
        <w:gridCol w:w="1200"/>
      </w:tblGrid>
      <w:tr>
        <w:trPr>
          <w:tblHeader/>
        </w:trPr>
        <w:tc>
          <w:tcPr>
            <w:tcW w:type="dxa" w:w="4300"/>
            <w:shd w:fill="2F5496" w:val="clear"/>
          </w:tcPr>
          <w:p>
            <w:r>
              <w:rPr>
                <w:b/>
                <w:bCs/>
                <w:color w:val="FFFFFF"/>
                <w:sz w:val="19"/>
                <w:szCs w:val="19"/>
              </w:rPr>
              <w:t xml:space="preserve">Model</w:t>
            </w:r>
          </w:p>
        </w:tc>
        <w:tc>
          <w:tcPr>
            <w:tcW w:type="dxa" w:w="1700"/>
            <w:shd w:fill="2F5496" w:val="clear"/>
          </w:tcPr>
          <w:p>
            <w:r>
              <w:rPr>
                <w:b/>
                <w:bCs/>
                <w:color w:val="FFFFFF"/>
                <w:sz w:val="19"/>
                <w:szCs w:val="19"/>
              </w:rPr>
              <w:t xml:space="preserve">Age OR per year</w:t>
            </w:r>
          </w:p>
        </w:tc>
        <w:tc>
          <w:tcPr>
            <w:tcW w:type="dxa" w:w="2200"/>
            <w:shd w:fill="2F5496" w:val="clear"/>
          </w:tcPr>
          <w:p>
            <w:r>
              <w:rPr>
                <w:b/>
                <w:bCs/>
                <w:color w:val="FFFFFF"/>
                <w:sz w:val="19"/>
                <w:szCs w:val="19"/>
              </w:rPr>
              <w:t xml:space="preserve">95% CI</w:t>
            </w:r>
          </w:p>
        </w:tc>
        <w:tc>
          <w:tcPr>
            <w:tcW w:type="dxa" w:w="1200"/>
            <w:shd w:fill="2F5496" w:val="clear"/>
          </w:tcPr>
          <w:p>
            <w:r>
              <w:rPr>
                <w:b/>
                <w:bCs/>
                <w:color w:val="FFFFFF"/>
                <w:sz w:val="19"/>
                <w:szCs w:val="19"/>
              </w:rPr>
              <w:t xml:space="preserve">p-value</w:t>
            </w:r>
          </w:p>
        </w:tc>
      </w:tr>
      <w:tr>
        <w:tc>
          <w:tcPr>
            <w:tcW w:type="dxa" w:w="4300"/>
            <w:shd w:fill="F2F2F2" w:val="clear"/>
          </w:tcPr>
          <w:p>
            <w:r>
              <w:rPr>
                <w:sz w:val="19"/>
                <w:szCs w:val="19"/>
              </w:rPr>
              <w:t xml:space="preserve">Age only</w:t>
            </w:r>
          </w:p>
        </w:tc>
        <w:tc>
          <w:tcPr>
            <w:tcW w:type="dxa" w:w="1700"/>
            <w:shd w:fill="F2F2F2" w:val="clear"/>
          </w:tcPr>
          <w:p>
            <w:r>
              <w:rPr>
                <w:sz w:val="19"/>
                <w:szCs w:val="19"/>
              </w:rPr>
              <w:t xml:space="preserve">1.0090</w:t>
            </w:r>
          </w:p>
        </w:tc>
        <w:tc>
          <w:tcPr>
            <w:tcW w:type="dxa" w:w="2200"/>
            <w:shd w:fill="F2F2F2" w:val="clear"/>
          </w:tcPr>
          <w:p>
            <w:r>
              <w:rPr>
                <w:sz w:val="19"/>
                <w:szCs w:val="19"/>
              </w:rPr>
              <w:t xml:space="preserve">1.0061 - 1.0119</w:t>
            </w:r>
          </w:p>
        </w:tc>
        <w:tc>
          <w:tcPr>
            <w:tcW w:type="dxa" w:w="1200"/>
            <w:shd w:fill="F2F2F2" w:val="clear"/>
          </w:tcPr>
          <w:p>
            <w:r>
              <w:rPr>
                <w:sz w:val="19"/>
                <w:szCs w:val="19"/>
              </w:rPr>
              <w:t xml:space="preserve">&lt; 0.001</w:t>
            </w:r>
          </w:p>
        </w:tc>
      </w:tr>
      <w:tr>
        <w:tc>
          <w:tcPr>
            <w:tcW w:type="dxa" w:w="4300"/>
            <w:shd w:fill="FFFFFF" w:val="clear"/>
          </w:tcPr>
          <w:p>
            <w:r>
              <w:rPr>
                <w:sz w:val="19"/>
                <w:szCs w:val="19"/>
              </w:rPr>
              <w:t xml:space="preserve">+ job</w:t>
            </w:r>
          </w:p>
        </w:tc>
        <w:tc>
          <w:tcPr>
            <w:tcW w:type="dxa" w:w="1700"/>
            <w:shd w:fill="FFFFFF" w:val="clear"/>
          </w:tcPr>
          <w:p>
            <w:r>
              <w:rPr>
                <w:sz w:val="19"/>
                <w:szCs w:val="19"/>
              </w:rPr>
              <w:t xml:space="preserve">1.0040</w:t>
            </w:r>
          </w:p>
        </w:tc>
        <w:tc>
          <w:tcPr>
            <w:tcW w:type="dxa" w:w="2200"/>
            <w:shd w:fill="FFFFFF" w:val="clear"/>
          </w:tcPr>
          <w:p>
            <w:r>
              <w:rPr>
                <w:sz w:val="19"/>
                <w:szCs w:val="19"/>
              </w:rPr>
              <w:t xml:space="preserve">1.0006 - 1.0074</w:t>
            </w:r>
          </w:p>
        </w:tc>
        <w:tc>
          <w:tcPr>
            <w:tcW w:type="dxa" w:w="1200"/>
            <w:shd w:fill="FFFFFF" w:val="clear"/>
          </w:tcPr>
          <w:p>
            <w:r>
              <w:rPr>
                <w:sz w:val="19"/>
                <w:szCs w:val="19"/>
              </w:rPr>
              <w:t xml:space="preserve">0.022</w:t>
            </w:r>
          </w:p>
        </w:tc>
      </w:tr>
      <w:tr>
        <w:tc>
          <w:tcPr>
            <w:tcW w:type="dxa" w:w="4300"/>
            <w:shd w:fill="F2F2F2" w:val="clear"/>
          </w:tcPr>
          <w:p>
            <w:r>
              <w:rPr>
                <w:sz w:val="19"/>
                <w:szCs w:val="19"/>
              </w:rPr>
              <w:t xml:space="preserve">+ marital &amp; education</w:t>
            </w:r>
          </w:p>
        </w:tc>
        <w:tc>
          <w:tcPr>
            <w:tcW w:type="dxa" w:w="1700"/>
            <w:shd w:fill="F2F2F2" w:val="clear"/>
          </w:tcPr>
          <w:p>
            <w:r>
              <w:rPr>
                <w:sz w:val="19"/>
                <w:szCs w:val="19"/>
              </w:rPr>
              <w:t xml:space="preserve">1.0106</w:t>
            </w:r>
          </w:p>
        </w:tc>
        <w:tc>
          <w:tcPr>
            <w:tcW w:type="dxa" w:w="2200"/>
            <w:shd w:fill="F2F2F2" w:val="clear"/>
          </w:tcPr>
          <w:p>
            <w:r>
              <w:rPr>
                <w:sz w:val="19"/>
                <w:szCs w:val="19"/>
              </w:rPr>
              <w:t xml:space="preserve">1.0068 - 1.0144</w:t>
            </w:r>
          </w:p>
        </w:tc>
        <w:tc>
          <w:tcPr>
            <w:tcW w:type="dxa" w:w="1200"/>
            <w:shd w:fill="F2F2F2" w:val="clear"/>
          </w:tcPr>
          <w:p>
            <w:r>
              <w:rPr>
                <w:sz w:val="19"/>
                <w:szCs w:val="19"/>
              </w:rPr>
              <w:t xml:space="preserve">&lt; 0.001</w:t>
            </w:r>
          </w:p>
        </w:tc>
      </w:tr>
      <w:tr>
        <w:tc>
          <w:tcPr>
            <w:tcW w:type="dxa" w:w="4300"/>
            <w:shd w:fill="FFFFFF" w:val="clear"/>
          </w:tcPr>
          <w:p>
            <w:r>
              <w:rPr>
                <w:sz w:val="19"/>
                <w:szCs w:val="19"/>
              </w:rPr>
              <w:t xml:space="preserve">+ contact, poutcome, default</w:t>
            </w:r>
          </w:p>
        </w:tc>
        <w:tc>
          <w:tcPr>
            <w:tcW w:type="dxa" w:w="1700"/>
            <w:shd w:fill="FFFFFF" w:val="clear"/>
          </w:tcPr>
          <w:p>
            <w:r>
              <w:rPr>
                <w:sz w:val="19"/>
                <w:szCs w:val="19"/>
              </w:rPr>
              <w:t xml:space="preserve">1.0088</w:t>
            </w:r>
          </w:p>
        </w:tc>
        <w:tc>
          <w:tcPr>
            <w:tcW w:type="dxa" w:w="2200"/>
            <w:shd w:fill="FFFFFF" w:val="clear"/>
          </w:tcPr>
          <w:p>
            <w:r>
              <w:rPr>
                <w:sz w:val="19"/>
                <w:szCs w:val="19"/>
              </w:rPr>
              <w:t xml:space="preserve">1.0048 - 1.0128</w:t>
            </w:r>
          </w:p>
        </w:tc>
        <w:tc>
          <w:tcPr>
            <w:tcW w:type="dxa" w:w="1200"/>
            <w:shd w:fill="FFFFFF" w:val="clear"/>
          </w:tcPr>
          <w:p>
            <w:r>
              <w:rPr>
                <w:sz w:val="19"/>
                <w:szCs w:val="19"/>
              </w:rPr>
              <w:t xml:space="preserve">&lt; 0.001</w:t>
            </w:r>
          </w:p>
        </w:tc>
      </w:tr>
      <w:tr>
        <w:tc>
          <w:tcPr>
            <w:tcW w:type="dxa" w:w="4300"/>
            <w:shd w:fill="F2F2F2" w:val="clear"/>
          </w:tcPr>
          <w:p>
            <w:r>
              <w:rPr>
                <w:sz w:val="19"/>
                <w:szCs w:val="19"/>
              </w:rPr>
              <w:t xml:space="preserve">+ campaign, previous, confidence, nr_employed</w:t>
            </w:r>
          </w:p>
        </w:tc>
        <w:tc>
          <w:tcPr>
            <w:tcW w:type="dxa" w:w="1700"/>
            <w:shd w:fill="F2F2F2" w:val="clear"/>
          </w:tcPr>
          <w:p>
            <w:r>
              <w:rPr>
                <w:sz w:val="19"/>
                <w:szCs w:val="19"/>
              </w:rPr>
              <w:t xml:space="preserve">1.0022</w:t>
            </w:r>
          </w:p>
        </w:tc>
        <w:tc>
          <w:tcPr>
            <w:tcW w:type="dxa" w:w="2200"/>
            <w:shd w:fill="F2F2F2" w:val="clear"/>
          </w:tcPr>
          <w:p>
            <w:r>
              <w:rPr>
                <w:sz w:val="19"/>
                <w:szCs w:val="19"/>
              </w:rPr>
              <w:t xml:space="preserve">0.9981 - 1.0063</w:t>
            </w:r>
          </w:p>
        </w:tc>
        <w:tc>
          <w:tcPr>
            <w:tcW w:type="dxa" w:w="1200"/>
            <w:shd w:fill="F2F2F2" w:val="clear"/>
          </w:tcPr>
          <w:p>
            <w:r>
              <w:rPr>
                <w:sz w:val="19"/>
                <w:szCs w:val="19"/>
              </w:rPr>
              <w:t xml:space="preserve">0.290</w:t>
            </w:r>
          </w:p>
        </w:tc>
      </w:tr>
    </w:tbl>
    <w:p/>
    <w:p>
      <w:pPr>
        <w:spacing w:after="60"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00250"/>
                    </a:xfrm>
                    <a:prstGeom prst="rect">
                      <a:avLst/>
                    </a:prstGeom>
                  </pic:spPr>
                </pic:pic>
              </a:graphicData>
            </a:graphic>
          </wp:inline>
        </w:drawing>
      </w:r>
    </w:p>
    <w:p>
      <w:pPr>
        <w:spacing w:after="220"/>
        <w:jc w:val="center"/>
      </w:pPr>
      <w:r>
        <w:rPr>
          <w:i/>
          <w:iCs/>
          <w:color w:val="555555"/>
          <w:sz w:val="20"/>
          <w:szCs w:val="20"/>
        </w:rPr>
        <w:t xml:space="preserve">Figure 4. Age odds ratio as covariates are added (left) and subscription rate by age band (right).</w:t>
      </w:r>
    </w:p>
    <w:p>
      <w:pPr>
        <w:spacing w:after="120"/>
      </w:pPr>
      <w:r>
        <w:rPr>
          <w:b/>
          <w:bCs/>
        </w:rPr>
        <w:t xml:space="preserve">Observation 1: the path is not monotonic. </w:t>
      </w:r>
      <w:r>
        <w:rPr>
          <w:b w:val="false"/>
          <w:bCs w:val="false"/>
        </w:rPr>
        <w:t xml:space="preserve">Adding job reduces the age OR from 1.0090 to 1.0040, which fits the idea that age partly stands in for life stage (retirees average 62 years, students 25.9). But adding marital status and education raises it again to 1.0106, so job does not simply 'explain away' age. Only the final block (campaign, previous, consumer confidence and nr_employed together with the categorical set) pushes it to p = 0.29.</w:t>
      </w:r>
    </w:p>
    <w:p>
      <w:pPr>
        <w:spacing w:after="120"/>
      </w:pPr>
      <w:r>
        <w:rPr>
          <w:b/>
          <w:bCs/>
        </w:rPr>
        <w:t xml:space="preserve">Observation 2: the relationship is U-shaped, so a straight line is the wrong summary. </w:t>
      </w:r>
      <w:r>
        <w:rPr>
          <w:b w:val="false"/>
          <w:bCs w:val="false"/>
        </w:rPr>
        <w:t xml:space="preserve">Subscription rates are 20.96% (under 25), 11.72% (25-35), 8.51% (35-45), 8.7% (45-55), 15.22% (55-65) and 46.93% (over 65). Adding a squared age term to an age-only model gives p &lt; 0.001 for both terms (squared-term coefficient 0.25 per squared standard deviation). A single linear coefficient averages a falling and a rising segment and can land near zero.</w:t>
      </w:r>
    </w:p>
    <w:p>
      <w:pPr>
        <w:spacing w:after="120"/>
      </w:pPr>
      <w:r>
        <w:rPr>
          <w:b/>
          <w:bCs/>
        </w:rPr>
        <w:t xml:space="preserve">Observation 3: macro context alone does not remove it. </w:t>
      </w:r>
      <w:r>
        <w:rPr>
          <w:b w:val="false"/>
          <w:bCs w:val="false"/>
        </w:rPr>
        <w:t xml:space="preserve">Age with nr_employed only keeps a significant age effect (OR 1.0040, p = 0.004), and age is almost uncorrelated with nr_employed (r = -0.018). The loss of significance therefore comes from the combination of covariates, not from a single confounder. Months with high conversion also have older clients (December mean age 47.3, October 44.1, against 39 in May); month is not in the logistic model, which may be one route, but this was not tested directly.</w:t>
      </w:r>
    </w:p>
    <w:p>
      <w:pPr>
        <w:spacing w:after="120"/>
      </w:pPr>
      <w:r>
        <w:rPr>
          <w:b/>
          <w:bCs/>
        </w:rPr>
        <w:t xml:space="preserve">Conclusion. </w:t>
      </w:r>
      <w:r>
        <w:rPr>
          <w:b w:val="false"/>
          <w:bCs w:val="false"/>
        </w:rPr>
        <w:t xml:space="preserve">The honest reading is that the linear age coefficient is small (about 0.2% change in odds per year, CI 0.998 to 1.006) and unreliable, because the true shape is non-linear. Age matters, but at the extremes (young and, above all, elderly clients), and the appropriate model term is a non-linear one; the machine-learning models in Section 7 can capture this automatically. The univariate t-test result (p = 1.8e-6, difference of about one year) is statistically significant but practically small.</w:t>
      </w:r>
    </w:p>
    <w:p>
      <w:pPr>
        <w:pStyle w:val="Heading1"/>
        <w:spacing w:after="150" w:before="320"/>
      </w:pPr>
      <w:r>
        <w:t xml:space="preserve">7. Machine Learning: Selection, Tuning and Evaluation</w:t>
      </w:r>
    </w:p>
    <w:p>
      <w:pPr>
        <w:pStyle w:val="Heading2"/>
        <w:spacing w:after="120" w:before="240"/>
      </w:pPr>
      <w:r>
        <w:t xml:space="preserve">7.1 Setup</w:t>
      </w:r>
    </w:p>
    <w:p>
      <w:pPr>
        <w:spacing w:after="120"/>
      </w:pPr>
      <w:r>
        <w:t xml:space="preserve">Features: 47 columns after encoding (duration excluded). Split: stratified 75/25 into 30,879 training and 10,294 test rows, preserving the 11.3% positive rate. The test set was used once, after all selection and tuning. Random seed 42 throughout.</w:t>
      </w:r>
    </w:p>
    <w:p>
      <w:pPr>
        <w:pStyle w:val="Heading2"/>
        <w:spacing w:after="120" w:before="240"/>
      </w:pPr>
      <w:r>
        <w:t xml:space="preserve">7.2 Algorithm choice</w:t>
      </w:r>
    </w:p>
    <w:p>
      <w:pPr>
        <w:spacing w:after="120"/>
      </w:pPr>
      <w:r>
        <w:t xml:space="preserve">Four algorithms were compared with identical stratified 5-fold cross-validation on the training set, scored on ROC-AUC (threshold-independent, suited to imbalance):</w:t>
      </w:r>
    </w:p>
    <w:p>
      <w:pPr>
        <w:pStyle w:val="ListParagraph"/>
        <w:numPr>
          <w:ilvl w:val="0"/>
          <w:numId w:val="2"/>
        </w:numPr>
        <w:spacing w:after="60"/>
      </w:pPr>
      <w:r>
        <w:t xml:space="preserve">Logistic regression: interpretable baseline and the Section 6 model; linear in its inputs.</w:t>
      </w:r>
    </w:p>
    <w:p>
      <w:pPr>
        <w:pStyle w:val="ListParagraph"/>
        <w:numPr>
          <w:ilvl w:val="0"/>
          <w:numId w:val="2"/>
        </w:numPr>
        <w:spacing w:after="60"/>
      </w:pPr>
      <w:r>
        <w:t xml:space="preserve">Decision tree: captures non-linearity and interactions; expected to overfit when unconstrained.</w:t>
      </w:r>
    </w:p>
    <w:p>
      <w:pPr>
        <w:pStyle w:val="ListParagraph"/>
        <w:numPr>
          <w:ilvl w:val="0"/>
          <w:numId w:val="2"/>
        </w:numPr>
        <w:spacing w:after="60"/>
      </w:pPr>
      <w:r>
        <w:t xml:space="preserve">Random forest: averaging many de-correlated trees lowers variance; handles mixed feature types and the U-shaped age pattern without manual terms.</w:t>
      </w:r>
    </w:p>
    <w:p>
      <w:pPr>
        <w:pStyle w:val="ListParagraph"/>
        <w:numPr>
          <w:ilvl w:val="0"/>
          <w:numId w:val="2"/>
        </w:numPr>
        <w:spacing w:after="60"/>
      </w:pPr>
      <w:r>
        <w:t xml:space="preserve">Histogram gradient boosting: sequentially corrects errors; typically strongest on tabular data, fast enough for a single CPU.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1200"/>
        <w:gridCol w:w="1500"/>
      </w:tblGrid>
      <w:tr>
        <w:trPr>
          <w:tblHeader/>
        </w:trPr>
        <w:tc>
          <w:tcPr>
            <w:tcW w:type="dxa" w:w="3000"/>
            <w:shd w:fill="2F5496" w:val="clear"/>
          </w:tcPr>
          <w:p>
            <w:r>
              <w:rPr>
                <w:b/>
                <w:bCs/>
                <w:color w:val="FFFFFF"/>
                <w:sz w:val="19"/>
                <w:szCs w:val="19"/>
              </w:rPr>
              <w:t xml:space="preserve">Model (default settings)</w:t>
            </w:r>
          </w:p>
        </w:tc>
        <w:tc>
          <w:tcPr>
            <w:tcW w:type="dxa" w:w="2000"/>
            <w:shd w:fill="2F5496" w:val="clear"/>
          </w:tcPr>
          <w:p>
            <w:r>
              <w:rPr>
                <w:b/>
                <w:bCs/>
                <w:color w:val="FFFFFF"/>
                <w:sz w:val="19"/>
                <w:szCs w:val="19"/>
              </w:rPr>
              <w:t xml:space="preserve">CV ROC-AUC</w:t>
            </w:r>
          </w:p>
        </w:tc>
        <w:tc>
          <w:tcPr>
            <w:tcW w:type="dxa" w:w="1700"/>
            <w:shd w:fill="2F5496" w:val="clear"/>
          </w:tcPr>
          <w:p>
            <w:r>
              <w:rPr>
                <w:b/>
                <w:bCs/>
                <w:color w:val="FFFFFF"/>
                <w:sz w:val="19"/>
                <w:szCs w:val="19"/>
              </w:rPr>
              <w:t xml:space="preserve">CV avg. precision</w:t>
            </w:r>
          </w:p>
        </w:tc>
        <w:tc>
          <w:tcPr>
            <w:tcW w:type="dxa" w:w="1200"/>
            <w:shd w:fill="2F5496" w:val="clear"/>
          </w:tcPr>
          <w:p>
            <w:r>
              <w:rPr>
                <w:b/>
                <w:bCs/>
                <w:color w:val="FFFFFF"/>
                <w:sz w:val="19"/>
                <w:szCs w:val="19"/>
              </w:rPr>
              <w:t xml:space="preserve">CV recall</w:t>
            </w:r>
          </w:p>
        </w:tc>
        <w:tc>
          <w:tcPr>
            <w:tcW w:type="dxa" w:w="1500"/>
            <w:shd w:fill="2F5496" w:val="clear"/>
          </w:tcPr>
          <w:p>
            <w:r>
              <w:rPr>
                <w:b/>
                <w:bCs/>
                <w:color w:val="FFFFFF"/>
                <w:sz w:val="19"/>
                <w:szCs w:val="19"/>
              </w:rPr>
              <w:t xml:space="preserve">CV precision</w:t>
            </w:r>
          </w:p>
        </w:tc>
      </w:tr>
      <w:tr>
        <w:tc>
          <w:tcPr>
            <w:tcW w:type="dxa" w:w="3000"/>
            <w:shd w:fill="F2F2F2" w:val="clear"/>
          </w:tcPr>
          <w:p>
            <w:r>
              <w:rPr>
                <w:sz w:val="19"/>
                <w:szCs w:val="19"/>
              </w:rPr>
              <w:t xml:space="preserve">Logistic Regression</w:t>
            </w:r>
          </w:p>
        </w:tc>
        <w:tc>
          <w:tcPr>
            <w:tcW w:type="dxa" w:w="2000"/>
            <w:shd w:fill="F2F2F2" w:val="clear"/>
          </w:tcPr>
          <w:p>
            <w:r>
              <w:rPr>
                <w:sz w:val="19"/>
                <w:szCs w:val="19"/>
              </w:rPr>
              <w:t xml:space="preserve">0.789 +/- 0.008</w:t>
            </w:r>
          </w:p>
        </w:tc>
        <w:tc>
          <w:tcPr>
            <w:tcW w:type="dxa" w:w="1700"/>
            <w:shd w:fill="F2F2F2" w:val="clear"/>
          </w:tcPr>
          <w:p>
            <w:r>
              <w:rPr>
                <w:sz w:val="19"/>
                <w:szCs w:val="19"/>
              </w:rPr>
              <w:t xml:space="preserve">0.448</w:t>
            </w:r>
          </w:p>
        </w:tc>
        <w:tc>
          <w:tcPr>
            <w:tcW w:type="dxa" w:w="1200"/>
            <w:shd w:fill="F2F2F2" w:val="clear"/>
          </w:tcPr>
          <w:p>
            <w:r>
              <w:rPr>
                <w:sz w:val="19"/>
                <w:szCs w:val="19"/>
              </w:rPr>
              <w:t xml:space="preserve">0.619</w:t>
            </w:r>
          </w:p>
        </w:tc>
        <w:tc>
          <w:tcPr>
            <w:tcW w:type="dxa" w:w="1500"/>
            <w:shd w:fill="F2F2F2" w:val="clear"/>
          </w:tcPr>
          <w:p>
            <w:r>
              <w:rPr>
                <w:sz w:val="19"/>
                <w:szCs w:val="19"/>
              </w:rPr>
              <w:t xml:space="preserve">0.353</w:t>
            </w:r>
          </w:p>
        </w:tc>
      </w:tr>
      <w:tr>
        <w:tc>
          <w:tcPr>
            <w:tcW w:type="dxa" w:w="3000"/>
            <w:shd w:fill="FFFFFF" w:val="clear"/>
          </w:tcPr>
          <w:p>
            <w:r>
              <w:rPr>
                <w:sz w:val="19"/>
                <w:szCs w:val="19"/>
              </w:rPr>
              <w:t xml:space="preserve">Decision Tree</w:t>
            </w:r>
          </w:p>
        </w:tc>
        <w:tc>
          <w:tcPr>
            <w:tcW w:type="dxa" w:w="2000"/>
            <w:shd w:fill="FFFFFF" w:val="clear"/>
          </w:tcPr>
          <w:p>
            <w:r>
              <w:rPr>
                <w:sz w:val="19"/>
                <w:szCs w:val="19"/>
              </w:rPr>
              <w:t xml:space="preserve">0.626 +/- 0.005</w:t>
            </w:r>
          </w:p>
        </w:tc>
        <w:tc>
          <w:tcPr>
            <w:tcW w:type="dxa" w:w="1700"/>
            <w:shd w:fill="FFFFFF" w:val="clear"/>
          </w:tcPr>
          <w:p>
            <w:r>
              <w:rPr>
                <w:sz w:val="19"/>
                <w:szCs w:val="19"/>
              </w:rPr>
              <w:t xml:space="preserve">0.188</w:t>
            </w:r>
          </w:p>
        </w:tc>
        <w:tc>
          <w:tcPr>
            <w:tcW w:type="dxa" w:w="1200"/>
            <w:shd w:fill="FFFFFF" w:val="clear"/>
          </w:tcPr>
          <w:p>
            <w:r>
              <w:rPr>
                <w:sz w:val="19"/>
                <w:szCs w:val="19"/>
              </w:rPr>
              <w:t xml:space="preserve">0.346</w:t>
            </w:r>
          </w:p>
        </w:tc>
        <w:tc>
          <w:tcPr>
            <w:tcW w:type="dxa" w:w="1500"/>
            <w:shd w:fill="FFFFFF" w:val="clear"/>
          </w:tcPr>
          <w:p>
            <w:r>
              <w:rPr>
                <w:sz w:val="19"/>
                <w:szCs w:val="19"/>
              </w:rPr>
              <w:t xml:space="preserve">0.313</w:t>
            </w:r>
          </w:p>
        </w:tc>
      </w:tr>
      <w:tr>
        <w:tc>
          <w:tcPr>
            <w:tcW w:type="dxa" w:w="3000"/>
            <w:shd w:fill="F2F2F2" w:val="clear"/>
          </w:tcPr>
          <w:p>
            <w:r>
              <w:rPr>
                <w:sz w:val="19"/>
                <w:szCs w:val="19"/>
              </w:rPr>
              <w:t xml:space="preserve">Random Forest</w:t>
            </w:r>
          </w:p>
        </w:tc>
        <w:tc>
          <w:tcPr>
            <w:tcW w:type="dxa" w:w="2000"/>
            <w:shd w:fill="F2F2F2" w:val="clear"/>
          </w:tcPr>
          <w:p>
            <w:r>
              <w:rPr>
                <w:sz w:val="19"/>
                <w:szCs w:val="19"/>
              </w:rPr>
              <w:t xml:space="preserve">0.764 +/- 0.009</w:t>
            </w:r>
          </w:p>
        </w:tc>
        <w:tc>
          <w:tcPr>
            <w:tcW w:type="dxa" w:w="1700"/>
            <w:shd w:fill="F2F2F2" w:val="clear"/>
          </w:tcPr>
          <w:p>
            <w:r>
              <w:rPr>
                <w:sz w:val="19"/>
                <w:szCs w:val="19"/>
              </w:rPr>
              <w:t xml:space="preserve">0.389</w:t>
            </w:r>
          </w:p>
        </w:tc>
        <w:tc>
          <w:tcPr>
            <w:tcW w:type="dxa" w:w="1200"/>
            <w:shd w:fill="F2F2F2" w:val="clear"/>
          </w:tcPr>
          <w:p>
            <w:r>
              <w:rPr>
                <w:sz w:val="19"/>
                <w:szCs w:val="19"/>
              </w:rPr>
              <w:t xml:space="preserve">0.288</w:t>
            </w:r>
          </w:p>
        </w:tc>
        <w:tc>
          <w:tcPr>
            <w:tcW w:type="dxa" w:w="1500"/>
            <w:shd w:fill="F2F2F2" w:val="clear"/>
          </w:tcPr>
          <w:p>
            <w:r>
              <w:rPr>
                <w:sz w:val="19"/>
                <w:szCs w:val="19"/>
              </w:rPr>
              <w:t xml:space="preserve">0.495</w:t>
            </w:r>
          </w:p>
        </w:tc>
      </w:tr>
      <w:tr>
        <w:tc>
          <w:tcPr>
            <w:tcW w:type="dxa" w:w="3000"/>
            <w:shd w:fill="FFFFFF" w:val="clear"/>
          </w:tcPr>
          <w:p>
            <w:r>
              <w:rPr>
                <w:sz w:val="19"/>
                <w:szCs w:val="19"/>
              </w:rPr>
              <w:t xml:space="preserve">Hist. Gradient Boosting</w:t>
            </w:r>
          </w:p>
        </w:tc>
        <w:tc>
          <w:tcPr>
            <w:tcW w:type="dxa" w:w="2000"/>
            <w:shd w:fill="FFFFFF" w:val="clear"/>
          </w:tcPr>
          <w:p>
            <w:r>
              <w:rPr>
                <w:sz w:val="19"/>
                <w:szCs w:val="19"/>
              </w:rPr>
              <w:t xml:space="preserve">0.797 +/- 0.011</w:t>
            </w:r>
          </w:p>
        </w:tc>
        <w:tc>
          <w:tcPr>
            <w:tcW w:type="dxa" w:w="1700"/>
            <w:shd w:fill="FFFFFF" w:val="clear"/>
          </w:tcPr>
          <w:p>
            <w:r>
              <w:rPr>
                <w:sz w:val="19"/>
                <w:szCs w:val="19"/>
              </w:rPr>
              <w:t xml:space="preserve">0.466</w:t>
            </w:r>
          </w:p>
        </w:tc>
        <w:tc>
          <w:tcPr>
            <w:tcW w:type="dxa" w:w="1200"/>
            <w:shd w:fill="FFFFFF" w:val="clear"/>
          </w:tcPr>
          <w:p>
            <w:r>
              <w:rPr>
                <w:sz w:val="19"/>
                <w:szCs w:val="19"/>
              </w:rPr>
              <w:t xml:space="preserve">0.253</w:t>
            </w:r>
          </w:p>
        </w:tc>
        <w:tc>
          <w:tcPr>
            <w:tcW w:type="dxa" w:w="1500"/>
            <w:shd w:fill="FFFFFF" w:val="clear"/>
          </w:tcPr>
          <w:p>
            <w:r>
              <w:rPr>
                <w:sz w:val="19"/>
                <w:szCs w:val="19"/>
              </w:rPr>
              <w:t xml:space="preserve">0.653</w:t>
            </w:r>
          </w:p>
        </w:tc>
      </w:tr>
    </w:tbl>
    <w:p/>
    <w:p>
      <w:pPr>
        <w:spacing w:after="60" w:before="12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514600"/>
                    </a:xfrm>
                    <a:prstGeom prst="rect">
                      <a:avLst/>
                    </a:prstGeom>
                  </pic:spPr>
                </pic:pic>
              </a:graphicData>
            </a:graphic>
          </wp:inline>
        </w:drawing>
      </w:r>
    </w:p>
    <w:p>
      <w:pPr>
        <w:spacing w:after="220"/>
        <w:jc w:val="center"/>
      </w:pPr>
      <w:r>
        <w:rPr>
          <w:i/>
          <w:iCs/>
          <w:color w:val="555555"/>
          <w:sz w:val="20"/>
          <w:szCs w:val="20"/>
        </w:rPr>
        <w:t xml:space="preserve">Figure 5. Cross-validated ROC-AUC of the four candidate models (error bars: one standard deviation across folds).</w:t>
      </w:r>
    </w:p>
    <w:p>
      <w:pPr>
        <w:spacing w:after="120"/>
      </w:pPr>
      <w:r>
        <w:t xml:space="preserve">The single decision tree is clearly worst (AUC 0.626), the textbook overfitting result. Gradient boosting (0.797) and logistic regression (0.789) lead, and the untuned random forest trails (0.764). Fold-to-fold standard deviations are 0.005-0.011, so gaps of about 0.01 between the top models are within noise. Recall and precision differ by model mainly because only logistic regression and the forest/tree used class weighting at a 0.5 cut-off, so these two columns are not directly comparable; ROC-AUC and average precision are.</w:t>
      </w:r>
    </w:p>
    <w:p>
      <w:pPr>
        <w:pStyle w:val="Heading2"/>
        <w:spacing w:after="120" w:before="240"/>
      </w:pPr>
      <w:r>
        <w:t xml:space="preserve">7.3 Hyper-parameter tuning</w:t>
      </w:r>
    </w:p>
    <w:p>
      <w:pPr>
        <w:spacing w:after="120"/>
      </w:pPr>
      <w:r>
        <w:t xml:space="preserve">Random Forest and Gradient Boosting were tuned with RandomizedSearchCV (10 sampled configurations each, 3-fold stratified CV, ROC-AUC). Random search was preferred to a full grid because the spaces have 6 dimensions and the effort must stay reproducible on a single CPU.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800"/>
      </w:tblGrid>
      <w:tr>
        <w:trPr>
          <w:tblHeader/>
        </w:trPr>
        <w:tc>
          <w:tcPr>
            <w:tcW w:type="dxa" w:w="1900"/>
            <w:shd w:fill="2F5496" w:val="clear"/>
          </w:tcPr>
          <w:p>
            <w:r>
              <w:rPr>
                <w:b/>
                <w:bCs/>
                <w:color w:val="FFFFFF"/>
                <w:sz w:val="19"/>
                <w:szCs w:val="19"/>
              </w:rPr>
              <w:t xml:space="preserve">Model</w:t>
            </w:r>
          </w:p>
        </w:tc>
        <w:tc>
          <w:tcPr>
            <w:tcW w:type="dxa" w:w="1700"/>
            <w:shd w:fill="2F5496" w:val="clear"/>
          </w:tcPr>
          <w:p>
            <w:r>
              <w:rPr>
                <w:b/>
                <w:bCs/>
                <w:color w:val="FFFFFF"/>
                <w:sz w:val="19"/>
                <w:szCs w:val="19"/>
              </w:rPr>
              <w:t xml:space="preserve">Best CV ROC-AUC</w:t>
            </w:r>
          </w:p>
        </w:tc>
        <w:tc>
          <w:tcPr>
            <w:tcW w:type="dxa" w:w="5800"/>
            <w:shd w:fill="2F5496" w:val="clear"/>
          </w:tcPr>
          <w:p>
            <w:r>
              <w:rPr>
                <w:b/>
                <w:bCs/>
                <w:color w:val="FFFFFF"/>
                <w:sz w:val="19"/>
                <w:szCs w:val="19"/>
              </w:rPr>
              <w:t xml:space="preserve">Selected hyper-parameters</w:t>
            </w:r>
          </w:p>
        </w:tc>
      </w:tr>
      <w:tr>
        <w:tc>
          <w:tcPr>
            <w:tcW w:type="dxa" w:w="1900"/>
            <w:shd w:fill="F2F2F2" w:val="clear"/>
          </w:tcPr>
          <w:p>
            <w:r>
              <w:rPr>
                <w:sz w:val="19"/>
                <w:szCs w:val="19"/>
              </w:rPr>
              <w:t xml:space="preserve">Random Forest</w:t>
            </w:r>
          </w:p>
        </w:tc>
        <w:tc>
          <w:tcPr>
            <w:tcW w:type="dxa" w:w="1700"/>
            <w:shd w:fill="F2F2F2" w:val="clear"/>
          </w:tcPr>
          <w:p>
            <w:r>
              <w:rPr>
                <w:sz w:val="19"/>
                <w:szCs w:val="19"/>
              </w:rPr>
              <w:t xml:space="preserve">0.7988</w:t>
            </w:r>
          </w:p>
        </w:tc>
        <w:tc>
          <w:tcPr>
            <w:tcW w:type="dxa" w:w="5800"/>
            <w:shd w:fill="F2F2F2" w:val="clear"/>
          </w:tcPr>
          <w:p>
            <w:r>
              <w:rPr>
                <w:sz w:val="19"/>
                <w:szCs w:val="19"/>
              </w:rPr>
              <w:t xml:space="preserve">n_estimators 101, max_depth 9, min_samples_leaf 9, min_samples_split 4, max_features 0.3, class_weight balanced_subsample</w:t>
            </w:r>
          </w:p>
        </w:tc>
      </w:tr>
      <w:tr>
        <w:tc>
          <w:tcPr>
            <w:tcW w:type="dxa" w:w="1900"/>
            <w:shd w:fill="FFFFFF" w:val="clear"/>
          </w:tcPr>
          <w:p>
            <w:r>
              <w:rPr>
                <w:sz w:val="19"/>
                <w:szCs w:val="19"/>
              </w:rPr>
              <w:t xml:space="preserve">Gradient Boosting</w:t>
            </w:r>
          </w:p>
        </w:tc>
        <w:tc>
          <w:tcPr>
            <w:tcW w:type="dxa" w:w="1700"/>
            <w:shd w:fill="FFFFFF" w:val="clear"/>
          </w:tcPr>
          <w:p>
            <w:r>
              <w:rPr>
                <w:sz w:val="19"/>
                <w:szCs w:val="19"/>
              </w:rPr>
              <w:t xml:space="preserve">0.7973</w:t>
            </w:r>
          </w:p>
        </w:tc>
        <w:tc>
          <w:tcPr>
            <w:tcW w:type="dxa" w:w="5800"/>
            <w:shd w:fill="FFFFFF" w:val="clear"/>
          </w:tcPr>
          <w:p>
            <w:r>
              <w:rPr>
                <w:sz w:val="19"/>
                <w:szCs w:val="19"/>
              </w:rPr>
              <w:t xml:space="preserve">learning_rate 0.05, max_depth 6, max_leaf_nodes 15, min_samples_leaf 20, l2_regularization 5, max_iter 300</w:t>
            </w:r>
          </w:p>
        </w:tc>
      </w:tr>
    </w:tbl>
    <w:p/>
    <w:p>
      <w:pPr>
        <w:spacing w:after="60" w:before="120"/>
        <w:jc w:val="center"/>
      </w:pPr>
      <w:r>
        <w:drawing>
          <wp:inline distT="0" distB="0" distL="0" distR="0">
            <wp:extent cx="4000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62225"/>
                    </a:xfrm>
                    <a:prstGeom prst="rect">
                      <a:avLst/>
                    </a:prstGeom>
                  </pic:spPr>
                </pic:pic>
              </a:graphicData>
            </a:graphic>
          </wp:inline>
        </w:drawing>
      </w:r>
    </w:p>
    <w:p>
      <w:pPr>
        <w:spacing w:after="220"/>
        <w:jc w:val="center"/>
      </w:pPr>
      <w:r>
        <w:rPr>
          <w:i/>
          <w:iCs/>
          <w:color w:val="555555"/>
          <w:sz w:val="20"/>
          <w:szCs w:val="20"/>
        </w:rPr>
        <w:t xml:space="preserve">Figure 6. Random Forest search: cross-validated AUC by tree depth and minimum leaf size (10 configurations).</w:t>
      </w:r>
    </w:p>
    <w:p>
      <w:pPr>
        <w:spacing w:after="120"/>
      </w:pPr>
      <w:r>
        <w:t xml:space="preserve">Tuning improved the forest from 0.764 (default, 5-fold) to 0.799 (tuned, 3-fold); the two CV schemes differ, so the comparison is indicative. Within the 10 tuned configurations the CV AUC ranged only from 0.7943 to 0.7988, so cross-validated AUC is insensitive to these settings across the sampled range. The tuned forest (CV 0.7988) and tuned boosting (CV 0.7973) are effectively tied; the forest was selected as final on the higher CV score, a margin of 0.0014 that is well inside fold noise.</w:t>
      </w:r>
    </w:p>
    <w:p>
      <w:pPr>
        <w:pStyle w:val="Heading2"/>
        <w:spacing w:after="120" w:before="240"/>
      </w:pPr>
      <w:r>
        <w:t xml:space="preserve">7.4 Test-set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200"/>
      </w:tblGrid>
      <w:tr>
        <w:trPr>
          <w:tblHeader/>
        </w:trPr>
        <w:tc>
          <w:tcPr>
            <w:tcW w:type="dxa" w:w="2800"/>
            <w:shd w:fill="2F5496" w:val="clear"/>
          </w:tcPr>
          <w:p>
            <w:r>
              <w:rPr>
                <w:b/>
                <w:bCs/>
                <w:color w:val="FFFFFF"/>
                <w:sz w:val="19"/>
                <w:szCs w:val="19"/>
              </w:rPr>
              <w:t xml:space="preserve">Metric (threshold 0.5)</w:t>
            </w:r>
          </w:p>
        </w:tc>
        <w:tc>
          <w:tcPr>
            <w:tcW w:type="dxa" w:w="2000"/>
            <w:shd w:fill="2F5496" w:val="clear"/>
          </w:tcPr>
          <w:p>
            <w:r>
              <w:rPr>
                <w:b/>
                <w:bCs/>
                <w:color w:val="FFFFFF"/>
                <w:sz w:val="19"/>
                <w:szCs w:val="19"/>
              </w:rPr>
              <w:t xml:space="preserve">Logistic Reg.</w:t>
            </w:r>
          </w:p>
        </w:tc>
        <w:tc>
          <w:tcPr>
            <w:tcW w:type="dxa" w:w="2400"/>
            <w:shd w:fill="2F5496" w:val="clear"/>
          </w:tcPr>
          <w:p>
            <w:r>
              <w:rPr>
                <w:b/>
                <w:bCs/>
                <w:color w:val="FFFFFF"/>
                <w:sz w:val="19"/>
                <w:szCs w:val="19"/>
              </w:rPr>
              <w:t xml:space="preserve">Random Forest (tuned)</w:t>
            </w:r>
          </w:p>
        </w:tc>
        <w:tc>
          <w:tcPr>
            <w:tcW w:type="dxa" w:w="2200"/>
            <w:shd w:fill="2F5496" w:val="clear"/>
          </w:tcPr>
          <w:p>
            <w:r>
              <w:rPr>
                <w:b/>
                <w:bCs/>
                <w:color w:val="FFFFFF"/>
                <w:sz w:val="19"/>
                <w:szCs w:val="19"/>
              </w:rPr>
              <w:t xml:space="preserve">Grad. Boosting (tuned)</w:t>
            </w:r>
          </w:p>
        </w:tc>
      </w:tr>
      <w:tr>
        <w:tc>
          <w:tcPr>
            <w:tcW w:type="dxa" w:w="2800"/>
            <w:shd w:fill="F2F2F2" w:val="clear"/>
          </w:tcPr>
          <w:p>
            <w:r>
              <w:rPr>
                <w:sz w:val="19"/>
                <w:szCs w:val="19"/>
              </w:rPr>
              <w:t xml:space="preserve">ROC-AUC</w:t>
            </w:r>
          </w:p>
        </w:tc>
        <w:tc>
          <w:tcPr>
            <w:tcW w:type="dxa" w:w="2000"/>
            <w:shd w:fill="F2F2F2" w:val="clear"/>
          </w:tcPr>
          <w:p>
            <w:r>
              <w:rPr>
                <w:sz w:val="19"/>
                <w:szCs w:val="19"/>
              </w:rPr>
              <w:t xml:space="preserve">0.802</w:t>
            </w:r>
          </w:p>
        </w:tc>
        <w:tc>
          <w:tcPr>
            <w:tcW w:type="dxa" w:w="2400"/>
            <w:shd w:fill="F2F2F2" w:val="clear"/>
          </w:tcPr>
          <w:p>
            <w:r>
              <w:rPr>
                <w:sz w:val="19"/>
                <w:szCs w:val="19"/>
              </w:rPr>
              <w:t xml:space="preserve">0.816</w:t>
            </w:r>
          </w:p>
        </w:tc>
        <w:tc>
          <w:tcPr>
            <w:tcW w:type="dxa" w:w="2200"/>
            <w:shd w:fill="F2F2F2" w:val="clear"/>
          </w:tcPr>
          <w:p>
            <w:r>
              <w:rPr>
                <w:sz w:val="19"/>
                <w:szCs w:val="19"/>
              </w:rPr>
              <w:t xml:space="preserve">0.812</w:t>
            </w:r>
          </w:p>
        </w:tc>
      </w:tr>
      <w:tr>
        <w:tc>
          <w:tcPr>
            <w:tcW w:type="dxa" w:w="2800"/>
            <w:shd w:fill="FFFFFF" w:val="clear"/>
          </w:tcPr>
          <w:p>
            <w:r>
              <w:rPr>
                <w:sz w:val="19"/>
                <w:szCs w:val="19"/>
              </w:rPr>
              <w:t xml:space="preserve">Average precision</w:t>
            </w:r>
          </w:p>
        </w:tc>
        <w:tc>
          <w:tcPr>
            <w:tcW w:type="dxa" w:w="2000"/>
            <w:shd w:fill="FFFFFF" w:val="clear"/>
          </w:tcPr>
          <w:p>
            <w:r>
              <w:rPr>
                <w:sz w:val="19"/>
                <w:szCs w:val="19"/>
              </w:rPr>
              <w:t xml:space="preserve">0.443</w:t>
            </w:r>
          </w:p>
        </w:tc>
        <w:tc>
          <w:tcPr>
            <w:tcW w:type="dxa" w:w="2400"/>
            <w:shd w:fill="FFFFFF" w:val="clear"/>
          </w:tcPr>
          <w:p>
            <w:r>
              <w:rPr>
                <w:sz w:val="19"/>
                <w:szCs w:val="19"/>
              </w:rPr>
              <w:t xml:space="preserve">0.490</w:t>
            </w:r>
          </w:p>
        </w:tc>
        <w:tc>
          <w:tcPr>
            <w:tcW w:type="dxa" w:w="2200"/>
            <w:shd w:fill="FFFFFF" w:val="clear"/>
          </w:tcPr>
          <w:p>
            <w:r>
              <w:rPr>
                <w:sz w:val="19"/>
                <w:szCs w:val="19"/>
              </w:rPr>
              <w:t xml:space="preserve">0.484</w:t>
            </w:r>
          </w:p>
        </w:tc>
      </w:tr>
      <w:tr>
        <w:tc>
          <w:tcPr>
            <w:tcW w:type="dxa" w:w="2800"/>
            <w:shd w:fill="F2F2F2" w:val="clear"/>
          </w:tcPr>
          <w:p>
            <w:r>
              <w:rPr>
                <w:sz w:val="19"/>
                <w:szCs w:val="19"/>
              </w:rPr>
              <w:t xml:space="preserve">Accuracy</w:t>
            </w:r>
          </w:p>
        </w:tc>
        <w:tc>
          <w:tcPr>
            <w:tcW w:type="dxa" w:w="2000"/>
            <w:shd w:fill="F2F2F2" w:val="clear"/>
          </w:tcPr>
          <w:p>
            <w:r>
              <w:rPr>
                <w:sz w:val="19"/>
                <w:szCs w:val="19"/>
              </w:rPr>
              <w:t xml:space="preserve">0.835</w:t>
            </w:r>
          </w:p>
        </w:tc>
        <w:tc>
          <w:tcPr>
            <w:tcW w:type="dxa" w:w="2400"/>
            <w:shd w:fill="F2F2F2" w:val="clear"/>
          </w:tcPr>
          <w:p>
            <w:r>
              <w:rPr>
                <w:sz w:val="19"/>
                <w:szCs w:val="19"/>
              </w:rPr>
              <w:t xml:space="preserve">0.858</w:t>
            </w:r>
          </w:p>
        </w:tc>
        <w:tc>
          <w:tcPr>
            <w:tcW w:type="dxa" w:w="2200"/>
            <w:shd w:fill="F2F2F2" w:val="clear"/>
          </w:tcPr>
          <w:p>
            <w:r>
              <w:rPr>
                <w:sz w:val="19"/>
                <w:szCs w:val="19"/>
              </w:rPr>
              <w:t xml:space="preserve">0.901</w:t>
            </w:r>
          </w:p>
        </w:tc>
      </w:tr>
      <w:tr>
        <w:tc>
          <w:tcPr>
            <w:tcW w:type="dxa" w:w="2800"/>
            <w:shd w:fill="FFFFFF" w:val="clear"/>
          </w:tcPr>
          <w:p>
            <w:r>
              <w:rPr>
                <w:sz w:val="19"/>
                <w:szCs w:val="19"/>
              </w:rPr>
              <w:t xml:space="preserve">Precision (yes)</w:t>
            </w:r>
          </w:p>
        </w:tc>
        <w:tc>
          <w:tcPr>
            <w:tcW w:type="dxa" w:w="2000"/>
            <w:shd w:fill="FFFFFF" w:val="clear"/>
          </w:tcPr>
          <w:p>
            <w:r>
              <w:rPr>
                <w:sz w:val="19"/>
                <w:szCs w:val="19"/>
              </w:rPr>
              <w:t xml:space="preserve">0.366</w:t>
            </w:r>
          </w:p>
        </w:tc>
        <w:tc>
          <w:tcPr>
            <w:tcW w:type="dxa" w:w="2400"/>
            <w:shd w:fill="FFFFFF" w:val="clear"/>
          </w:tcPr>
          <w:p>
            <w:r>
              <w:rPr>
                <w:sz w:val="19"/>
                <w:szCs w:val="19"/>
              </w:rPr>
              <w:t xml:space="preserve">0.414</w:t>
            </w:r>
          </w:p>
        </w:tc>
        <w:tc>
          <w:tcPr>
            <w:tcW w:type="dxa" w:w="2200"/>
            <w:shd w:fill="FFFFFF" w:val="clear"/>
          </w:tcPr>
          <w:p>
            <w:r>
              <w:rPr>
                <w:sz w:val="19"/>
                <w:szCs w:val="19"/>
              </w:rPr>
              <w:t xml:space="preserve">0.674</w:t>
            </w:r>
          </w:p>
        </w:tc>
      </w:tr>
      <w:tr>
        <w:tc>
          <w:tcPr>
            <w:tcW w:type="dxa" w:w="2800"/>
            <w:shd w:fill="F2F2F2" w:val="clear"/>
          </w:tcPr>
          <w:p>
            <w:r>
              <w:rPr>
                <w:sz w:val="19"/>
                <w:szCs w:val="19"/>
              </w:rPr>
              <w:t xml:space="preserve">Recall (yes)</w:t>
            </w:r>
          </w:p>
        </w:tc>
        <w:tc>
          <w:tcPr>
            <w:tcW w:type="dxa" w:w="2000"/>
            <w:shd w:fill="F2F2F2" w:val="clear"/>
          </w:tcPr>
          <w:p>
            <w:r>
              <w:rPr>
                <w:sz w:val="19"/>
                <w:szCs w:val="19"/>
              </w:rPr>
              <w:t xml:space="preserve">0.641</w:t>
            </w:r>
          </w:p>
        </w:tc>
        <w:tc>
          <w:tcPr>
            <w:tcW w:type="dxa" w:w="2400"/>
            <w:shd w:fill="F2F2F2" w:val="clear"/>
          </w:tcPr>
          <w:p>
            <w:r>
              <w:rPr>
                <w:sz w:val="19"/>
                <w:szCs w:val="19"/>
              </w:rPr>
              <w:t xml:space="preserve">0.639</w:t>
            </w:r>
          </w:p>
        </w:tc>
        <w:tc>
          <w:tcPr>
            <w:tcW w:type="dxa" w:w="2200"/>
            <w:shd w:fill="F2F2F2" w:val="clear"/>
          </w:tcPr>
          <w:p>
            <w:r>
              <w:rPr>
                <w:sz w:val="19"/>
                <w:szCs w:val="19"/>
              </w:rPr>
              <w:t xml:space="preserve">0.237</w:t>
            </w:r>
          </w:p>
        </w:tc>
      </w:tr>
      <w:tr>
        <w:tc>
          <w:tcPr>
            <w:tcW w:type="dxa" w:w="2800"/>
            <w:shd w:fill="FFFFFF" w:val="clear"/>
          </w:tcPr>
          <w:p>
            <w:r>
              <w:rPr>
                <w:sz w:val="19"/>
                <w:szCs w:val="19"/>
              </w:rPr>
              <w:t xml:space="preserve">F1 (yes)</w:t>
            </w:r>
          </w:p>
        </w:tc>
        <w:tc>
          <w:tcPr>
            <w:tcW w:type="dxa" w:w="2000"/>
            <w:shd w:fill="FFFFFF" w:val="clear"/>
          </w:tcPr>
          <w:p>
            <w:r>
              <w:rPr>
                <w:sz w:val="19"/>
                <w:szCs w:val="19"/>
              </w:rPr>
              <w:t xml:space="preserve">0.466</w:t>
            </w:r>
          </w:p>
        </w:tc>
        <w:tc>
          <w:tcPr>
            <w:tcW w:type="dxa" w:w="2400"/>
            <w:shd w:fill="FFFFFF" w:val="clear"/>
          </w:tcPr>
          <w:p>
            <w:r>
              <w:rPr>
                <w:sz w:val="19"/>
                <w:szCs w:val="19"/>
              </w:rPr>
              <w:t xml:space="preserve">0.503</w:t>
            </w:r>
          </w:p>
        </w:tc>
        <w:tc>
          <w:tcPr>
            <w:tcW w:type="dxa" w:w="2200"/>
            <w:shd w:fill="FFFFFF" w:val="clear"/>
          </w:tcPr>
          <w:p>
            <w:r>
              <w:rPr>
                <w:sz w:val="19"/>
                <w:szCs w:val="19"/>
              </w:rPr>
              <w:t xml:space="preserve">0.351</w:t>
            </w:r>
          </w:p>
        </w:tc>
      </w:tr>
      <w:tr>
        <w:tc>
          <w:tcPr>
            <w:tcW w:type="dxa" w:w="2800"/>
            <w:shd w:fill="F2F2F2" w:val="clear"/>
          </w:tcPr>
          <w:p>
            <w:r>
              <w:rPr>
                <w:sz w:val="19"/>
                <w:szCs w:val="19"/>
              </w:rPr>
              <w:t xml:space="preserve">Specificity</w:t>
            </w:r>
          </w:p>
        </w:tc>
        <w:tc>
          <w:tcPr>
            <w:tcW w:type="dxa" w:w="2000"/>
            <w:shd w:fill="F2F2F2" w:val="clear"/>
          </w:tcPr>
          <w:p>
            <w:r>
              <w:rPr>
                <w:sz w:val="19"/>
                <w:szCs w:val="19"/>
              </w:rPr>
              <w:t xml:space="preserve">0.859</w:t>
            </w:r>
          </w:p>
        </w:tc>
        <w:tc>
          <w:tcPr>
            <w:tcW w:type="dxa" w:w="2400"/>
            <w:shd w:fill="F2F2F2" w:val="clear"/>
          </w:tcPr>
          <w:p>
            <w:r>
              <w:rPr>
                <w:sz w:val="19"/>
                <w:szCs w:val="19"/>
              </w:rPr>
              <w:t xml:space="preserve">0.885</w:t>
            </w:r>
          </w:p>
        </w:tc>
        <w:tc>
          <w:tcPr>
            <w:tcW w:type="dxa" w:w="2200"/>
            <w:shd w:fill="F2F2F2" w:val="clear"/>
          </w:tcPr>
          <w:p>
            <w:r>
              <w:rPr>
                <w:sz w:val="19"/>
                <w:szCs w:val="19"/>
              </w:rPr>
              <w:t xml:space="preserve">0.985</w:t>
            </w:r>
          </w:p>
        </w:tc>
      </w:tr>
      <w:tr>
        <w:tc>
          <w:tcPr>
            <w:tcW w:type="dxa" w:w="2800"/>
            <w:shd w:fill="FFFFFF" w:val="clear"/>
          </w:tcPr>
          <w:p>
            <w:r>
              <w:rPr>
                <w:sz w:val="19"/>
                <w:szCs w:val="19"/>
              </w:rPr>
              <w:t xml:space="preserve">TN / FP / FN / TP</w:t>
            </w:r>
          </w:p>
        </w:tc>
        <w:tc>
          <w:tcPr>
            <w:tcW w:type="dxa" w:w="2000"/>
            <w:shd w:fill="FFFFFF" w:val="clear"/>
          </w:tcPr>
          <w:p>
            <w:r>
              <w:rPr>
                <w:sz w:val="19"/>
                <w:szCs w:val="19"/>
              </w:rPr>
              <w:t xml:space="preserve">7849 / 1285 / 417 / 743</w:t>
            </w:r>
          </w:p>
        </w:tc>
        <w:tc>
          <w:tcPr>
            <w:tcW w:type="dxa" w:w="2400"/>
            <w:shd w:fill="FFFFFF" w:val="clear"/>
          </w:tcPr>
          <w:p>
            <w:r>
              <w:rPr>
                <w:sz w:val="19"/>
                <w:szCs w:val="19"/>
              </w:rPr>
              <w:t xml:space="preserve">8087 / 1047 / 419 / 741</w:t>
            </w:r>
          </w:p>
        </w:tc>
        <w:tc>
          <w:tcPr>
            <w:tcW w:type="dxa" w:w="2200"/>
            <w:shd w:fill="FFFFFF" w:val="clear"/>
          </w:tcPr>
          <w:p>
            <w:r>
              <w:rPr>
                <w:sz w:val="19"/>
                <w:szCs w:val="19"/>
              </w:rPr>
              <w:t xml:space="preserve">9001 / 133 / 885 / 275</w:t>
            </w:r>
          </w:p>
        </w:tc>
      </w:tr>
    </w:tbl>
    <w:p/>
    <w:p>
      <w:pPr>
        <w:spacing w:after="6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14500"/>
                    </a:xfrm>
                    <a:prstGeom prst="rect">
                      <a:avLst/>
                    </a:prstGeom>
                  </pic:spPr>
                </pic:pic>
              </a:graphicData>
            </a:graphic>
          </wp:inline>
        </w:drawing>
      </w:r>
    </w:p>
    <w:p>
      <w:pPr>
        <w:spacing w:after="220"/>
        <w:jc w:val="center"/>
      </w:pPr>
      <w:r>
        <w:rPr>
          <w:i/>
          <w:iCs/>
          <w:color w:val="555555"/>
          <w:sz w:val="20"/>
          <w:szCs w:val="20"/>
        </w:rPr>
        <w:t xml:space="preserve">Figure 7. Final model on the test set: confusion matrix (left), ROC curves of the three models (centre), precision-recall curve (right).</w:t>
      </w:r>
    </w:p>
    <w:p>
      <w:pPr>
        <w:spacing w:after="120"/>
      </w:pPr>
      <w:r>
        <w:rPr>
          <w:b/>
          <w:bCs/>
        </w:rPr>
        <w:t xml:space="preserve">Final model: tuned Random Forest. </w:t>
      </w:r>
      <w:r>
        <w:rPr>
          <w:b w:val="false"/>
          <w:bCs w:val="false"/>
        </w:rPr>
        <w:t xml:space="preserve">ROC-AUC 0.816, average precision 0.490 (no-skill baseline 0.113), recall 0.639, precision 0.414. It finds 741 of the 1160 test subscribers (64%) at the price of 1047 false alarms. Roughly 4 in 10 flagged clients subscribe, against 1 in 9 overall.</w:t>
      </w:r>
    </w:p>
    <w:p>
      <w:pPr>
        <w:spacing w:after="120"/>
      </w:pPr>
      <w:r>
        <w:rPr>
          <w:b/>
          <w:bCs/>
        </w:rPr>
        <w:t xml:space="preserve">Comparison with logistic regression. </w:t>
      </w:r>
      <w:r>
        <w:rPr>
          <w:b w:val="false"/>
          <w:bCs w:val="false"/>
        </w:rPr>
        <w:t xml:space="preserve">The forest improves ROC-AUC by only 0.014 and average precision by 0.047; both are modest, and given a CV standard deviation near 0.01 the improvement should be called small rather than decisive. The simpler model remains a serious option when interpretability matters.</w:t>
      </w:r>
    </w:p>
    <w:p>
      <w:pPr>
        <w:spacing w:after="120"/>
      </w:pPr>
      <w:r>
        <w:rPr>
          <w:b/>
          <w:bCs/>
        </w:rPr>
        <w:t xml:space="preserve">Boosting at the default threshold. </w:t>
      </w:r>
      <w:r>
        <w:rPr>
          <w:b w:val="false"/>
          <w:bCs w:val="false"/>
        </w:rPr>
        <w:t xml:space="preserve">Its recall of 0.237 and precision of 0.674 reflect an unweighted model at a 0.5 cut-off, not weaker ranking: its AUC (0.812) is within 0.004 of the forest. Choosing a threshold is a business decision, not a modelling default.</w:t>
      </w:r>
    </w:p>
    <w:p>
      <w:pPr>
        <w:spacing w:after="120"/>
      </w:pPr>
      <w:r>
        <w:rPr>
          <w:b/>
          <w:bCs/>
        </w:rPr>
        <w:t xml:space="preserve">Overfitting check. </w:t>
      </w:r>
      <w:r>
        <w:rPr>
          <w:b w:val="false"/>
          <w:bCs w:val="false"/>
        </w:rPr>
        <w:t xml:space="preserve">Train AUC 0.842 versus test AUC 0.816, a gap of 0.026: mild, consistent with the depth and leaf constraints chosen in tuning.</w:t>
      </w:r>
    </w:p>
    <w:p>
      <w:pPr>
        <w:spacing w:after="60" w:before="12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00350"/>
                    </a:xfrm>
                    <a:prstGeom prst="rect">
                      <a:avLst/>
                    </a:prstGeom>
                  </pic:spPr>
                </pic:pic>
              </a:graphicData>
            </a:graphic>
          </wp:inline>
        </w:drawing>
      </w:r>
    </w:p>
    <w:p>
      <w:pPr>
        <w:spacing w:after="220"/>
        <w:jc w:val="center"/>
      </w:pPr>
      <w:r>
        <w:rPr>
          <w:i/>
          <w:iCs/>
          <w:color w:val="555555"/>
          <w:sz w:val="20"/>
          <w:szCs w:val="20"/>
        </w:rPr>
        <w:t xml:space="preserve">Figure 8. Permutation importance on the test set (drop in ROC-AUC when a feature is shuffled).</w:t>
      </w:r>
    </w:p>
    <w:p>
      <w:pPr>
        <w:spacing w:after="120"/>
      </w:pPr>
      <w:r>
        <w:t xml:space="preserve">The most important features are the macro-economic variables (nr_employed 0.020, euribor3m 0.016, emp_var_rate 0.010) followed by landline contact (0.010). Because these macro variables are collinear, their importance is shared among them. Note that nearly all the top-ranked features describe the campaign context (economic timing and contact channel) rather than client characteristics, which links directly to the robustness result below.</w:t>
      </w:r>
    </w:p>
    <w:p>
      <w:pPr>
        <w:pStyle w:val="Heading2"/>
        <w:spacing w:after="120" w:before="240"/>
      </w:pPr>
      <w:r>
        <w:t xml:space="preserve">7.5 Robustness check: out-of-time evaluation</w:t>
      </w:r>
    </w:p>
    <w:p>
      <w:pPr>
        <w:spacing w:after="120"/>
      </w:pPr>
      <w:r>
        <w:t xml:space="preserve">The data are chronological and the macro variables nearly identify the calendar period, so a random split lets the model see the same economic regime in training and test. To test this, the first 30,879 rows (75%) were used for training and the last 10,294 rows (25%) for testing, with the tuned forest settings and the logistic baseline.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700"/>
      </w:tblGrid>
      <w:tr>
        <w:trPr>
          <w:tblHeader/>
        </w:trPr>
        <w:tc>
          <w:tcPr>
            <w:tcW w:type="dxa" w:w="4000"/>
            <w:shd w:fill="2F5496" w:val="clear"/>
          </w:tcPr>
          <w:p>
            <w:r>
              <w:rPr>
                <w:b/>
                <w:bCs/>
                <w:color w:val="FFFFFF"/>
                <w:sz w:val="19"/>
                <w:szCs w:val="19"/>
              </w:rPr>
              <w:t xml:space="preserve">Evaluation</w:t>
            </w:r>
          </w:p>
        </w:tc>
        <w:tc>
          <w:tcPr>
            <w:tcW w:type="dxa" w:w="2700"/>
            <w:shd w:fill="2F5496" w:val="clear"/>
          </w:tcPr>
          <w:p>
            <w:r>
              <w:rPr>
                <w:b/>
                <w:bCs/>
                <w:color w:val="FFFFFF"/>
                <w:sz w:val="19"/>
                <w:szCs w:val="19"/>
              </w:rPr>
              <w:t xml:space="preserve">Logistic Regression ROC-AUC</w:t>
            </w:r>
          </w:p>
        </w:tc>
        <w:tc>
          <w:tcPr>
            <w:tcW w:type="dxa" w:w="2700"/>
            <w:shd w:fill="2F5496" w:val="clear"/>
          </w:tcPr>
          <w:p>
            <w:r>
              <w:rPr>
                <w:b/>
                <w:bCs/>
                <w:color w:val="FFFFFF"/>
                <w:sz w:val="19"/>
                <w:szCs w:val="19"/>
              </w:rPr>
              <w:t xml:space="preserve">Random Forest ROC-AUC</w:t>
            </w:r>
          </w:p>
        </w:tc>
      </w:tr>
      <w:tr>
        <w:tc>
          <w:tcPr>
            <w:tcW w:type="dxa" w:w="4000"/>
            <w:shd w:fill="F2F2F2" w:val="clear"/>
          </w:tcPr>
          <w:p>
            <w:r>
              <w:rPr>
                <w:sz w:val="19"/>
                <w:szCs w:val="19"/>
              </w:rPr>
              <w:t xml:space="preserve">Random stratified split (Section 7.4)</w:t>
            </w:r>
          </w:p>
        </w:tc>
        <w:tc>
          <w:tcPr>
            <w:tcW w:type="dxa" w:w="2700"/>
            <w:shd w:fill="F2F2F2" w:val="clear"/>
          </w:tcPr>
          <w:p>
            <w:r>
              <w:rPr>
                <w:sz w:val="19"/>
                <w:szCs w:val="19"/>
              </w:rPr>
              <w:t xml:space="preserve">0.802</w:t>
            </w:r>
          </w:p>
        </w:tc>
        <w:tc>
          <w:tcPr>
            <w:tcW w:type="dxa" w:w="2700"/>
            <w:shd w:fill="F2F2F2" w:val="clear"/>
          </w:tcPr>
          <w:p>
            <w:r>
              <w:rPr>
                <w:sz w:val="19"/>
                <w:szCs w:val="19"/>
              </w:rPr>
              <w:t xml:space="preserve">0.816</w:t>
            </w:r>
          </w:p>
        </w:tc>
      </w:tr>
      <w:tr>
        <w:tc>
          <w:tcPr>
            <w:tcW w:type="dxa" w:w="4000"/>
            <w:shd w:fill="FFFFFF" w:val="clear"/>
          </w:tcPr>
          <w:p>
            <w:r>
              <w:rPr>
                <w:sz w:val="19"/>
                <w:szCs w:val="19"/>
              </w:rPr>
              <w:t xml:space="preserve">Out-of-time split (train early, test late)</w:t>
            </w:r>
          </w:p>
        </w:tc>
        <w:tc>
          <w:tcPr>
            <w:tcW w:type="dxa" w:w="2700"/>
            <w:shd w:fill="FFFFFF" w:val="clear"/>
          </w:tcPr>
          <w:p>
            <w:r>
              <w:rPr>
                <w:sz w:val="19"/>
                <w:szCs w:val="19"/>
              </w:rPr>
              <w:t xml:space="preserve">0.430</w:t>
            </w:r>
          </w:p>
        </w:tc>
        <w:tc>
          <w:tcPr>
            <w:tcW w:type="dxa" w:w="2700"/>
            <w:shd w:fill="FFFFFF" w:val="clear"/>
          </w:tcPr>
          <w:p>
            <w:r>
              <w:rPr>
                <w:sz w:val="19"/>
                <w:szCs w:val="19"/>
              </w:rPr>
              <w:t xml:space="preserve">0.631</w:t>
            </w:r>
          </w:p>
        </w:tc>
      </w:tr>
    </w:tbl>
    <w:p/>
    <w:p>
      <w:pPr>
        <w:spacing w:after="120"/>
      </w:pPr>
      <w:r>
        <w:t xml:space="preserve">Performance drops sharply. The positive rate shifts from 6.4% in the early training period to 25.8% in the late test period, so the later campaign period behaves very differently. The forest keeps some ranking ability (AUC 0.631, average precision 0.341), but logistic regression scores 0.430, below the 0.5 expected from random ranking. A likely explanation, not tested here, is that the linear macro-economic relationships learned in 2008-2009 do not extend to the later economic conditions. Whatever the exact cause, this is the single most important limitation of the project: the model ranks clients well within the period it was built on and cannot be assumed to do so for a future campaign without retraining and monitoring.</w:t>
      </w:r>
    </w:p>
    <w:p>
      <w:pPr>
        <w:pStyle w:val="Heading1"/>
        <w:spacing w:after="150" w:before="320"/>
      </w:pPr>
      <w:r>
        <w:t xml:space="preserve">8. Business Impact</w:t>
      </w:r>
    </w:p>
    <w:p>
      <w:pPr>
        <w:spacing w:after="60"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00250"/>
                    </a:xfrm>
                    <a:prstGeom prst="rect">
                      <a:avLst/>
                    </a:prstGeom>
                  </pic:spPr>
                </pic:pic>
              </a:graphicData>
            </a:graphic>
          </wp:inline>
        </w:drawing>
      </w:r>
    </w:p>
    <w:p>
      <w:pPr>
        <w:spacing w:after="220"/>
        <w:jc w:val="center"/>
      </w:pPr>
      <w:r>
        <w:rPr>
          <w:i/>
          <w:iCs/>
          <w:color w:val="555555"/>
          <w:sz w:val="20"/>
          <w:szCs w:val="20"/>
        </w:rPr>
        <w:t xml:space="preserve">Figure 9. Cumulative gain chart (left) and actual subscription rate by score decile (right), test set, random split.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600"/>
      </w:tblGrid>
      <w:tr>
        <w:trPr>
          <w:tblHeader/>
        </w:trPr>
        <w:tc>
          <w:tcPr>
            <w:tcW w:type="dxa" w:w="3800"/>
            <w:shd w:fill="2F5496" w:val="clear"/>
          </w:tcPr>
          <w:p>
            <w:r>
              <w:rPr>
                <w:b/>
                <w:bCs/>
                <w:color w:val="FFFFFF"/>
                <w:sz w:val="19"/>
                <w:szCs w:val="19"/>
              </w:rPr>
              <w:t xml:space="preserve">Share of clients called (highest score first)</w:t>
            </w:r>
          </w:p>
        </w:tc>
        <w:tc>
          <w:tcPr>
            <w:tcW w:type="dxa" w:w="3000"/>
            <w:shd w:fill="2F5496" w:val="clear"/>
          </w:tcPr>
          <w:p>
            <w:r>
              <w:rPr>
                <w:b/>
                <w:bCs/>
                <w:color w:val="FFFFFF"/>
                <w:sz w:val="19"/>
                <w:szCs w:val="19"/>
              </w:rPr>
              <w:t xml:space="preserve">Share of subscribers reached</w:t>
            </w:r>
          </w:p>
        </w:tc>
        <w:tc>
          <w:tcPr>
            <w:tcW w:type="dxa" w:w="2600"/>
            <w:shd w:fill="2F5496" w:val="clear"/>
          </w:tcPr>
          <w:p>
            <w:r>
              <w:rPr>
                <w:b/>
                <w:bCs/>
                <w:color w:val="FFFFFF"/>
                <w:sz w:val="19"/>
                <w:szCs w:val="19"/>
              </w:rPr>
              <w:t xml:space="preserve">Lift vs random calling</w:t>
            </w:r>
          </w:p>
        </w:tc>
      </w:tr>
      <w:tr>
        <w:tc>
          <w:tcPr>
            <w:tcW w:type="dxa" w:w="3800"/>
            <w:shd w:fill="F2F2F2" w:val="clear"/>
          </w:tcPr>
          <w:p>
            <w:r>
              <w:rPr>
                <w:sz w:val="19"/>
                <w:szCs w:val="19"/>
              </w:rPr>
              <w:t xml:space="preserve">10%</w:t>
            </w:r>
          </w:p>
        </w:tc>
        <w:tc>
          <w:tcPr>
            <w:tcW w:type="dxa" w:w="3000"/>
            <w:shd w:fill="F2F2F2" w:val="clear"/>
          </w:tcPr>
          <w:p>
            <w:r>
              <w:rPr>
                <w:sz w:val="19"/>
                <w:szCs w:val="19"/>
              </w:rPr>
              <w:t xml:space="preserve">46.6%</w:t>
            </w:r>
          </w:p>
        </w:tc>
        <w:tc>
          <w:tcPr>
            <w:tcW w:type="dxa" w:w="2600"/>
            <w:shd w:fill="F2F2F2" w:val="clear"/>
          </w:tcPr>
          <w:p>
            <w:r>
              <w:rPr>
                <w:sz w:val="19"/>
                <w:szCs w:val="19"/>
              </w:rPr>
              <w:t xml:space="preserve">4.66x</w:t>
            </w:r>
          </w:p>
        </w:tc>
      </w:tr>
      <w:tr>
        <w:tc>
          <w:tcPr>
            <w:tcW w:type="dxa" w:w="3800"/>
            <w:shd w:fill="FFFFFF" w:val="clear"/>
          </w:tcPr>
          <w:p>
            <w:r>
              <w:rPr>
                <w:sz w:val="19"/>
                <w:szCs w:val="19"/>
              </w:rPr>
              <w:t xml:space="preserve">20%</w:t>
            </w:r>
          </w:p>
        </w:tc>
        <w:tc>
          <w:tcPr>
            <w:tcW w:type="dxa" w:w="3000"/>
            <w:shd w:fill="FFFFFF" w:val="clear"/>
          </w:tcPr>
          <w:p>
            <w:r>
              <w:rPr>
                <w:sz w:val="19"/>
                <w:szCs w:val="19"/>
              </w:rPr>
              <w:t xml:space="preserve">66.0%</w:t>
            </w:r>
          </w:p>
        </w:tc>
        <w:tc>
          <w:tcPr>
            <w:tcW w:type="dxa" w:w="2600"/>
            <w:shd w:fill="FFFFFF" w:val="clear"/>
          </w:tcPr>
          <w:p>
            <w:r>
              <w:rPr>
                <w:sz w:val="19"/>
                <w:szCs w:val="19"/>
              </w:rPr>
              <w:t xml:space="preserve">3.30x</w:t>
            </w:r>
          </w:p>
        </w:tc>
      </w:tr>
      <w:tr>
        <w:tc>
          <w:tcPr>
            <w:tcW w:type="dxa" w:w="3800"/>
            <w:shd w:fill="F2F2F2" w:val="clear"/>
          </w:tcPr>
          <w:p>
            <w:r>
              <w:rPr>
                <w:sz w:val="19"/>
                <w:szCs w:val="19"/>
              </w:rPr>
              <w:t xml:space="preserve">30%</w:t>
            </w:r>
          </w:p>
        </w:tc>
        <w:tc>
          <w:tcPr>
            <w:tcW w:type="dxa" w:w="3000"/>
            <w:shd w:fill="F2F2F2" w:val="clear"/>
          </w:tcPr>
          <w:p>
            <w:r>
              <w:rPr>
                <w:sz w:val="19"/>
                <w:szCs w:val="19"/>
              </w:rPr>
              <w:t xml:space="preserve">74.1%</w:t>
            </w:r>
          </w:p>
        </w:tc>
        <w:tc>
          <w:tcPr>
            <w:tcW w:type="dxa" w:w="2600"/>
            <w:shd w:fill="F2F2F2" w:val="clear"/>
          </w:tcPr>
          <w:p>
            <w:r>
              <w:rPr>
                <w:sz w:val="19"/>
                <w:szCs w:val="19"/>
              </w:rPr>
              <w:t xml:space="preserve">2.47x</w:t>
            </w:r>
          </w:p>
        </w:tc>
      </w:tr>
      <w:tr>
        <w:tc>
          <w:tcPr>
            <w:tcW w:type="dxa" w:w="3800"/>
            <w:shd w:fill="FFFFFF" w:val="clear"/>
          </w:tcPr>
          <w:p>
            <w:r>
              <w:rPr>
                <w:sz w:val="19"/>
                <w:szCs w:val="19"/>
              </w:rPr>
              <w:t xml:space="preserve">40%</w:t>
            </w:r>
          </w:p>
        </w:tc>
        <w:tc>
          <w:tcPr>
            <w:tcW w:type="dxa" w:w="3000"/>
            <w:shd w:fill="FFFFFF" w:val="clear"/>
          </w:tcPr>
          <w:p>
            <w:r>
              <w:rPr>
                <w:sz w:val="19"/>
                <w:szCs w:val="19"/>
              </w:rPr>
              <w:t xml:space="preserve">79.7%</w:t>
            </w:r>
          </w:p>
        </w:tc>
        <w:tc>
          <w:tcPr>
            <w:tcW w:type="dxa" w:w="2600"/>
            <w:shd w:fill="FFFFFF" w:val="clear"/>
          </w:tcPr>
          <w:p>
            <w:r>
              <w:rPr>
                <w:sz w:val="19"/>
                <w:szCs w:val="19"/>
              </w:rPr>
              <w:t xml:space="preserve">1.99x</w:t>
            </w:r>
          </w:p>
        </w:tc>
      </w:tr>
      <w:tr>
        <w:tc>
          <w:tcPr>
            <w:tcW w:type="dxa" w:w="3800"/>
            <w:shd w:fill="F2F2F2" w:val="clear"/>
          </w:tcPr>
          <w:p>
            <w:r>
              <w:rPr>
                <w:sz w:val="19"/>
                <w:szCs w:val="19"/>
              </w:rPr>
              <w:t xml:space="preserve">50%</w:t>
            </w:r>
          </w:p>
        </w:tc>
        <w:tc>
          <w:tcPr>
            <w:tcW w:type="dxa" w:w="3000"/>
            <w:shd w:fill="F2F2F2" w:val="clear"/>
          </w:tcPr>
          <w:p>
            <w:r>
              <w:rPr>
                <w:sz w:val="19"/>
                <w:szCs w:val="19"/>
              </w:rPr>
              <w:t xml:space="preserve">84.1%</w:t>
            </w:r>
          </w:p>
        </w:tc>
        <w:tc>
          <w:tcPr>
            <w:tcW w:type="dxa" w:w="2600"/>
            <w:shd w:fill="F2F2F2" w:val="clear"/>
          </w:tcPr>
          <w:p>
            <w:r>
              <w:rPr>
                <w:sz w:val="19"/>
                <w:szCs w:val="19"/>
              </w:rPr>
              <w:t xml:space="preserve">1.68x</w:t>
            </w:r>
          </w:p>
        </w:tc>
      </w:tr>
    </w:tbl>
    <w:p/>
    <w:p>
      <w:pPr>
        <w:spacing w:after="120"/>
      </w:pPr>
      <w:r>
        <w:t xml:space="preserve">Within the test set, the top-scoring decile converts at 52.52% and the second at 21.87%, against 2.72% in the lowest decile and 11.3% overall. Calling only the top 20% of clients would reach 66% of subscribers with 80% fewer calls; the top 30% would reach 74%. These are in-period figures from a random split; the out-of-time result in Section 7.5 shows they would likely be lower for a future campaign. The cost per call and the value of a deposit are not in the dataset, so the optimal cut-off cannot be computed here; it is a simple calculation once the bank supplies those two numbers.</w:t>
      </w:r>
    </w:p>
    <w:p>
      <w:pPr>
        <w:pStyle w:val="Heading1"/>
        <w:spacing w:after="150" w:before="320"/>
      </w:pPr>
      <w:r>
        <w:t xml:space="preserve">9. Implications and Recommendations</w:t>
      </w:r>
    </w:p>
    <w:p>
      <w:pPr>
        <w:pStyle w:val="ListParagraph"/>
        <w:numPr>
          <w:ilvl w:val="0"/>
          <w:numId w:val="2"/>
        </w:numPr>
        <w:spacing w:after="60"/>
      </w:pPr>
      <w:r>
        <w:t xml:space="preserve">Build a priority list of previously successful clients: they convert at 65% and have about six times the adjusted odds.</w:t>
      </w:r>
    </w:p>
    <w:p>
      <w:pPr>
        <w:pStyle w:val="ListParagraph"/>
        <w:numPr>
          <w:ilvl w:val="0"/>
          <w:numId w:val="2"/>
        </w:numPr>
        <w:spacing w:after="60"/>
      </w:pPr>
      <w:r>
        <w:t xml:space="preserve">Shift outreach to cellular numbers; landline contact has about 45% lower adjusted odds and converts at 5%.</w:t>
      </w:r>
    </w:p>
    <w:p>
      <w:pPr>
        <w:pStyle w:val="ListParagraph"/>
        <w:numPr>
          <w:ilvl w:val="0"/>
          <w:numId w:val="2"/>
        </w:numPr>
        <w:spacing w:after="60"/>
      </w:pPr>
      <w:r>
        <w:t xml:space="preserve">Design segment-specific offers for students and retirees (conversion 31% and 25%) rather than a single script.</w:t>
      </w:r>
    </w:p>
    <w:p>
      <w:pPr>
        <w:pStyle w:val="ListParagraph"/>
        <w:numPr>
          <w:ilvl w:val="0"/>
          <w:numId w:val="2"/>
        </w:numPr>
        <w:spacing w:after="60"/>
      </w:pPr>
      <w:r>
        <w:t xml:space="preserve">Use the model as a ranking tool within an ongoing campaign, with a decile or score threshold chosen from the bank's own cost per call and value per deposit.</w:t>
      </w:r>
    </w:p>
    <w:p>
      <w:pPr>
        <w:pStyle w:val="ListParagraph"/>
        <w:numPr>
          <w:ilvl w:val="0"/>
          <w:numId w:val="2"/>
        </w:numPr>
        <w:spacing w:after="60"/>
      </w:pPr>
      <w:r>
        <w:t xml:space="preserve">Treat macro-economic features cautiously: they carry the largest predictive weight but also the largest risk of not transferring to a new period. Retrain per campaign wave and track the live positive rate and AUC.</w:t>
      </w:r>
    </w:p>
    <w:p>
      <w:pPr>
        <w:pStyle w:val="ListParagraph"/>
        <w:numPr>
          <w:ilvl w:val="0"/>
          <w:numId w:val="2"/>
        </w:numPr>
        <w:spacing w:after="60"/>
      </w:pPr>
      <w:r>
        <w:t xml:space="preserve">Do not interpret the logistic age coefficient as 'age does not matter'; the effect is U-shaped and concentrated at the youngest and oldest ages.</w:t>
      </w:r>
    </w:p>
    <w:p>
      <w:pPr>
        <w:pStyle w:val="Heading1"/>
        <w:spacing w:after="150" w:before="320"/>
      </w:pPr>
      <w:r>
        <w:t xml:space="preserve">10. Limitations</w:t>
      </w:r>
    </w:p>
    <w:p>
      <w:pPr>
        <w:pStyle w:val="ListParagraph"/>
        <w:numPr>
          <w:ilvl w:val="0"/>
          <w:numId w:val="2"/>
        </w:numPr>
        <w:spacing w:after="60"/>
      </w:pPr>
      <w:r>
        <w:t xml:space="preserve">Time shift: out-of-time AUC is 0.631 (forest) and 0.430 (logistic) versus 0.816 and 0.802 on a random split. Headline results are in-period only.</w:t>
      </w:r>
    </w:p>
    <w:p>
      <w:pPr>
        <w:pStyle w:val="ListParagraph"/>
        <w:numPr>
          <w:ilvl w:val="0"/>
          <w:numId w:val="2"/>
        </w:numPr>
        <w:spacing w:after="60"/>
      </w:pPr>
      <w:r>
        <w:t xml:space="preserve">Single bank, single country, 2008-2010 financial-crisis period; coefficients on macro variables may not generalise.</w:t>
      </w:r>
    </w:p>
    <w:p>
      <w:pPr>
        <w:pStyle w:val="ListParagraph"/>
        <w:numPr>
          <w:ilvl w:val="0"/>
          <w:numId w:val="2"/>
        </w:numPr>
        <w:spacing w:after="60"/>
      </w:pPr>
      <w:r>
        <w:t xml:space="preserve">Observational data: associations, not causal effects. For instance, contact channel may reflect which clients the bank chose to reach by mobile.</w:t>
      </w:r>
    </w:p>
    <w:p>
      <w:pPr>
        <w:pStyle w:val="ListParagraph"/>
        <w:numPr>
          <w:ilvl w:val="0"/>
          <w:numId w:val="2"/>
        </w:numPr>
        <w:spacing w:after="60"/>
      </w:pPr>
      <w:r>
        <w:t xml:space="preserve">Collinear macro variables: the reduced logistic model sacrifices fit (AIC +181) for interpretability, and the nr_employed coefficient is a regime proxy.</w:t>
      </w:r>
    </w:p>
    <w:p>
      <w:pPr>
        <w:pStyle w:val="ListParagraph"/>
        <w:numPr>
          <w:ilvl w:val="0"/>
          <w:numId w:val="2"/>
        </w:numPr>
        <w:spacing w:after="60"/>
      </w:pPr>
      <w:r>
        <w:t xml:space="preserve">Linear age term mis-specified; the logistic model was not re-fitted with a non-linear age term, which would be the natural next step.</w:t>
      </w:r>
    </w:p>
    <w:p>
      <w:pPr>
        <w:pStyle w:val="ListParagraph"/>
        <w:numPr>
          <w:ilvl w:val="0"/>
          <w:numId w:val="2"/>
        </w:numPr>
        <w:spacing w:after="60"/>
      </w:pPr>
      <w:r>
        <w:t xml:space="preserve">'unknown' categories kept as levels rather than modelled as missing data; sensitivity to this choice was not tested.</w:t>
      </w:r>
    </w:p>
    <w:p>
      <w:pPr>
        <w:pStyle w:val="ListParagraph"/>
        <w:numPr>
          <w:ilvl w:val="0"/>
          <w:numId w:val="2"/>
        </w:numPr>
        <w:spacing w:after="60"/>
      </w:pPr>
      <w:r>
        <w:t xml:space="preserve">Modest tuning budget (10 configurations per model, 3-fold) and differing CV schemes between the baseline (5-fold) and tuning (3-fold) stages; differences among the top models are within fold noise.</w:t>
      </w:r>
    </w:p>
    <w:p>
      <w:pPr>
        <w:pStyle w:val="ListParagraph"/>
        <w:numPr>
          <w:ilvl w:val="0"/>
          <w:numId w:val="2"/>
        </w:numPr>
        <w:spacing w:after="60"/>
      </w:pPr>
      <w:r>
        <w:t xml:space="preserve">Probabilities are not calibrated; use scores for ranking, not as literal probabilities.</w:t>
      </w:r>
    </w:p>
    <w:p>
      <w:pPr>
        <w:pStyle w:val="ListParagraph"/>
        <w:numPr>
          <w:ilvl w:val="0"/>
          <w:numId w:val="2"/>
        </w:numPr>
        <w:spacing w:after="60"/>
      </w:pPr>
      <w:r>
        <w:t xml:space="preserve">Costs and revenues are unknown, so the financial value of the campaign model is not quantified.</w:t>
      </w:r>
    </w:p>
    <w:p>
      <w:pPr>
        <w:pStyle w:val="Heading1"/>
        <w:spacing w:after="150" w:before="320"/>
      </w:pPr>
      <w:r>
        <w:t xml:space="preserve">11. Further Work</w:t>
      </w:r>
    </w:p>
    <w:p>
      <w:pPr>
        <w:pStyle w:val="ListParagraph"/>
        <w:numPr>
          <w:ilvl w:val="0"/>
          <w:numId w:val="2"/>
        </w:numPr>
        <w:spacing w:after="60"/>
      </w:pPr>
      <w:r>
        <w:t xml:space="preserve">Re-fit the logistic model with a spline or squared age term and compare via likelihood-ratio test.</w:t>
      </w:r>
    </w:p>
    <w:p>
      <w:pPr>
        <w:pStyle w:val="ListParagraph"/>
        <w:numPr>
          <w:ilvl w:val="0"/>
          <w:numId w:val="2"/>
        </w:numPr>
        <w:spacing w:after="60"/>
      </w:pPr>
      <w:r>
        <w:t xml:space="preserve">Replace the random split by rolling-origin (time-series) validation and tune against it.</w:t>
      </w:r>
    </w:p>
    <w:p>
      <w:pPr>
        <w:pStyle w:val="ListParagraph"/>
        <w:numPr>
          <w:ilvl w:val="0"/>
          <w:numId w:val="2"/>
        </w:numPr>
        <w:spacing w:after="60"/>
      </w:pPr>
      <w:r>
        <w:t xml:space="preserve">Drop or compress the macro variables (for example, first principal component) and measure the effect on out-of-time AUC.</w:t>
      </w:r>
    </w:p>
    <w:p>
      <w:pPr>
        <w:pStyle w:val="ListParagraph"/>
        <w:numPr>
          <w:ilvl w:val="0"/>
          <w:numId w:val="2"/>
        </w:numPr>
        <w:spacing w:after="60"/>
      </w:pPr>
      <w:r>
        <w:t xml:space="preserve">Calibrate probabilities (Platt scaling or isotonic regression) and choose the threshold by expected profit.</w:t>
      </w:r>
    </w:p>
    <w:p>
      <w:pPr>
        <w:pStyle w:val="ListParagraph"/>
        <w:numPr>
          <w:ilvl w:val="0"/>
          <w:numId w:val="2"/>
        </w:numPr>
        <w:spacing w:after="60"/>
      </w:pPr>
      <w:r>
        <w:t xml:space="preserve">Add SHAP explanations and test interaction effects such as job x previous outcome.</w:t>
      </w:r>
    </w:p>
    <w:p>
      <w:pPr>
        <w:pStyle w:val="ListParagraph"/>
        <w:numPr>
          <w:ilvl w:val="0"/>
          <w:numId w:val="2"/>
        </w:numPr>
        <w:spacing w:after="60"/>
      </w:pPr>
      <w:r>
        <w:t xml:space="preserve">Validate on a more recent BFSI marketing dataset.</w:t>
      </w:r>
    </w:p>
    <w:p>
      <w:pPr>
        <w:pStyle w:val="Heading1"/>
        <w:spacing w:after="150" w:before="320"/>
      </w:pPr>
      <w:r>
        <w:t xml:space="preserve">12. Conclusion</w:t>
      </w:r>
    </w:p>
    <w:p>
      <w:pPr>
        <w:spacing w:after="120"/>
      </w:pPr>
      <w:r>
        <w:t xml:space="preserve">This project took a real banking question through the full data science workflow. Cleaning removed duplicates, a separation-causing category and a leakage variable; EDA and hypothesis tests identified prior outcome, contact channel, job segment and economic context as the main drivers; logistic regression quantified them with confidence intervals, and a close look at collinearity and the age effect showed where simple summaries mislead. Four machine-learning algorithms were compared with cross-validation, the leading two were tuned, and a tuned Random Forest reached a test ROC-AUC of 0.816, enough to reach 66% of subscribers by calling the top fifth of clients on a random split. An out-of-time check showed that this performance does not carry over cleanly to later periods (AUC 0.631), which defines the key next step: time-aware validation and regular retraining before any deployment.</w:t>
      </w:r>
    </w:p>
    <w:p>
      <w:pPr>
        <w:pStyle w:val="Heading1"/>
        <w:spacing w:after="150" w:before="320"/>
      </w:pPr>
      <w:r>
        <w:t xml:space="preserve">Appendix A: Project Structure and Reproducibility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shd w:fill="2F5496" w:val="clear"/>
          </w:tcPr>
          <w:p>
            <w:r>
              <w:rPr>
                <w:b/>
                <w:bCs/>
                <w:color w:val="FFFFFF"/>
                <w:sz w:val="19"/>
                <w:szCs w:val="19"/>
              </w:rPr>
              <w:t xml:space="preserve">Path</w:t>
            </w:r>
          </w:p>
        </w:tc>
        <w:tc>
          <w:tcPr>
            <w:tcW w:type="dxa" w:w="5000"/>
            <w:shd w:fill="2F5496" w:val="clear"/>
          </w:tcPr>
          <w:p>
            <w:r>
              <w:rPr>
                <w:b/>
                <w:bCs/>
                <w:color w:val="FFFFFF"/>
                <w:sz w:val="19"/>
                <w:szCs w:val="19"/>
              </w:rPr>
              <w:t xml:space="preserve">Content</w:t>
            </w:r>
          </w:p>
        </w:tc>
      </w:tr>
      <w:tr>
        <w:tc>
          <w:tcPr>
            <w:tcW w:type="dxa" w:w="4400"/>
            <w:shd w:fill="F2F2F2" w:val="clear"/>
          </w:tcPr>
          <w:p>
            <w:r>
              <w:rPr>
                <w:sz w:val="19"/>
                <w:szCs w:val="19"/>
              </w:rPr>
              <w:t xml:space="preserve">README.md</w:t>
            </w:r>
          </w:p>
        </w:tc>
        <w:tc>
          <w:tcPr>
            <w:tcW w:type="dxa" w:w="5000"/>
            <w:shd w:fill="F2F2F2" w:val="clear"/>
          </w:tcPr>
          <w:p>
            <w:r>
              <w:rPr>
                <w:sz w:val="19"/>
                <w:szCs w:val="19"/>
              </w:rPr>
              <w:t xml:space="preserve">Overview and how to reproduce</w:t>
            </w:r>
          </w:p>
        </w:tc>
      </w:tr>
      <w:tr>
        <w:tc>
          <w:tcPr>
            <w:tcW w:type="dxa" w:w="4400"/>
            <w:shd w:fill="FFFFFF" w:val="clear"/>
          </w:tcPr>
          <w:p>
            <w:r>
              <w:rPr>
                <w:sz w:val="19"/>
                <w:szCs w:val="19"/>
              </w:rPr>
              <w:t xml:space="preserve">requirements.txt</w:t>
            </w:r>
          </w:p>
        </w:tc>
        <w:tc>
          <w:tcPr>
            <w:tcW w:type="dxa" w:w="5000"/>
            <w:shd w:fill="FFFFFF" w:val="clear"/>
          </w:tcPr>
          <w:p>
            <w:r>
              <w:rPr>
                <w:sz w:val="19"/>
                <w:szCs w:val="19"/>
              </w:rPr>
              <w:t xml:space="preserve">Python package list</w:t>
            </w:r>
          </w:p>
        </w:tc>
      </w:tr>
      <w:tr>
        <w:tc>
          <w:tcPr>
            <w:tcW w:type="dxa" w:w="4400"/>
            <w:shd w:fill="F2F2F2" w:val="clear"/>
          </w:tcPr>
          <w:p>
            <w:r>
              <w:rPr>
                <w:sz w:val="19"/>
                <w:szCs w:val="19"/>
              </w:rPr>
              <w:t xml:space="preserve">data/bank_raw.csv</w:t>
            </w:r>
          </w:p>
        </w:tc>
        <w:tc>
          <w:tcPr>
            <w:tcW w:type="dxa" w:w="5000"/>
            <w:shd w:fill="F2F2F2" w:val="clear"/>
          </w:tcPr>
          <w:p>
            <w:r>
              <w:rPr>
                <w:sz w:val="19"/>
                <w:szCs w:val="19"/>
              </w:rPr>
              <w:t xml:space="preserve">Original public dataset (semicolon-delimited)</w:t>
            </w:r>
          </w:p>
        </w:tc>
      </w:tr>
      <w:tr>
        <w:tc>
          <w:tcPr>
            <w:tcW w:type="dxa" w:w="4400"/>
            <w:shd w:fill="FFFFFF" w:val="clear"/>
          </w:tcPr>
          <w:p>
            <w:r>
              <w:rPr>
                <w:sz w:val="19"/>
                <w:szCs w:val="19"/>
              </w:rPr>
              <w:t xml:space="preserve">data/bank_clean_final.csv</w:t>
            </w:r>
          </w:p>
        </w:tc>
        <w:tc>
          <w:tcPr>
            <w:tcW w:type="dxa" w:w="5000"/>
            <w:shd w:fill="FFFFFF" w:val="clear"/>
          </w:tcPr>
          <w:p>
            <w:r>
              <w:rPr>
                <w:sz w:val="19"/>
                <w:szCs w:val="19"/>
              </w:rPr>
              <w:t xml:space="preserve">Final cleaned dataset used for analysis</w:t>
            </w:r>
          </w:p>
        </w:tc>
      </w:tr>
      <w:tr>
        <w:tc>
          <w:tcPr>
            <w:tcW w:type="dxa" w:w="4400"/>
            <w:shd w:fill="F2F2F2" w:val="clear"/>
          </w:tcPr>
          <w:p>
            <w:r>
              <w:rPr>
                <w:sz w:val="19"/>
                <w:szCs w:val="19"/>
              </w:rPr>
              <w:t xml:space="preserve">notebooks/Term_Deposit_End_to_End_Project.ipynb</w:t>
            </w:r>
          </w:p>
        </w:tc>
        <w:tc>
          <w:tcPr>
            <w:tcW w:type="dxa" w:w="5000"/>
            <w:shd w:fill="F2F2F2" w:val="clear"/>
          </w:tcPr>
          <w:p>
            <w:r>
              <w:rPr>
                <w:sz w:val="19"/>
                <w:szCs w:val="19"/>
              </w:rPr>
              <w:t xml:space="preserve">Complete executed notebook (cleaning, EDA, tests, logistic model, ML, lift, robustness)</w:t>
            </w:r>
          </w:p>
        </w:tc>
      </w:tr>
      <w:tr>
        <w:tc>
          <w:tcPr>
            <w:tcW w:type="dxa" w:w="4400"/>
            <w:shd w:fill="FFFFFF" w:val="clear"/>
          </w:tcPr>
          <w:p>
            <w:r>
              <w:rPr>
                <w:sz w:val="19"/>
                <w:szCs w:val="19"/>
              </w:rPr>
              <w:t xml:space="preserve">notebooks/term_deposit_project.py</w:t>
            </w:r>
          </w:p>
        </w:tc>
        <w:tc>
          <w:tcPr>
            <w:tcW w:type="dxa" w:w="5000"/>
            <w:shd w:fill="FFFFFF" w:val="clear"/>
          </w:tcPr>
          <w:p>
            <w:r>
              <w:rPr>
                <w:sz w:val="19"/>
                <w:szCs w:val="19"/>
              </w:rPr>
              <w:t xml:space="preserve">Same code as a script (jupytext percent format)</w:t>
            </w:r>
          </w:p>
        </w:tc>
      </w:tr>
      <w:tr>
        <w:tc>
          <w:tcPr>
            <w:tcW w:type="dxa" w:w="4400"/>
            <w:shd w:fill="F2F2F2" w:val="clear"/>
          </w:tcPr>
          <w:p>
            <w:r>
              <w:rPr>
                <w:sz w:val="19"/>
                <w:szCs w:val="19"/>
              </w:rPr>
              <w:t xml:space="preserve">figures/01 ... 09 *.png</w:t>
            </w:r>
          </w:p>
        </w:tc>
        <w:tc>
          <w:tcPr>
            <w:tcW w:type="dxa" w:w="5000"/>
            <w:shd w:fill="F2F2F2" w:val="clear"/>
          </w:tcPr>
          <w:p>
            <w:r>
              <w:rPr>
                <w:sz w:val="19"/>
                <w:szCs w:val="19"/>
              </w:rPr>
              <w:t xml:space="preserve">All nine report figures</w:t>
            </w:r>
          </w:p>
        </w:tc>
      </w:tr>
      <w:tr>
        <w:tc>
          <w:tcPr>
            <w:tcW w:type="dxa" w:w="4400"/>
            <w:shd w:fill="FFFFFF" w:val="clear"/>
          </w:tcPr>
          <w:p>
            <w:r>
              <w:rPr>
                <w:sz w:val="19"/>
                <w:szCs w:val="19"/>
              </w:rPr>
              <w:t xml:space="preserve">metrics.json</w:t>
            </w:r>
          </w:p>
        </w:tc>
        <w:tc>
          <w:tcPr>
            <w:tcW w:type="dxa" w:w="5000"/>
            <w:shd w:fill="FFFFFF" w:val="clear"/>
          </w:tcPr>
          <w:p>
            <w:r>
              <w:rPr>
                <w:sz w:val="19"/>
                <w:szCs w:val="19"/>
              </w:rPr>
              <w:t xml:space="preserve">Every number reported here, exported by the notebook</w:t>
            </w:r>
          </w:p>
        </w:tc>
      </w:tr>
      <w:tr>
        <w:tc>
          <w:tcPr>
            <w:tcW w:type="dxa" w:w="4400"/>
            <w:shd w:fill="F2F2F2" w:val="clear"/>
          </w:tcPr>
          <w:p>
            <w:r>
              <w:rPr>
                <w:sz w:val="19"/>
                <w:szCs w:val="19"/>
              </w:rPr>
              <w:t xml:space="preserve">reports/ (this document)</w:t>
            </w:r>
          </w:p>
        </w:tc>
        <w:tc>
          <w:tcPr>
            <w:tcW w:type="dxa" w:w="5000"/>
            <w:shd w:fill="F2F2F2" w:val="clear"/>
          </w:tcPr>
          <w:p>
            <w:r>
              <w:rPr>
                <w:sz w:val="19"/>
                <w:szCs w:val="19"/>
              </w:rPr>
              <w:t xml:space="preserve">Final report in Word format</w:t>
            </w:r>
          </w:p>
        </w:tc>
      </w:tr>
    </w:tbl>
    <w:p/>
    <w:p>
      <w:pPr>
        <w:spacing w:after="120"/>
      </w:pPr>
      <w:r>
        <w:t xml:space="preserve">To reproduce: install the requirements, place bank_raw.csv in data/, and run the notebook from top to bottom (about 4 minutes on one CPU core). A fixed random seed (42) is used for splits, cross-validation and model training, so results are repeatable.</w:t>
      </w:r>
    </w:p>
    <w:p>
      <w:pPr>
        <w:pStyle w:val="Heading1"/>
        <w:spacing w:after="150" w:before="320"/>
      </w:pPr>
      <w:r>
        <w:t xml:space="preserve">Appendix B: References</w:t>
      </w:r>
    </w:p>
    <w:p>
      <w:pPr>
        <w:pStyle w:val="ListParagraph"/>
        <w:numPr>
          <w:ilvl w:val="0"/>
          <w:numId w:val="2"/>
        </w:numPr>
        <w:spacing w:after="60"/>
      </w:pPr>
      <w:r>
        <w:t xml:space="preserve">Moro, S., Cortez, P., Rita, P. (2014). A data-driven approach to predict the success of bank telemarketing. Decision Support Systems, 62, 22-31.</w:t>
      </w:r>
    </w:p>
    <w:p>
      <w:pPr>
        <w:pStyle w:val="ListParagraph"/>
        <w:numPr>
          <w:ilvl w:val="0"/>
          <w:numId w:val="2"/>
        </w:numPr>
        <w:spacing w:after="60"/>
      </w:pPr>
      <w:r>
        <w:t xml:space="preserve">UCI Machine Learning Repository: Bank Marketing dataset.</w:t>
      </w:r>
    </w:p>
    <w:p>
      <w:pPr>
        <w:pStyle w:val="ListParagraph"/>
        <w:numPr>
          <w:ilvl w:val="0"/>
          <w:numId w:val="2"/>
        </w:numPr>
        <w:spacing w:after="60"/>
      </w:pPr>
      <w:r>
        <w:t xml:space="preserve">Pedregosa et al. (2011). Scikit-learn: Machine learning in Python. JMLR 12, 2825-2830.</w:t>
      </w:r>
    </w:p>
    <w:p>
      <w:pPr>
        <w:pStyle w:val="ListParagraph"/>
        <w:numPr>
          <w:ilvl w:val="0"/>
          <w:numId w:val="2"/>
        </w:numPr>
        <w:spacing w:after="60"/>
      </w:pPr>
      <w:r>
        <w:t xml:space="preserve">Seabold, S., Perktold, J. (2010). Statsmodels: Econometric and statistical modeling with Python.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Term-Deposit Subscription Project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ce5c2840c2cb29512cc8a1b35dec9c69785516.png"/><Relationship Id="rId9" Type="http://schemas.openxmlformats.org/officeDocument/2006/relationships/image" Target="media/d213029c512bafb3bf7183f2b90df23fd904a408.png"/><Relationship Id="rId10" Type="http://schemas.openxmlformats.org/officeDocument/2006/relationships/image" Target="media/e8e5e00afad0d18c5b34066c13282823a6903ff0.png"/><Relationship Id="rId11" Type="http://schemas.openxmlformats.org/officeDocument/2006/relationships/image" Target="media/b7cbecc2f86fc82284222b9d51f0b3f135a285aa.png"/><Relationship Id="rId12" Type="http://schemas.openxmlformats.org/officeDocument/2006/relationships/image" Target="media/b24d1f3d95872d057b8fb10d349b5f4e012a2ed3.png"/><Relationship Id="rId13" Type="http://schemas.openxmlformats.org/officeDocument/2006/relationships/image" Target="media/e1931ef2bbba7cca253a00f6c5df0b0373ab0add.png"/><Relationship Id="rId14" Type="http://schemas.openxmlformats.org/officeDocument/2006/relationships/image" Target="media/115059f53e69c58eca850f1dde39e14ea63dff53.png"/><Relationship Id="rId15" Type="http://schemas.openxmlformats.org/officeDocument/2006/relationships/image" Target="media/cad6840d989e495d55b385535f79384243a39240.png"/><Relationship Id="rId16" Type="http://schemas.openxmlformats.org/officeDocument/2006/relationships/image" Target="media/d7595ac55fd93b3f753c352f378ddeacce0bc98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2026-10-15T19:02:06.967Z</dcterms:created>
  <dcterms:modified xsi:type="dcterms:W3CDTF">2026-10-15T19:02:06.967Z</dcterms:modified>
</cp:coreProperties>
</file>

<file path=docProps/custom.xml><?xml version="1.0" encoding="utf-8"?>
<Properties xmlns="http://schemas.openxmlformats.org/officeDocument/2006/custom-properties" xmlns:vt="http://schemas.openxmlformats.org/officeDocument/2006/docPropsVTypes"/>
</file>