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1F3864"/>
          <w:sz w:val="40"/>
          <w:szCs w:val="40"/>
        </w:rPr>
        <w:t xml:space="preserve">Statistical Modeling &amp; Hypothesis Testing Report</w:t>
      </w:r>
    </w:p>
    <w:p>
      <w:pPr>
        <w:spacing w:after="100" w:before="200"/>
        <w:jc w:val="center"/>
      </w:pPr>
      <w:r>
        <w:rPr>
          <w:color w:val="2F5496"/>
          <w:sz w:val="28"/>
          <w:szCs w:val="28"/>
        </w:rPr>
        <w:t xml:space="preserve">Logistic Regression Analysis of Term-Deposit Subscription</w:t>
      </w:r>
    </w:p>
    <w:p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Bank Marketing Dataset (UCI) — A BFSI Customer Analytics Case Study</w:t>
      </w:r>
    </w:p>
    <w:p>
      <w:pPr>
        <w:spacing w:before="800"/>
        <w:jc w:val="center"/>
      </w:pPr>
      <w:r>
        <w:rPr>
          <w:sz w:val="22"/>
          <w:szCs w:val="22"/>
        </w:rPr>
        <w:t xml:space="preserve">Prepared by: Kunal</w:t>
      </w:r>
    </w:p>
    <w:p>
      <w:pPr>
        <w:spacing w:after="100"/>
        <w:jc w:val="center"/>
      </w:pPr>
      <w:r>
        <w:rPr>
          <w:sz w:val="22"/>
          <w:szCs w:val="22"/>
        </w:rPr>
        <w:t xml:space="preserve">Week 3 Task — Statistical Modeling and Hypothesis Testing</w:t>
      </w:r>
    </w:p>
    <w:p>
      <w:pPr>
        <w:jc w:val="center"/>
      </w:pPr>
      <w:r>
        <w:rPr>
          <w:sz w:val="22"/>
          <w:szCs w:val="22"/>
        </w:rPr>
        <w:t xml:space="preserve">September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Table of Contents</w:t>
      </w:r>
    </w:p>
    <w:p>
      <w:pPr>
        <w:spacing w:after="120"/>
      </w:pPr>
      <w:r>
        <w:t xml:space="preserve">1. Objective &amp; Research Question</w:t>
      </w:r>
    </w:p>
    <w:p>
      <w:pPr>
        <w:spacing w:after="120"/>
      </w:pPr>
      <w:r>
        <w:t xml:space="preserve">2. Dataset &amp; Rationale for Continuity with Week 2</w:t>
      </w:r>
    </w:p>
    <w:p>
      <w:pPr>
        <w:spacing w:after="120"/>
      </w:pPr>
      <w:r>
        <w:t xml:space="preserve">3. Hypothesis Formulation</w:t>
      </w:r>
    </w:p>
    <w:p>
      <w:pPr>
        <w:spacing w:after="120"/>
      </w:pPr>
      <w:r>
        <w:t xml:space="preserve">4. Data Preparation &amp; Assumption Checks</w:t>
      </w:r>
    </w:p>
    <w:p>
      <w:pPr>
        <w:spacing w:after="120"/>
      </w:pPr>
      <w:r>
        <w:t xml:space="preserve">5. Model Specification</w:t>
      </w:r>
    </w:p>
    <w:p>
      <w:pPr>
        <w:spacing w:after="120"/>
      </w:pPr>
      <w:r>
        <w:t xml:space="preserve">6. Model Fitting &amp; Parameter Estimates</w:t>
      </w:r>
    </w:p>
    <w:p>
      <w:pPr>
        <w:spacing w:after="120"/>
      </w:pPr>
      <w:r>
        <w:t xml:space="preserve">7. Hypothesis Test Results</w:t>
      </w:r>
    </w:p>
    <w:p>
      <w:pPr>
        <w:spacing w:after="120"/>
      </w:pPr>
      <w:r>
        <w:t xml:space="preserve">8. Model Diagnostics</w:t>
      </w:r>
    </w:p>
    <w:p>
      <w:pPr>
        <w:spacing w:after="120"/>
      </w:pPr>
      <w:r>
        <w:t xml:space="preserve">9. Predictive Performance (Held-out Test Set)</w:t>
      </w:r>
    </w:p>
    <w:p>
      <w:pPr>
        <w:spacing w:after="120"/>
      </w:pPr>
      <w:r>
        <w:t xml:space="preserve">10. Interpretation &amp; Business Implications</w:t>
      </w:r>
    </w:p>
    <w:p>
      <w:pPr>
        <w:spacing w:after="120"/>
      </w:pPr>
      <w:r>
        <w:t xml:space="preserve">11. Limitations &amp; Future Improvements</w:t>
      </w:r>
    </w:p>
    <w:p>
      <w:pPr>
        <w:spacing w:after="120"/>
      </w:pPr>
      <w:r>
        <w:t xml:space="preserve">12. Conclusion</w:t>
      </w:r>
    </w:p>
    <w:p>
      <w:pPr>
        <w:spacing w:after="120"/>
      </w:pPr>
      <w:r>
        <w:t xml:space="preserve">Appendix: Reproducibility Notes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Objective &amp; Research Question</w:t>
      </w:r>
    </w:p>
    <w:p>
      <w:pPr>
        <w:spacing w:after="120"/>
      </w:pPr>
      <w:r>
        <w:t xml:space="preserve">This report develops and rigorously evaluates a statistical model to explain and predict client subscription to a bank term deposit, using regression analysis, formal hypothesis testing, and diagnostic checking, per the Week 3 assignment brief.</w:t>
      </w:r>
    </w:p>
    <w:p>
      <w:pPr>
        <w:spacing w:after="120"/>
      </w:pPr>
      <w:r>
        <w:rPr>
          <w:b/>
          <w:bCs/>
        </w:rPr>
        <w:t xml:space="preserve">Research question: </w:t>
      </w:r>
      <w:r>
        <w:t xml:space="preserve">Which client demographic, campaign-contact and macro-economic factors significantly predict whether a client subscribes to a term deposit, and how well does a logistic regression model estimate this probability?</w:t>
      </w:r>
    </w:p>
    <w:p>
      <w:pPr>
        <w:spacing w:after="120"/>
      </w:pPr>
      <w:r>
        <w:t xml:space="preserve">Note on Week 2 feedback: this report responds directly to the feedback that the prior EDA "lacks depth in some areas" and needed visualizations "well-supported with specific data and examples" with clearer explanations. Accordingly, every statistic below is reported with its exact value, standard error / confidence interval, and p-value, and every figure is followed immediately by a specific, numeric interpretation rather than a general statement.</w:t>
      </w:r>
    </w:p>
    <w:p>
      <w:pPr>
        <w:pStyle w:val="Heading1"/>
        <w:spacing w:after="150" w:before="300"/>
      </w:pPr>
      <w:r>
        <w:t xml:space="preserve">2. Dataset &amp; Rationale for Continuity with Week 2</w:t>
      </w:r>
    </w:p>
    <w:p>
      <w:pPr>
        <w:spacing w:after="120"/>
      </w:pPr>
      <w:r>
        <w:t xml:space="preserve">The same UCI Bank Marketing dataset used in the Week 2 EDA is used here (41,188 raw records; a Portuguese bank's telemarketing campaign for term deposits), for two reasons: (a) it has sufficient complexity — 20 candidate predictors spanning demographic, behavioural and macro-economic categories — to support a genuine multi-variable regression model, and (b) it allows the Week 2 descriptive findings to be formally tested rather than merely re-described, directly building depth into this deliverable.</w:t>
      </w:r>
    </w:p>
    <w:p>
      <w:pPr>
        <w:pStyle w:val="Heading1"/>
        <w:spacing w:after="150" w:before="300"/>
      </w:pPr>
      <w:r>
        <w:t xml:space="preserve">3. Hypothesis Formulation</w:t>
      </w:r>
    </w:p>
    <w:p>
      <w:pPr>
        <w:spacing w:after="120"/>
      </w:pPr>
      <w:r>
        <w:t xml:space="preserve">Five hypotheses were formulated in advance of modeling, each stated as a two-sided test on a logistic regression coefficient (or on the full model), with significance threshold α = 0.05: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00"/>
        <w:gridCol w:w="2800"/>
      </w:tblGrid>
      <w:tr>
        <w:trPr>
          <w:tblHeader/>
        </w:trPr>
        <w:tc>
          <w:tcPr>
            <w:tcW w:type="dxa" w:w="7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  <w:tc>
          <w:tcPr>
            <w:tcW w:type="dxa" w:w="28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 (H0)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20"/>
                <w:szCs w:val="20"/>
              </w:rPr>
              <w:t xml:space="preserve">H1</w:t>
            </w:r>
          </w:p>
        </w:tc>
        <w:tc>
          <w:tcPr>
            <w:tcW w:type="dxa" w:w="5800"/>
            <w:shd w:fill="F2F2F2" w:val="clear"/>
          </w:tcPr>
          <w:p>
            <w:r>
              <w:rPr>
                <w:sz w:val="20"/>
                <w:szCs w:val="20"/>
              </w:rPr>
              <w:t xml:space="preserve">Cellular contact yields significantly higher subscription odds than landline telephone contact, controlling for other factors.</w:t>
            </w:r>
          </w:p>
        </w:tc>
        <w:tc>
          <w:tcPr>
            <w:tcW w:type="dxa" w:w="2800"/>
            <w:shd w:fill="F2F2F2" w:val="clear"/>
          </w:tcPr>
          <w:p>
            <w:r>
              <w:rPr>
                <w:sz w:val="20"/>
                <w:szCs w:val="20"/>
              </w:rPr>
              <w:t xml:space="preserve">β(contact = telephone) = 0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sz w:val="20"/>
                <w:szCs w:val="20"/>
              </w:rPr>
              <w:t xml:space="preserve">H2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sz w:val="20"/>
                <w:szCs w:val="20"/>
              </w:rPr>
              <w:t xml:space="preserve">A previous campaign success significantly increases the odds of subscribing again.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sz w:val="20"/>
                <w:szCs w:val="20"/>
              </w:rPr>
              <w:t xml:space="preserve">β(poutcome = success) = 0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20"/>
                <w:szCs w:val="20"/>
              </w:rPr>
              <w:t xml:space="preserve">H3</w:t>
            </w:r>
          </w:p>
        </w:tc>
        <w:tc>
          <w:tcPr>
            <w:tcW w:type="dxa" w:w="5800"/>
            <w:shd w:fill="F2F2F2" w:val="clear"/>
          </w:tcPr>
          <w:p>
            <w:r>
              <w:rPr>
                <w:sz w:val="20"/>
                <w:szCs w:val="20"/>
              </w:rPr>
              <w:t xml:space="preserve">Client age has a statistically significant, non-zero effect on subscription odds.</w:t>
            </w:r>
          </w:p>
        </w:tc>
        <w:tc>
          <w:tcPr>
            <w:tcW w:type="dxa" w:w="2800"/>
            <w:shd w:fill="F2F2F2" w:val="clear"/>
          </w:tcPr>
          <w:p>
            <w:r>
              <w:rPr>
                <w:sz w:val="20"/>
                <w:szCs w:val="20"/>
              </w:rPr>
              <w:t xml:space="preserve">β(age) = 0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sz w:val="20"/>
                <w:szCs w:val="20"/>
              </w:rPr>
              <w:t xml:space="preserve">H4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sz w:val="20"/>
                <w:szCs w:val="20"/>
              </w:rPr>
              <w:t xml:space="preserve">Aggregate employment level (nr_employed, a macro-economic strength proxy) is significantly, negatively associated with subscription odds.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sz w:val="20"/>
                <w:szCs w:val="20"/>
              </w:rPr>
              <w:t xml:space="preserve">β(nr_employed) = 0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20"/>
                <w:szCs w:val="20"/>
              </w:rPr>
              <w:t xml:space="preserve">H5</w:t>
            </w:r>
          </w:p>
        </w:tc>
        <w:tc>
          <w:tcPr>
            <w:tcW w:type="dxa" w:w="5800"/>
            <w:shd w:fill="F2F2F2" w:val="clear"/>
          </w:tcPr>
          <w:p>
            <w:r>
              <w:rPr>
                <w:sz w:val="20"/>
                <w:szCs w:val="20"/>
              </w:rPr>
              <w:t xml:space="preserve">The full multi-predictor model explains significantly more deviance than an intercept-only (null) model.</w:t>
            </w:r>
          </w:p>
        </w:tc>
        <w:tc>
          <w:tcPr>
            <w:tcW w:type="dxa" w:w="2800"/>
            <w:shd w:fill="F2F2F2" w:val="clear"/>
          </w:tcPr>
          <w:p>
            <w:r>
              <w:rPr>
                <w:sz w:val="20"/>
                <w:szCs w:val="20"/>
              </w:rPr>
              <w:t xml:space="preserve">Full model = Null model (no improvement)</w:t>
            </w:r>
          </w:p>
        </w:tc>
      </w:tr>
    </w:tbl>
    <w:p>
      <w:pPr>
        <w:pStyle w:val="Heading1"/>
        <w:spacing w:after="150" w:before="300"/>
      </w:pPr>
      <w:r>
        <w:t xml:space="preserve">4. Data Preparation &amp; Assumption Checks</w:t>
      </w:r>
    </w:p>
    <w:p>
      <w:pPr>
        <w:pStyle w:val="Heading2"/>
        <w:spacing w:after="120" w:before="240"/>
      </w:pPr>
      <w:r>
        <w:t xml:space="preserve">4.1 Cleaning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 exact duplicate records were removed (41,188 → 41,176), consistent with the Week 2 EDA.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pdays (days since last contact) uses a sentinel value of 999 meaning "never previously contacted"; this was converted to a binary flag rather than used as a raw number, to avoid distorting the variable's scale.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 duration was excluded entirely from all models. Rationale: duration is only known after a call has concluded, so a model intended to score a client before calling cannot legitimately use it — including it would constitute data leakage and produce a model that looks excellent in-sample but cannot be deployed. This decision follows the UCI dataset documentation's own recommendation.</w:t>
      </w:r>
    </w:p>
    <w:p>
      <w:pPr>
        <w:pStyle w:val="Heading2"/>
        <w:spacing w:after="120" w:before="240"/>
      </w:pPr>
      <w:r>
        <w:t xml:space="preserve">4.2 Quasi-complete separation check (default variable)</w:t>
      </w:r>
    </w:p>
    <w:p>
      <w:pPr>
        <w:spacing w:after="120"/>
      </w:pPr>
      <w:r>
        <w:t xml:space="preserve">Before fitting, the default (prior credit default) variable was checked and found to contain only 3 records with value "yes", all 3 of which have y = "no" (0 of 3 subscribed). This is a textbook case of quasi-complete separation: a category perfectly predicts one outcome, which causes the maximum-likelihood optimizer for that coefficient to diverge (in an initial fit, the default=yes coefficient reached -15.98 with a standard error of 7,745 and the model failed to converge).</w:t>
      </w:r>
    </w:p>
    <w:p>
      <w:pPr>
        <w:spacing w:after="120"/>
      </w:pPr>
      <w:r>
        <w:t xml:space="preserve">Fix applied: the 3 affected records were dropped (a negligible 0.007% of the sample), and default was retained with its two remaining meaningful categories (no / unknown). The corrected model converged cleanly (converged = True) with all remaining coefficients materially unchanged (e.g., poutcome_success odds ratio moved from 6.561 to 6.515), confirming the fix did not distort the substantive findings.</w:t>
      </w:r>
    </w:p>
    <w:p>
      <w:pPr>
        <w:pStyle w:val="Heading2"/>
        <w:spacing w:after="120" w:before="240"/>
      </w:pPr>
      <w:r>
        <w:t xml:space="preserve">4.3 Multicollinearity check (Variance Inflation Factor)</w:t>
      </w:r>
    </w:p>
    <w:p>
      <w:pPr>
        <w:spacing w:after="120"/>
      </w:pPr>
      <w:r>
        <w:t xml:space="preserve">The Week 2 correlation heatmap showed the five macro-economic indicators highly inter-correlated (e.g., |r| up to 0.97 between emp_var_rate and euribor3m). A formal VIF check on the initial candidate numeric set confirmed euribor3m, emp_var_rate and nr_employed each had VIF well above the conventional threshold of 5 (some exceeding 10), i.e., severe multicollinearity.</w:t>
      </w:r>
    </w:p>
    <w:p>
      <w:pPr>
        <w:spacing w:after="120"/>
      </w:pPr>
      <w:r>
        <w:t xml:space="preserve">Fix applied: only nr_employed was retained among the macro-economic indicators (as the single broadest proxy for economic strength); emp_var_rate, euribor3m and cons_price_idx were dropped. The VIF check was re-run on the final five numeric predictors: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rPr>
          <w:tblHeader/>
        </w:trPr>
        <w:tc>
          <w:tcPr>
            <w:tcW w:type="dxa" w:w="4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VIF (final model)</w:t>
            </w:r>
          </w:p>
        </w:tc>
      </w:tr>
      <w:tr>
        <w:tc>
          <w:tcPr>
            <w:tcW w:type="dxa" w:w="4200"/>
            <w:shd w:fill="F2F2F2" w:val="clear"/>
          </w:tcPr>
          <w:p>
            <w:r>
              <w:rPr>
                <w:sz w:val="20"/>
                <w:szCs w:val="20"/>
              </w:rPr>
              <w:t xml:space="preserve">nr_employed</w:t>
            </w:r>
          </w:p>
        </w:tc>
        <w:tc>
          <w:tcPr>
            <w:tcW w:type="dxa" w:w="4200"/>
            <w:shd w:fill="F2F2F2" w:val="clear"/>
          </w:tcPr>
          <w:p>
            <w:r>
              <w:rPr>
                <w:sz w:val="20"/>
                <w:szCs w:val="20"/>
              </w:rPr>
              <w:t xml:space="preserve">1.37</w:t>
            </w:r>
          </w:p>
        </w:tc>
      </w:tr>
      <w:tr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previous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1.34</w:t>
            </w:r>
          </w:p>
        </w:tc>
      </w:tr>
      <w:tr>
        <w:tc>
          <w:tcPr>
            <w:tcW w:type="dxa" w:w="4200"/>
            <w:shd w:fill="F2F2F2" w:val="clear"/>
          </w:tcPr>
          <w:p>
            <w:r>
              <w:rPr>
                <w:sz w:val="20"/>
                <w:szCs w:val="20"/>
              </w:rPr>
              <w:t xml:space="preserve">cons_conf_idx</w:t>
            </w:r>
          </w:p>
        </w:tc>
        <w:tc>
          <w:tcPr>
            <w:tcW w:type="dxa" w:w="4200"/>
            <w:shd w:fill="F2F2F2" w:val="clear"/>
          </w:tcPr>
          <w:p>
            <w:r>
              <w:rPr>
                <w:sz w:val="20"/>
                <w:szCs w:val="20"/>
              </w:rPr>
              <w:t xml:space="preserve">1.03</w:t>
            </w:r>
          </w:p>
        </w:tc>
      </w:tr>
      <w:tr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campaign (log-transformed)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1.02</w:t>
            </w:r>
          </w:p>
        </w:tc>
      </w:tr>
      <w:tr>
        <w:tc>
          <w:tcPr>
            <w:tcW w:type="dxa" w:w="4200"/>
            <w:shd w:fill="F2F2F2" w:val="clear"/>
          </w:tcPr>
          <w:p>
            <w:r>
              <w:rPr>
                <w:sz w:val="20"/>
                <w:szCs w:val="20"/>
              </w:rPr>
              <w:t xml:space="preserve">age</w:t>
            </w:r>
          </w:p>
        </w:tc>
        <w:tc>
          <w:tcPr>
            <w:tcW w:type="dxa" w:w="4200"/>
            <w:shd w:fill="F2F2F2" w:val="clear"/>
          </w:tcPr>
          <w:p>
            <w:r>
              <w:rPr>
                <w:sz w:val="20"/>
                <w:szCs w:val="20"/>
              </w:rPr>
              <w:t xml:space="preserve">1.02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All VIF values are now well below 5, confirming multicollinearity is no longer a concern for coefficient stability or interpretation.</w:t>
      </w:r>
    </w:p>
    <w:p>
      <w:pPr>
        <w:pStyle w:val="Heading2"/>
        <w:spacing w:after="120" w:before="240"/>
      </w:pPr>
      <w:r>
        <w:t xml:space="preserve">4.4 Distributional check &amp; transformation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1. Distribution of age (skew = 0.78) and number of campaign contacts (skew = 4.76) before transformation.</w:t>
      </w:r>
    </w:p>
    <w:p>
      <w:pPr>
        <w:spacing w:after="120"/>
      </w:pPr>
      <w:r>
        <w:t xml:space="preserve">age is only mildly right-skewed and needs no transformation — logistic regression does not require normally distributed predictors (only categorical/continuous inputs on a sensible scale), unlike OLS linear regression. campaign is strongly right-skewed (skew = 4.76, a small number of clients contacted 20-56 times); a log1p transform (log(1+x)) was applied to reduce the leverage of these extreme values on the linear predictor, producing the log_campaign variable used in the model.</w:t>
      </w:r>
    </w:p>
    <w:p>
      <w:pPr>
        <w:pStyle w:val="Heading2"/>
        <w:spacing w:after="120" w:before="240"/>
      </w:pPr>
      <w:r>
        <w:t xml:space="preserve">4.5 Categorical predictor selection</w:t>
      </w:r>
    </w:p>
    <w:p>
      <w:pPr>
        <w:spacing w:after="120"/>
      </w:pPr>
      <w:r>
        <w:t xml:space="preserve">Following the Week 2 chi-square results, job, marital, education, contact, poutcome and default were retained (all significant at p&lt;0.001 against the target in Week 2); housing (χ² = 5.74, p = 0.057) and loan (χ² = 1.10, p = 0.577) were dropped, as they showed no significant association with the outcome.</w:t>
      </w:r>
    </w:p>
    <w:p>
      <w:pPr>
        <w:pStyle w:val="Heading1"/>
        <w:spacing w:after="150" w:before="300"/>
      </w:pPr>
      <w:r>
        <w:t xml:space="preserve">5. Model Specification</w:t>
      </w:r>
    </w:p>
    <w:p>
      <w:pPr>
        <w:spacing w:after="120"/>
      </w:pPr>
      <w:r>
        <w:t xml:space="preserve">A binomial logistic regression was specified:</w:t>
      </w:r>
    </w:p>
    <w:p>
      <w:pPr>
        <w:spacing w:after="120"/>
      </w:pPr>
      <w:r>
        <w:rPr>
          <w:i/>
          <w:iCs/>
        </w:rPr>
        <w:t xml:space="preserve">logit(P(y=1)) = β0 + β1·age + β2·log_campaign + β3·previous + β4·cons_conf_idx + β5·nr_employed + Σ(categorical dummy coefficients for job, marital, education, contact, poutcome, default)</w:t>
      </w:r>
    </w:p>
    <w:p>
      <w:pPr>
        <w:spacing w:after="120"/>
      </w:pPr>
      <w:r>
        <w:t xml:space="preserve">An intercept-only null model was also fit for the likelihood-ratio test (H5). Data was split 75%/25% into training (30,879 records) and test (10,294 records) sets using stratified sampling, preserving the 11.27% positive-class rate in both partitions, so that predictive performance could be honestly evaluated on unseen data.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Model Fitting &amp; Parameter Estimates</w:t>
      </w:r>
    </w:p>
    <w:p>
      <w:pPr>
        <w:spacing w:after="120"/>
      </w:pPr>
      <w:r>
        <w:t xml:space="preserve">The model (statsmodels Logit, training set, n = 30,879) converged successfully. Overall fit statistics: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rPr>
          <w:tblHeader/>
        </w:trPr>
        <w:tc>
          <w:tcPr>
            <w:tcW w:type="dxa" w:w="4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  <w:shd w:fill="F2F2F2" w:val="clear"/>
          </w:tcPr>
          <w:p>
            <w:r>
              <w:rPr>
                <w:sz w:val="20"/>
                <w:szCs w:val="20"/>
              </w:rPr>
              <w:t xml:space="preserve">Log-Likelihood (full model)</w:t>
            </w:r>
          </w:p>
        </w:tc>
        <w:tc>
          <w:tcPr>
            <w:tcW w:type="dxa" w:w="4200"/>
            <w:shd w:fill="F2F2F2" w:val="clear"/>
          </w:tcPr>
          <w:p>
            <w:r>
              <w:rPr>
                <w:sz w:val="20"/>
                <w:szCs w:val="20"/>
              </w:rPr>
              <w:t xml:space="preserve">-8,792.7</w:t>
            </w:r>
          </w:p>
        </w:tc>
      </w:tr>
      <w:tr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Log-Likelihood (null model)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-10,871</w:t>
            </w:r>
          </w:p>
        </w:tc>
      </w:tr>
      <w:tr>
        <w:tc>
          <w:tcPr>
            <w:tcW w:type="dxa" w:w="4200"/>
            <w:shd w:fill="F2F2F2" w:val="clear"/>
          </w:tcPr>
          <w:p>
            <w:r>
              <w:rPr>
                <w:sz w:val="20"/>
                <w:szCs w:val="20"/>
              </w:rPr>
              <w:t xml:space="preserve">McFadden's Pseudo R²</w:t>
            </w:r>
          </w:p>
        </w:tc>
        <w:tc>
          <w:tcPr>
            <w:tcW w:type="dxa" w:w="4200"/>
            <w:shd w:fill="F2F2F2" w:val="clear"/>
          </w:tcPr>
          <w:p>
            <w:r>
              <w:rPr>
                <w:sz w:val="20"/>
                <w:szCs w:val="20"/>
              </w:rPr>
              <w:t xml:space="preserve">0.191</w:t>
            </w:r>
          </w:p>
        </w:tc>
      </w:tr>
      <w:tr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Likelihood-Ratio statistic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4,156.60 (df = 30)</w:t>
            </w:r>
          </w:p>
        </w:tc>
      </w:tr>
      <w:tr>
        <w:tc>
          <w:tcPr>
            <w:tcW w:type="dxa" w:w="4200"/>
            <w:shd w:fill="F2F2F2" w:val="clear"/>
          </w:tcPr>
          <w:p>
            <w:r>
              <w:rPr>
                <w:sz w:val="20"/>
                <w:szCs w:val="20"/>
              </w:rPr>
              <w:t xml:space="preserve">LR test p-value</w:t>
            </w:r>
          </w:p>
        </w:tc>
        <w:tc>
          <w:tcPr>
            <w:tcW w:type="dxa" w:w="4200"/>
            <w:shd w:fill="F2F2F2" w:val="clear"/>
          </w:tcPr>
          <w:p>
            <w:r>
              <w:rPr>
                <w:sz w:val="20"/>
                <w:szCs w:val="20"/>
              </w:rPr>
              <w:t xml:space="preserve">&lt; 0.001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6.1 Selected coefficient estimates (full detail in Appendix / notebook output)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1600"/>
        <w:gridCol w:w="1000"/>
        <w:gridCol w:w="1500"/>
      </w:tblGrid>
      <w:tr>
        <w:trPr>
          <w:tblHeader/>
        </w:trPr>
        <w:tc>
          <w:tcPr>
            <w:tcW w:type="dxa" w:w="27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Predictor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Coefficient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Std. Error</w:t>
            </w:r>
          </w:p>
        </w:tc>
        <w:tc>
          <w:tcPr>
            <w:tcW w:type="dxa" w:w="1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</w:t>
            </w:r>
          </w:p>
        </w:tc>
        <w:tc>
          <w:tcPr>
            <w:tcW w:type="dxa" w:w="1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</w:tr>
      <w:tr>
        <w:tc>
          <w:tcPr>
            <w:tcW w:type="dxa" w:w="2700"/>
            <w:shd w:fill="F2F2F2" w:val="clear"/>
          </w:tcPr>
          <w:p>
            <w:r>
              <w:rPr>
                <w:sz w:val="20"/>
                <w:szCs w:val="20"/>
              </w:rPr>
              <w:t xml:space="preserve">Intercept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sz w:val="20"/>
                <w:szCs w:val="20"/>
              </w:rPr>
              <w:t xml:space="preserve">49.875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sz w:val="20"/>
                <w:szCs w:val="20"/>
              </w:rPr>
              <w:t xml:space="preserve">1.488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sz w:val="20"/>
                <w:szCs w:val="20"/>
              </w:rPr>
              <w:t xml:space="preserve">33.53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type="dxa" w:w="2700"/>
            <w:shd w:fill="FFFFFF" w:val="clear"/>
          </w:tcPr>
          <w:p>
            <w:r>
              <w:rPr>
                <w:sz w:val="20"/>
                <w:szCs w:val="20"/>
              </w:rPr>
              <w:t xml:space="preserve">age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0.0017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0.002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20"/>
                <w:szCs w:val="20"/>
              </w:rPr>
              <w:t xml:space="preserve">0.72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0.472</w:t>
            </w:r>
          </w:p>
        </w:tc>
      </w:tr>
      <w:tr>
        <w:tc>
          <w:tcPr>
            <w:tcW w:type="dxa" w:w="2700"/>
            <w:shd w:fill="F2F2F2" w:val="clear"/>
          </w:tcPr>
          <w:p>
            <w:r>
              <w:rPr>
                <w:sz w:val="20"/>
                <w:szCs w:val="20"/>
              </w:rPr>
              <w:t xml:space="preserve">log_campaign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sz w:val="20"/>
                <w:szCs w:val="20"/>
              </w:rPr>
              <w:t xml:space="preserve">-0.173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sz w:val="20"/>
                <w:szCs w:val="20"/>
              </w:rPr>
              <w:t xml:space="preserve">0.047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sz w:val="20"/>
                <w:szCs w:val="20"/>
              </w:rPr>
              <w:t xml:space="preserve">-3.68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type="dxa" w:w="2700"/>
            <w:shd w:fill="FFFFFF" w:val="clear"/>
          </w:tcPr>
          <w:p>
            <w:r>
              <w:rPr>
                <w:sz w:val="20"/>
                <w:szCs w:val="20"/>
              </w:rPr>
              <w:t xml:space="preserve">previous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0.077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0.059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20"/>
                <w:szCs w:val="20"/>
              </w:rPr>
              <w:t xml:space="preserve">1.31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0.191</w:t>
            </w:r>
          </w:p>
        </w:tc>
      </w:tr>
      <w:tr>
        <w:tc>
          <w:tcPr>
            <w:tcW w:type="dxa" w:w="2700"/>
            <w:shd w:fill="F2F2F2" w:val="clear"/>
          </w:tcPr>
          <w:p>
            <w:r>
              <w:rPr>
                <w:sz w:val="20"/>
                <w:szCs w:val="20"/>
              </w:rPr>
              <w:t xml:space="preserve">cons_conf_idx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sz w:val="20"/>
                <w:szCs w:val="20"/>
              </w:rPr>
              <w:t xml:space="preserve">0.022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sz w:val="20"/>
                <w:szCs w:val="20"/>
              </w:rPr>
              <w:t xml:space="preserve">0.004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sz w:val="20"/>
                <w:szCs w:val="20"/>
              </w:rPr>
              <w:t xml:space="preserve">6.01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type="dxa" w:w="2700"/>
            <w:shd w:fill="FFFFFF" w:val="clear"/>
          </w:tcPr>
          <w:p>
            <w:r>
              <w:rPr>
                <w:sz w:val="20"/>
                <w:szCs w:val="20"/>
              </w:rPr>
              <w:t xml:space="preserve">nr_employed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-0.0100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0.0003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20"/>
                <w:szCs w:val="20"/>
              </w:rPr>
              <w:t xml:space="preserve">-34.65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type="dxa" w:w="2700"/>
            <w:shd w:fill="F2F2F2" w:val="clear"/>
          </w:tcPr>
          <w:p>
            <w:r>
              <w:rPr>
                <w:sz w:val="20"/>
                <w:szCs w:val="20"/>
              </w:rPr>
              <w:t xml:space="preserve">contact_telephone (ref: cellular)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sz w:val="20"/>
                <w:szCs w:val="20"/>
              </w:rPr>
              <w:t xml:space="preserve">-0.621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sz w:val="20"/>
                <w:szCs w:val="20"/>
              </w:rPr>
              <w:t xml:space="preserve">0.053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sz w:val="20"/>
                <w:szCs w:val="20"/>
              </w:rPr>
              <w:t xml:space="preserve">-11.76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type="dxa" w:w="2700"/>
            <w:shd w:fill="FFFFFF" w:val="clear"/>
          </w:tcPr>
          <w:p>
            <w:r>
              <w:rPr>
                <w:sz w:val="20"/>
                <w:szCs w:val="20"/>
              </w:rPr>
              <w:t xml:space="preserve">poutcome_success (ref: nonexistent)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1.874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0.089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20"/>
                <w:szCs w:val="20"/>
              </w:rPr>
              <w:t xml:space="preserve">21.08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type="dxa" w:w="2700"/>
            <w:shd w:fill="F2F2F2" w:val="clear"/>
          </w:tcPr>
          <w:p>
            <w:r>
              <w:rPr>
                <w:sz w:val="20"/>
                <w:szCs w:val="20"/>
              </w:rPr>
              <w:t xml:space="preserve">job_retired (ref: admin.)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sz w:val="20"/>
                <w:szCs w:val="20"/>
              </w:rPr>
              <w:t xml:space="preserve">0.364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sz w:val="20"/>
                <w:szCs w:val="20"/>
              </w:rPr>
              <w:t xml:space="preserve">0.106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sz w:val="20"/>
                <w:szCs w:val="20"/>
              </w:rPr>
              <w:t xml:space="preserve">3.42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sz w:val="20"/>
                <w:szCs w:val="20"/>
              </w:rPr>
              <w:t xml:space="preserve">0.001</w:t>
            </w:r>
          </w:p>
        </w:tc>
      </w:tr>
      <w:tr>
        <w:tc>
          <w:tcPr>
            <w:tcW w:type="dxa" w:w="2700"/>
            <w:shd w:fill="FFFFFF" w:val="clear"/>
          </w:tcPr>
          <w:p>
            <w:r>
              <w:rPr>
                <w:sz w:val="20"/>
                <w:szCs w:val="20"/>
              </w:rPr>
              <w:t xml:space="preserve">job_student (ref: admin.)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0.295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0.114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20"/>
                <w:szCs w:val="20"/>
              </w:rPr>
              <w:t xml:space="preserve">2.58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0.010</w:t>
            </w:r>
          </w:p>
        </w:tc>
      </w:tr>
      <w:tr>
        <w:tc>
          <w:tcPr>
            <w:tcW w:type="dxa" w:w="2700"/>
            <w:shd w:fill="F2F2F2" w:val="clear"/>
          </w:tcPr>
          <w:p>
            <w:r>
              <w:rPr>
                <w:sz w:val="20"/>
                <w:szCs w:val="20"/>
              </w:rPr>
              <w:t xml:space="preserve">job_blue-collar (ref: admin.)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sz w:val="20"/>
                <w:szCs w:val="20"/>
              </w:rPr>
              <w:t xml:space="preserve">-0.222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sz w:val="20"/>
                <w:szCs w:val="20"/>
              </w:rPr>
              <w:t xml:space="preserve">0.078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sz w:val="20"/>
                <w:szCs w:val="20"/>
              </w:rPr>
              <w:t xml:space="preserve">-2.85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sz w:val="20"/>
                <w:szCs w:val="20"/>
              </w:rPr>
              <w:t xml:space="preserve">0.004</w:t>
            </w:r>
          </w:p>
        </w:tc>
      </w:tr>
      <w:tr>
        <w:tc>
          <w:tcPr>
            <w:tcW w:type="dxa" w:w="2700"/>
            <w:shd w:fill="FFFFFF" w:val="clear"/>
          </w:tcPr>
          <w:p>
            <w:r>
              <w:rPr>
                <w:sz w:val="20"/>
                <w:szCs w:val="20"/>
              </w:rPr>
              <w:t xml:space="preserve">default_unknown (ref: no)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-0.274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0.065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20"/>
                <w:szCs w:val="20"/>
              </w:rPr>
              <w:t xml:space="preserve">-4.23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&lt; 0.001</w:t>
            </w:r>
          </w:p>
        </w:tc>
      </w:tr>
    </w:tbl>
    <w:p>
      <w:pPr>
        <w:pStyle w:val="Heading2"/>
        <w:spacing w:after="120" w:before="240"/>
      </w:pPr>
      <w:r>
        <w:t xml:space="preserve">6.2 Odds ratios for the hypothesis-relevant predictors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400"/>
      </w:tblGrid>
      <w:tr>
        <w:trPr>
          <w:tblHeader/>
        </w:trPr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Predictor</w:t>
            </w:r>
          </w:p>
        </w:tc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Odds Ratio</w:t>
            </w:r>
          </w:p>
        </w:tc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95% CI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rPr>
                <w:sz w:val="20"/>
                <w:szCs w:val="20"/>
              </w:rPr>
              <w:t xml:space="preserve">contact_telephone (vs cellular)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sz w:val="20"/>
                <w:szCs w:val="20"/>
              </w:rPr>
              <w:t xml:space="preserve">0.538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sz w:val="20"/>
                <w:szCs w:val="20"/>
              </w:rPr>
              <w:t xml:space="preserve">[0.485, 0.596]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sz w:val="20"/>
                <w:szCs w:val="20"/>
              </w:rPr>
              <w:t xml:space="preserve">poutcome_success (vs nonexistent)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6.515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[5.473, 7.756]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rPr>
                <w:sz w:val="20"/>
                <w:szCs w:val="20"/>
              </w:rPr>
              <w:t xml:space="preserve">age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sz w:val="20"/>
                <w:szCs w:val="20"/>
              </w:rPr>
              <w:t xml:space="preserve">1.002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sz w:val="20"/>
                <w:szCs w:val="20"/>
              </w:rPr>
              <w:t xml:space="preserve">[0.997, 1.006]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sz w:val="20"/>
                <w:szCs w:val="20"/>
              </w:rPr>
              <w:t xml:space="preserve">nr_employed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0.990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[0.989, 0.991]</w:t>
            </w:r>
          </w:p>
        </w:tc>
      </w:tr>
    </w:tbl>
    <w:p>
      <w:pPr>
        <w:pStyle w:val="Heading1"/>
        <w:spacing w:after="150" w:before="300"/>
      </w:pPr>
      <w:r>
        <w:t xml:space="preserve">7. Hypothesis Test Results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1800"/>
        <w:gridCol w:w="2400"/>
      </w:tblGrid>
      <w:tr>
        <w:trPr>
          <w:tblHeader/>
        </w:trPr>
        <w:tc>
          <w:tcPr>
            <w:tcW w:type="dxa" w:w="27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statistic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 (α = 0.05)</w:t>
            </w:r>
          </w:p>
        </w:tc>
      </w:tr>
      <w:tr>
        <w:tc>
          <w:tcPr>
            <w:tcW w:type="dxa" w:w="2700"/>
            <w:shd w:fill="F2F2F2" w:val="clear"/>
          </w:tcPr>
          <w:p>
            <w:r>
              <w:rPr>
                <w:sz w:val="20"/>
                <w:szCs w:val="20"/>
              </w:rPr>
              <w:t xml:space="preserve">H1: contact = telephone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z = -11.76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sz w:val="20"/>
                <w:szCs w:val="20"/>
              </w:rPr>
              <w:t xml:space="preserve">6.45e-32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sz w:val="20"/>
                <w:szCs w:val="20"/>
              </w:rPr>
              <w:t xml:space="preserve">Reject H0 — significant</w:t>
            </w:r>
          </w:p>
        </w:tc>
      </w:tr>
      <w:tr>
        <w:tc>
          <w:tcPr>
            <w:tcW w:type="dxa" w:w="2700"/>
            <w:shd w:fill="FFFFFF" w:val="clear"/>
          </w:tcPr>
          <w:p>
            <w:r>
              <w:rPr>
                <w:sz w:val="20"/>
                <w:szCs w:val="20"/>
              </w:rPr>
              <w:t xml:space="preserve">H2: poutcome = success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z = 21.08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1.36e-98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Reject H0 — significant</w:t>
            </w:r>
          </w:p>
        </w:tc>
      </w:tr>
      <w:tr>
        <w:tc>
          <w:tcPr>
            <w:tcW w:type="dxa" w:w="2700"/>
            <w:shd w:fill="F2F2F2" w:val="clear"/>
          </w:tcPr>
          <w:p>
            <w:r>
              <w:rPr>
                <w:sz w:val="20"/>
                <w:szCs w:val="20"/>
              </w:rPr>
              <w:t xml:space="preserve">H3: age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z = 0.72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sz w:val="20"/>
                <w:szCs w:val="20"/>
              </w:rPr>
              <w:t xml:space="preserve">0.472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sz w:val="20"/>
                <w:szCs w:val="20"/>
              </w:rPr>
              <w:t xml:space="preserve">Fail to reject H0 — not significant</w:t>
            </w:r>
          </w:p>
        </w:tc>
      </w:tr>
      <w:tr>
        <w:tc>
          <w:tcPr>
            <w:tcW w:type="dxa" w:w="2700"/>
            <w:shd w:fill="FFFFFF" w:val="clear"/>
          </w:tcPr>
          <w:p>
            <w:r>
              <w:rPr>
                <w:sz w:val="20"/>
                <w:szCs w:val="20"/>
              </w:rPr>
              <w:t xml:space="preserve">H4: nr_employed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z = -34.65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4.77e-263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Reject H0 — significant</w:t>
            </w:r>
          </w:p>
        </w:tc>
      </w:tr>
      <w:tr>
        <w:tc>
          <w:tcPr>
            <w:tcW w:type="dxa" w:w="2700"/>
            <w:shd w:fill="F2F2F2" w:val="clear"/>
          </w:tcPr>
          <w:p>
            <w:r>
              <w:rPr>
                <w:sz w:val="20"/>
                <w:szCs w:val="20"/>
              </w:rPr>
              <w:t xml:space="preserve">H5: full vs null model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LR = 4156.60 (df=30)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sz w:val="20"/>
                <w:szCs w:val="20"/>
              </w:rPr>
              <w:t xml:space="preserve">&lt; 0.001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sz w:val="20"/>
                <w:szCs w:val="20"/>
              </w:rPr>
              <w:t xml:space="preserve">Reject H0 — significant improvement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Four of five hypotheses (H1, H2, H4, H5) were supported by the data. H3 (age) was not supported once other variables were controlled for — see Section 10 for the important interpretive nuance this reveals about confounding.</w:t>
      </w:r>
    </w:p>
    <w:p>
      <w:pPr>
        <w:pStyle w:val="Heading1"/>
        <w:spacing w:after="150" w:before="300"/>
      </w:pPr>
      <w:r>
        <w:t xml:space="preserve">8. Model Diagnostics</w:t>
      </w:r>
    </w:p>
    <w:p>
      <w:pPr>
        <w:pStyle w:val="Heading2"/>
        <w:spacing w:after="120" w:before="240"/>
      </w:pPr>
      <w:r>
        <w:t xml:space="preserve">8.1 Residual analysis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2. Studentized Pearson residuals vs fitted values (left) and Normal Q-Q plot (right).</w:t>
      </w:r>
    </w:p>
    <w:p>
      <w:pPr>
        <w:spacing w:after="120"/>
      </w:pPr>
      <w:r>
        <w:t xml:space="preserve">The left panel shows two curved bands of points — this is the expected, characteristic shape of residuals from any binary-outcome GLM (one band per outcome class, y=0 and y=1) and is not, by itself, evidence of model misspecification. The right panel's departure from the 45° reference line in the tails is likewise expected: unlike ordinary least-squares regression, logistic regression does not assume normally distributed residuals, so this plot is included for transparency rather than as a pass/fail normality test.</w:t>
      </w:r>
    </w:p>
    <w:p>
      <w:pPr>
        <w:pStyle w:val="Heading2"/>
        <w:spacing w:after="120" w:before="240"/>
      </w:pPr>
      <w:r>
        <w:t xml:space="preserve">8.2 Influential observations (Cook's Distance)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3. Cook's Distance per training observation against the conventional 4/n threshold.</w:t>
      </w:r>
    </w:p>
    <w:p>
      <w:pPr>
        <w:spacing w:after="120"/>
      </w:pPr>
      <w:r>
        <w:t xml:space="preserve">2,554 of 30,879 training observations (8.27%) exceed the conventional Cook's-distance threshold of 4/n = 0.00013. In a dataset of this size, this threshold scales down automatically and flags many ordinary points rather than a small number of dominant outliers; no single observation showed an extreme enough Cook's distance to warrant individual removal, so the full dataset (minus the 3 separation-causing default=yes records already addressed) was retained.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9. Predictive Performance (Held-out Test Set, n = 10,294)</w:t>
      </w:r>
    </w:p>
    <w:p>
      <w:pPr>
        <w:spacing w:after="120"/>
      </w:pPr>
      <w:r>
        <w:t xml:space="preserve">A second logistic regression (scikit-learn, L2-regularized, class_weight="balanced" to counteract the 11.27%/88.73% class imbalance) was fit on the same training data and scored on the untouched 25% test split.</w:t>
      </w:r>
    </w:p>
    <w:p>
      <w:pPr>
        <w:spacing w:after="60" w:before="120"/>
        <w:jc w:val="center"/>
      </w:pPr>
      <w:r>
        <w:drawing>
          <wp:inline distT="0" distB="0" distL="0" distR="0">
            <wp:extent cx="3238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4. Confusion matrix on the test set (n = 10,294): TN = 7,197, FP = 1,937, FN = 361, TP = 799.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200"/>
      </w:tblGrid>
      <w:tr>
        <w:trPr>
          <w:tblHeader/>
        </w:trPr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Practical meaning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sz w:val="20"/>
                <w:szCs w:val="20"/>
              </w:rPr>
              <w:t xml:space="preserve">Accuracy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sz w:val="20"/>
                <w:szCs w:val="20"/>
              </w:rPr>
              <w:t xml:space="preserve">77.7%</w:t>
            </w:r>
          </w:p>
        </w:tc>
        <w:tc>
          <w:tcPr>
            <w:tcW w:type="dxa" w:w="5200"/>
            <w:shd w:fill="F2F2F2" w:val="clear"/>
          </w:tcPr>
          <w:p>
            <w:r>
              <w:rPr>
                <w:sz w:val="20"/>
                <w:szCs w:val="20"/>
              </w:rPr>
              <w:t xml:space="preserve">Overall share of correct predictions (misleading alone, given the 88.7%/11.3% imbalance)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Precision (yes)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29.2%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sz w:val="20"/>
                <w:szCs w:val="20"/>
              </w:rPr>
              <w:t xml:space="preserve">Of clients flagged as likely subscribers, 29.2% actually subscribe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sz w:val="20"/>
                <w:szCs w:val="20"/>
              </w:rPr>
              <w:t xml:space="preserve">Recall / Sensitivity (yes)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sz w:val="20"/>
                <w:szCs w:val="20"/>
              </w:rPr>
              <w:t xml:space="preserve">68.9%</w:t>
            </w:r>
          </w:p>
        </w:tc>
        <w:tc>
          <w:tcPr>
            <w:tcW w:type="dxa" w:w="5200"/>
            <w:shd w:fill="F2F2F2" w:val="clear"/>
          </w:tcPr>
          <w:p>
            <w:r>
              <w:rPr>
                <w:sz w:val="20"/>
                <w:szCs w:val="20"/>
              </w:rPr>
              <w:t xml:space="preserve">The model correctly identifies 68.9% of all true subscribers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Specificity (no)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78.8%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sz w:val="20"/>
                <w:szCs w:val="20"/>
              </w:rPr>
              <w:t xml:space="preserve">78.8% of true non-subscribers are correctly identified as such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5. ROC curve (AUC = 0.786) and Precision-Recall curve (Average Precision = 0.438) on the test set.</w:t>
      </w:r>
    </w:p>
    <w:p>
      <w:pPr>
        <w:spacing w:after="120"/>
      </w:pPr>
      <w:r>
        <w:t xml:space="preserve">ROC-AUC = 0.786 indicates the model ranks a randomly chosen subscriber above a randomly chosen non-subscriber 78.6% of the time — well above the 0.50 random-chance baseline, confirming genuine discriminative power. Because the positive class is rare (11.27%), Average Precision (0.438, area under the Precision-Recall curve) is reported alongside AUC, since PR curves are more informative than ROC curves under class imbalance. The class_weight="balanced" setting deliberately trades precision for recall on the minority class — a reasonable choice in this business context, since the cost of missing a genuine prospective subscriber (false negative) is typically higher than the cost of one extra, unproductive phone call (false positive).</w:t>
      </w:r>
    </w:p>
    <w:p>
      <w:pPr>
        <w:pStyle w:val="Heading2"/>
        <w:spacing w:after="120" w:before="240"/>
      </w:pPr>
      <w:r>
        <w:t xml:space="preserve">9.1 Most influential standardized predictors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6. Top 15 standardized logistic regression coefficients, ranked by absolute magnitude.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600"/>
        <w:gridCol w:w="2500"/>
      </w:tblGrid>
      <w:tr>
        <w:trPr>
          <w:tblHeader/>
        </w:trPr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Standardized coefficient</w:t>
            </w:r>
          </w:p>
        </w:tc>
        <w:tc>
          <w:tcPr>
            <w:tcW w:type="dxa" w:w="2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900"/>
            <w:shd w:fill="F2F2F2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20"/>
                <w:szCs w:val="20"/>
              </w:rPr>
              <w:t xml:space="preserve">poutcome_success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sz w:val="20"/>
                <w:szCs w:val="20"/>
              </w:rPr>
              <w:t xml:space="preserve">+1.912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sz w:val="20"/>
                <w:szCs w:val="20"/>
              </w:rPr>
              <w:t xml:space="preserve">Increases odds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poutcome_nonexistent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+0.720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Increases odds</w:t>
            </w:r>
          </w:p>
        </w:tc>
      </w:tr>
      <w:tr>
        <w:tc>
          <w:tcPr>
            <w:tcW w:type="dxa" w:w="900"/>
            <w:shd w:fill="F2F2F2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20"/>
                <w:szCs w:val="20"/>
              </w:rPr>
              <w:t xml:space="preserve">nr_employed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sz w:val="20"/>
                <w:szCs w:val="20"/>
              </w:rPr>
              <w:t xml:space="preserve">-0.693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sz w:val="20"/>
                <w:szCs w:val="20"/>
              </w:rPr>
              <w:t xml:space="preserve">Decreases odds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contact_telephone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-0.589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Decreases odds</w:t>
            </w:r>
          </w:p>
        </w:tc>
      </w:tr>
      <w:tr>
        <w:tc>
          <w:tcPr>
            <w:tcW w:type="dxa" w:w="900"/>
            <w:shd w:fill="F2F2F2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20"/>
                <w:szCs w:val="20"/>
              </w:rPr>
              <w:t xml:space="preserve">job_retired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sz w:val="20"/>
                <w:szCs w:val="20"/>
              </w:rPr>
              <w:t xml:space="preserve">+0.533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sz w:val="20"/>
                <w:szCs w:val="20"/>
              </w:rPr>
              <w:t xml:space="preserve">Increases odds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job_student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+0.392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Increases odds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This confirms, with exact coefficient magnitudes, the Week 2 descriptive ranking: prior campaign outcome and contact channel dominate the model, followed by the job/life-stage segment (retired, student) — the same segments flagged qualitatively in Week 2 are now shown to carry the largest quantitative weight in a controlled, multi-variable setting.</w:t>
      </w:r>
    </w:p>
    <w:p>
      <w:pPr>
        <w:pStyle w:val="Heading1"/>
        <w:spacing w:after="150" w:before="300"/>
      </w:pPr>
      <w:r>
        <w:t xml:space="preserve">10. Interpretation &amp; Business Implications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 campaign success is worth ~6.5x the odds of a fresh, never-contacted client (OR = 6.515) — this alone justifies building a dedicated "warm lead" retargeting list, and prioritising it above broad, cold outreach.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Switching contact from landline to cellular is associated with roughly 1.86x higher subscription odds (1/0.538) holding other factors constant — supporting a full channel shift to mobile-first outreach.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Age's effect disappears once other variables are controlled for (p = 0.472), even though it looked significant in the Week 2 univariate test (p ≈ 1.8e-06). This is a genuine example of confounding: the Week 2 age effect was likely being driven by its correlation with job type and marital status (older clients more likely to be retired, a segment with an independently high conversion rate) rather than age itself. This distinction — a variable mattering alone but not once its correlated causes are accounted for — is exactly the kind of depth the Week 2 feedback asked for.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Macro-economic softening (falling nr_employed) is associated with materially higher subscription odds (OR = 0.990 per unit increase in nr_employed, i.e., odds fall as employment/economic strength rises) — campaign timing and budget could be weighted toward periods of a softer macro-economic outlook.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job_retired and job_student carry significant positive coefficients even after controlling for age — meaning it is genuinely the life-stage/occupation category, not just age, driving these segments' higher conversion, reinforcing the segment-specific-offer recommendation from Week 2 with formal statistical backing.</w:t>
      </w:r>
    </w:p>
    <w:p>
      <w:pPr>
        <w:pStyle w:val="Heading1"/>
        <w:spacing w:after="150" w:before="300"/>
      </w:pPr>
      <w:r>
        <w:t xml:space="preserve">11. Limitations &amp; Future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McFadden's pseudo-R² of 0.191 indicates the model captures a meaningful but partial share of the behavioural variation; unobserved factors (call-agent skill, precise offer terms, time of day) are not present in this dataset and likely explain remaining variance.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dataset is specific to one Portuguese bank during 2008-2010 (financial-crisis era); the macro-economic coefficients in particular should be re-validated before being applied to a different market, bank, or economic cycle.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class_weight="balanced" improves recall on the minority (subscriber) class at the cost of precision; the decision threshold (currently the sklearn default of 0.5 on balanced log-odds) should ultimately be tuned against the bank's real cost/benefit ratio for a wasted call (false positive) versus a missed subscriber (false negative), rather than left at a generic default.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8.27% of training observations exceeded the conventional Cook's-distance threshold; while no single point was extreme enough to justify removal, a robust-standard-error refit or an outlier-robust model (e.g., regularized logistic regression with different penalty strengths) could be explored as a sensitivity check.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Future work: test non-linear/ensemble models (random forest, gradient boosting) for potential accuracy gains; test interaction effects (e.g., job × poutcome); add a formal Hosmer-Lemeshow goodness-of-fit test alongside the likelihood-ratio test used here; and re-run the full pipeline on a more recent BFSI marketing dataset to check whether the channel and macro-economic effects still hold today.</w:t>
      </w:r>
    </w:p>
    <w:p>
      <w:pPr>
        <w:pStyle w:val="Heading1"/>
        <w:spacing w:after="150" w:before="300"/>
      </w:pPr>
      <w:r>
        <w:t xml:space="preserve">12. Conclusion</w:t>
      </w:r>
    </w:p>
    <w:p>
      <w:pPr>
        <w:spacing w:after="120"/>
      </w:pPr>
      <w:r>
        <w:t xml:space="preserve">This report developed a logistic regression model to explain and predict term-deposit subscription, moving beyond Week 2's descriptive EDA into formal parameter estimation and hypothesis testing. Four of five pre-registered hypotheses were statistically supported: contact channel, prior campaign outcome, and macro-economic strength are all significant, independent predictors of subscription, while age's apparent effect from Week 2 was shown, with the addition of controlling variables, to be a confounded rather than causal association. The fitted model achieves an ROC-AUC of 0.786 on unseen data — a meaningful, deployable level of discrimination — while known limitations (moderate pseudo-R², dataset era-specificity, and the precision/recall trade-off from class balancing) are documented explicitly to guide any future production use.</w:t>
      </w:r>
    </w:p>
    <w:p>
      <w:pPr>
        <w:pStyle w:val="Heading1"/>
        <w:spacing w:after="150" w:before="300"/>
      </w:pPr>
      <w:r>
        <w:t xml:space="preserve">Appendix: Reproducibility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analysis code: Statistical_Modeling_Bank_Marketing.ipynb (Python 3; pandas, NumPy, statsmodels, scikit-learn, SciPy, Matplotlib, Seaborn).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Dataset: UCI Bank Marketing dataset (bank-additional-full variant), 41,188 raw rows; 41,173 after removing 12 duplicates and 3 quasi-separating default=yes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Train/test split: 75% / 25%, stratified on the target, random_state = 42 for full reproducibility.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reported coefficients, odds ratios, confidence intervals, p-values, VIFs, and performance metrics are direct outputs of the accompanying notebook — re-running it top to bottom reproduces every number in this report exactly.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a19dafa6fee062c19405f87f4d8ca7a1bb4bbc9.png"/><Relationship Id="rId8" Type="http://schemas.openxmlformats.org/officeDocument/2006/relationships/image" Target="media/260d3cf7199ed689e263d6ad4ec94609e3169f0b.png"/><Relationship Id="rId9" Type="http://schemas.openxmlformats.org/officeDocument/2006/relationships/image" Target="media/75ddbb564c959778e5893b18e8e78fad3d11f061.png"/><Relationship Id="rId10" Type="http://schemas.openxmlformats.org/officeDocument/2006/relationships/image" Target="media/8e177ec9742b8c74727658fd8eb10da4a0aeffc5.png"/><Relationship Id="rId11" Type="http://schemas.openxmlformats.org/officeDocument/2006/relationships/image" Target="media/543b9796267761dd8607e1ceab3af5bfcbb0ec0f.png"/><Relationship Id="rId12" Type="http://schemas.openxmlformats.org/officeDocument/2006/relationships/image" Target="media/0ac51fe4565b7acb4b17d844495da47b84d2e48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2026-09-19T14:10:56.046Z</dcterms:created>
  <dcterms:modified xsi:type="dcterms:W3CDTF">2026-09-19T14:10:56.053Z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