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4"/>
          <w:szCs w:val="44"/>
        </w:rPr>
        <w:t xml:space="preserve">Exploratory Data Analysis Report</w:t>
      </w:r>
    </w:p>
    <w:p>
      <w:pPr>
        <w:spacing w:after="100" w:before="200"/>
        <w:jc w:val="center"/>
      </w:pPr>
      <w:r>
        <w:rPr>
          <w:color w:val="2F5496"/>
          <w:sz w:val="30"/>
          <w:szCs w:val="30"/>
        </w:rPr>
        <w:t xml:space="preserve">Bank Marketing Campaign Dataset (UCI Repository)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Predicting Term Deposit Subscription — A BFSI Customer Analytics Case Study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Kunal</w:t>
      </w:r>
    </w:p>
    <w:p>
      <w:pPr>
        <w:spacing w:after="100"/>
        <w:jc w:val="center"/>
      </w:pPr>
      <w:r>
        <w:rPr>
          <w:sz w:val="22"/>
          <w:szCs w:val="22"/>
        </w:rPr>
        <w:t xml:space="preserve">Week 2 Task — Exploratory Data Analysis (EDA)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20"/>
      </w:pPr>
      <w:r>
        <w:t xml:space="preserve">1. Introduction &amp; Objective</w:t>
      </w:r>
    </w:p>
    <w:p>
      <w:pPr>
        <w:spacing w:after="120"/>
      </w:pPr>
      <w:r>
        <w:t xml:space="preserve">2. Dataset Description</w:t>
      </w:r>
    </w:p>
    <w:p>
      <w:pPr>
        <w:spacing w:after="120"/>
      </w:pPr>
      <w:r>
        <w:t xml:space="preserve">3. Methodology</w:t>
      </w:r>
    </w:p>
    <w:p>
      <w:pPr>
        <w:spacing w:after="120"/>
      </w:pPr>
      <w:r>
        <w:t xml:space="preserve">4. Data Quality Assessment &amp; Cleaning</w:t>
      </w:r>
    </w:p>
    <w:p>
      <w:pPr>
        <w:spacing w:after="120"/>
      </w:pPr>
      <w:r>
        <w:t xml:space="preserve">5. Descriptive Statistics</w:t>
      </w:r>
    </w:p>
    <w:p>
      <w:pPr>
        <w:spacing w:after="120"/>
      </w:pPr>
      <w:r>
        <w:t xml:space="preserve">6. Univariate Analysis</w:t>
      </w:r>
    </w:p>
    <w:p>
      <w:pPr>
        <w:spacing w:after="120"/>
      </w:pPr>
      <w:r>
        <w:t xml:space="preserve">7. Bivariate Analysis</w:t>
      </w:r>
    </w:p>
    <w:p>
      <w:pPr>
        <w:spacing w:after="120"/>
      </w:pPr>
      <w:r>
        <w:t xml:space="preserve">8. Correlation Analysis</w:t>
      </w:r>
    </w:p>
    <w:p>
      <w:pPr>
        <w:spacing w:after="120"/>
      </w:pPr>
      <w:r>
        <w:t xml:space="preserve">9. Hypothesis Testing</w:t>
      </w:r>
    </w:p>
    <w:p>
      <w:pPr>
        <w:spacing w:after="120"/>
      </w:pPr>
      <w:r>
        <w:t xml:space="preserve">10. Key Insights &amp; Business Recommendations</w:t>
      </w:r>
    </w:p>
    <w:p>
      <w:pPr>
        <w:spacing w:after="120"/>
      </w:pPr>
      <w:r>
        <w:t xml:space="preserve">11. Assumptions &amp; Limitations</w:t>
      </w:r>
    </w:p>
    <w:p>
      <w:pPr>
        <w:spacing w:after="120"/>
      </w:pPr>
      <w:r>
        <w:t xml:space="preserve">12. Conclusion &amp; Next Steps</w:t>
      </w:r>
    </w:p>
    <w:p>
      <w:pPr>
        <w:spacing w:after="120"/>
      </w:pPr>
      <w:r>
        <w:t xml:space="preserve">Appendix: Reproducibility Notes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 &amp; Objective</w:t>
      </w:r>
    </w:p>
    <w:p>
      <w:pPr>
        <w:spacing w:after="120"/>
      </w:pPr>
      <w:r>
        <w:t xml:space="preserve">This report presents a comprehensive Exploratory Data Analysis (EDA) of a publicly available dataset, conducted as part of the Week 2 EDA task. The objective is to summarize the dataset statistically, visualize key patterns, test hypotheses about relationships between variables, and draw actionable, well-supported conclusions — laying groundwork for future predictive modelling.</w:t>
      </w:r>
    </w:p>
    <w:p>
      <w:pPr>
        <w:spacing w:after="120"/>
      </w:pPr>
      <w:r>
        <w:t xml:space="preserve">The dataset chosen is the UCI "Bank Marketing" dataset, which sits squarely in the Banking, Financial Services and Insurance (BFSI) domain and aligns directly with real-world data analyst / data scientist work: understanding which clients are likely to respond to a marketing campaign for a financial product.</w:t>
      </w:r>
    </w:p>
    <w:p>
      <w:pPr>
        <w:pStyle w:val="Heading1"/>
        <w:spacing w:after="150" w:before="300"/>
      </w:pPr>
      <w:r>
        <w:t xml:space="preserve">2. Dataset Description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sz w:val="20"/>
                <w:szCs w:val="20"/>
              </w:rPr>
              <w:t xml:space="preserve">Bank Marketing Dataset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6900"/>
            <w:shd w:fill="FFFFFF" w:val="clear"/>
          </w:tcPr>
          <w:p>
            <w:r>
              <w:rPr>
                <w:sz w:val="20"/>
                <w:szCs w:val="20"/>
              </w:rPr>
              <w:t xml:space="preserve">UCI Machine Learning Repository (Moro, Cortez &amp; Rita, 2014)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sz w:val="20"/>
                <w:szCs w:val="20"/>
              </w:rPr>
              <w:t xml:space="preserve">Banking / Financial Services (BFSI) — direct telemarketing of term deposits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Records</w:t>
            </w:r>
          </w:p>
        </w:tc>
        <w:tc>
          <w:tcPr>
            <w:tcW w:type="dxa" w:w="6900"/>
            <w:shd w:fill="FFFFFF" w:val="clear"/>
          </w:tcPr>
          <w:p>
            <w:r>
              <w:rPr>
                <w:sz w:val="20"/>
                <w:szCs w:val="20"/>
              </w:rPr>
              <w:t xml:space="preserve">41,188 client contact records (41,176 after duplicate removal)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sz w:val="20"/>
                <w:szCs w:val="20"/>
              </w:rPr>
              <w:t xml:space="preserve">20 input variables (client demographics, campaign details, macroeconomic indicators) + 1 binary target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900"/>
            <w:shd w:fill="FFFFFF" w:val="clear"/>
          </w:tcPr>
          <w:p>
            <w:r>
              <w:rPr>
                <w:sz w:val="20"/>
                <w:szCs w:val="20"/>
              </w:rPr>
              <w:t xml:space="preserve">y — whether the client subscribed to a term deposit ("yes"/"no")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6900"/>
            <w:shd w:fill="F2F2F2" w:val="clear"/>
          </w:tcPr>
          <w:p>
            <w:r>
              <w:rPr>
                <w:sz w:val="20"/>
                <w:szCs w:val="20"/>
              </w:rPr>
              <w:t xml:space="preserve">May 2008 – November 2010 (Portuguese retail bank, during the global financial crisis)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Feature groups: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demographics: age, job, marital status, education, default/housing/loan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Campaign contact details: contact type, month/day of contact, call duration, number of contacts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Previous campaign history: days since last contact (pdays), number of prior contacts (previous), outcome of previous campaign (poutcome)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Macro-economic context: employment variation rate, consumer price index, consumer confidence index, euribor 3-month rate, number of employees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spacing w:after="120"/>
      </w:pPr>
      <w:r>
        <w:t xml:space="preserve">The analysis followed a structured EDA workflow using Python (pandas, NumPy, Matplotlib, Seaborn, SciPy) inside a Jupyter Notebook: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loading, structural inspection (shape, dtypes) and quality checks (duplicates, missing/unknown values)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cleaning: duplicate removal, sentinel-value handling for pdays=999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Descriptive statistics: mean, median, standard deviation, skewness, kurtosis for numeric features; frequency distributions for categorical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Univariate visualisation: histograms and boxplots for numeric variables; bar charts for categorical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Bivariate visualisation: relationship of each feature with the target variable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analysis via heatmap for numeric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Statistical hypothesis testing: Welch's t-tests, Chi-square tests of independence, one-way ANOVA (alpha = 0.05)</w:t>
      </w:r>
    </w:p>
    <w:p>
      <w:pPr>
        <w:spacing w:after="120"/>
      </w:pPr>
      <w:r>
        <w:t xml:space="preserve">All code is provided in the accompanying Jupyter Notebook (EDA_Bank_Marketing.ipynb) for full reproducibility.</w:t>
      </w:r>
    </w:p>
    <w:p>
      <w:pPr>
        <w:pStyle w:val="Heading1"/>
        <w:spacing w:after="150" w:before="300"/>
      </w:pPr>
      <w:r>
        <w:t xml:space="preserve">4. Data Quality Assessment &amp; Cleaning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exact duplicate rows were identified and removed (41,188 → 41,176 records).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true NaN values exist in the raw file; however several categorical columns contain an explicit "unknown" category, which was retained (not imputed) since its presence may itself be informative (non-disclosure pattern): default (8,596 unknown, 20.9%), education (1,730), housing (990), loan (990), job (330), marital (80).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numeric column pdays uses a sentinel value of 999 to represent "client was not previously contacted." This was converted into a separate flag (was_previously_contacted) to avoid distorting descriptive statistics of pdays.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structural errors, inconsistent data types, or impossible values (e.g., negative ages) were found.</w:t>
      </w:r>
    </w:p>
    <w:p>
      <w:pPr>
        <w:pStyle w:val="Heading1"/>
        <w:spacing w:after="150" w:before="300"/>
      </w:pPr>
      <w:r>
        <w:t xml:space="preserve">5. Descriptive Statistics</w:t>
      </w:r>
    </w:p>
    <w:p>
      <w:pPr>
        <w:pStyle w:val="Heading2"/>
        <w:spacing w:after="120" w:before="240"/>
      </w:pPr>
      <w:r>
        <w:t xml:space="preserve">5.1 Numeric Features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000"/>
        <w:gridCol w:w="1300"/>
        <w:gridCol w:w="1300"/>
        <w:gridCol w:w="19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Skew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40.02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10.42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sz w:val="20"/>
                <w:szCs w:val="20"/>
              </w:rPr>
              <w:t xml:space="preserve">0.78 (right)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duration (sec)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258.32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259.31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4,918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sz w:val="20"/>
                <w:szCs w:val="20"/>
              </w:rPr>
              <w:t xml:space="preserve">3.26 (strong right)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campaign (contacts)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2.57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2.77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sz w:val="20"/>
                <w:szCs w:val="20"/>
              </w:rPr>
              <w:t xml:space="preserve">4.76 (strong right)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previous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0.49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sz w:val="20"/>
                <w:szCs w:val="20"/>
              </w:rPr>
              <w:t xml:space="preserve">3.83 (strong right)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emp_var_rate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1.57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-3.4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sz w:val="20"/>
                <w:szCs w:val="20"/>
              </w:rPr>
              <w:t xml:space="preserve">-0.72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cons_price_idx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93.58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0.58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20"/>
                <w:szCs w:val="20"/>
              </w:rPr>
              <w:t xml:space="preserve">92.2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93.75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94.77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sz w:val="20"/>
                <w:szCs w:val="20"/>
              </w:rPr>
              <w:t xml:space="preserve">-0.23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euribor3m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3.62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1.73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0.63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4.86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5.04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sz w:val="20"/>
                <w:szCs w:val="20"/>
              </w:rPr>
              <w:t xml:space="preserve">-0.71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Age is moderately right-skewed (working-age clients dominate, 30-50 years). Call duration, campaign contacts and previous contacts are all strongly right-skewed, indicating most interactions are short/few, with a long tail of exceptional cases (very long calls or heavily re-contacted clients).</w:t>
      </w:r>
    </w:p>
    <w:p>
      <w:pPr>
        <w:pStyle w:val="Heading2"/>
        <w:spacing w:after="120" w:before="240"/>
      </w:pPr>
      <w:r>
        <w:t xml:space="preserve">5.2 Categorical Features &amp; Target Balance</w:t>
      </w:r>
    </w:p>
    <w:p>
      <w:pPr>
        <w:spacing w:after="120"/>
      </w:pPr>
      <w:r>
        <w:t xml:space="preserve">Target class distribution: "no" = 88.73% (36,537 clients), "yes" = 11.27% (4,639 clients) — a strongly imbalanced target, an important consideration for any future classification model.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1. Target class distribution — term deposit subscription is a minority-class outcome (~11.3%).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categories (share of records)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7500"/>
            <w:shd w:fill="F2F2F2" w:val="clear"/>
          </w:tcPr>
          <w:p>
            <w:r>
              <w:rPr>
                <w:sz w:val="20"/>
                <w:szCs w:val="20"/>
              </w:rPr>
              <w:t xml:space="preserve">admin. (25.3%), blue-collar (22.5%), technician (16.4%), services (9.6%)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marital</w:t>
            </w:r>
          </w:p>
        </w:tc>
        <w:tc>
          <w:tcPr>
            <w:tcW w:type="dxa" w:w="7500"/>
            <w:shd w:fill="FFFFFF" w:val="clear"/>
          </w:tcPr>
          <w:p>
            <w:r>
              <w:rPr>
                <w:sz w:val="20"/>
                <w:szCs w:val="20"/>
              </w:rPr>
              <w:t xml:space="preserve">married (60.5%), single (28.1%), divorced (11.2%)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7500"/>
            <w:shd w:fill="F2F2F2" w:val="clear"/>
          </w:tcPr>
          <w:p>
            <w:r>
              <w:rPr>
                <w:sz w:val="20"/>
                <w:szCs w:val="20"/>
              </w:rPr>
              <w:t xml:space="preserve">university.degree (29.5%), high.school (23.1%), basic.9y (14.7%)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7500"/>
            <w:shd w:fill="FFFFFF" w:val="clear"/>
          </w:tcPr>
          <w:p>
            <w:r>
              <w:rPr>
                <w:sz w:val="20"/>
                <w:szCs w:val="20"/>
              </w:rPr>
              <w:t xml:space="preserve">cellular (63.5%), telephone (36.5%)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poutcome</w:t>
            </w:r>
          </w:p>
        </w:tc>
        <w:tc>
          <w:tcPr>
            <w:tcW w:type="dxa" w:w="7500"/>
            <w:shd w:fill="F2F2F2" w:val="clear"/>
          </w:tcPr>
          <w:p>
            <w:r>
              <w:rPr>
                <w:sz w:val="20"/>
                <w:szCs w:val="20"/>
              </w:rPr>
              <w:t xml:space="preserve">nonexistent (86.3%), failure (10.3%), success (3.3%)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Univariate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2. Distribution of key numeric variables: age, call duration, campaign contacts and previous contacts.</w:t>
      </w:r>
    </w:p>
    <w:p>
      <w:pPr>
        <w:spacing w:after="120"/>
      </w:pPr>
      <w:r>
        <w:t xml:space="preserve">All four distributions are right-skewed. Age clusters between 30-50 years. Call duration and campaign contacts show long tails — a small number of very long calls or highly-repeated contact attempts. Most clients (previous ≈ 0) had no prior campaign history.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3. Boxplots highlighting outliers in age, call duration and campaign contacts.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outliers (IQR rule)</w:t>
            </w:r>
          </w:p>
        </w:tc>
        <w:tc>
          <w:tcPr>
            <w:tcW w:type="dxa" w:w="4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IQR bounds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1.14%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sz w:val="20"/>
                <w:szCs w:val="20"/>
              </w:rPr>
              <w:t xml:space="preserve">[3.5, 75.5]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7.13%</w:t>
            </w:r>
          </w:p>
        </w:tc>
        <w:tc>
          <w:tcPr>
            <w:tcW w:type="dxa" w:w="4100"/>
            <w:shd w:fill="FFFFFF" w:val="clear"/>
          </w:tcPr>
          <w:p>
            <w:r>
              <w:rPr>
                <w:sz w:val="20"/>
                <w:szCs w:val="20"/>
              </w:rPr>
              <w:t xml:space="preserve">[-223.5, 644.5]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campaign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7.97%</w:t>
            </w:r>
          </w:p>
        </w:tc>
        <w:tc>
          <w:tcPr>
            <w:tcW w:type="dxa" w:w="4100"/>
            <w:shd w:fill="F2F2F2" w:val="clear"/>
          </w:tcPr>
          <w:p>
            <w:r>
              <w:rPr>
                <w:sz w:val="20"/>
                <w:szCs w:val="20"/>
              </w:rPr>
              <w:t xml:space="preserve">[-2.0, 6.0]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These outliers are retained as they reflect genuine business events (exceptionally long calls, heavily re-contacted clients) rather than data-entry errors, but should be log-transformed or capped before use in distance-based or linear models.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4. Distribution of client job type, education, marital status and previous-campaign outcome.</w:t>
      </w:r>
    </w:p>
    <w:p>
      <w:pPr>
        <w:pStyle w:val="Heading1"/>
        <w:spacing w:after="150" w:before="300"/>
      </w:pPr>
      <w:r>
        <w:t xml:space="preserve">7. Bivariate Analysis — Drivers of Subscription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5. Age and call duration compared across subscribers ("yes") vs non-subscribers ("no").</w:t>
      </w:r>
    </w:p>
    <w:p>
      <w:pPr>
        <w:spacing w:after="120"/>
      </w:pPr>
      <w:r>
        <w:t xml:space="preserve">Subscribers have a noticeably higher median call duration (mean 553s vs 221s for non-subscribers) and a slightly higher/older age profile on average (40.9 vs 39.9 years).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6. Subscription rate (%) segmented by job, education, contact channel, and previous campaign outcome.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Top-performing category</w:t>
            </w:r>
          </w:p>
        </w:tc>
        <w:tc>
          <w:tcPr>
            <w:tcW w:type="dxa" w:w="3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Subscription rate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3700"/>
            <w:shd w:fill="F2F2F2" w:val="clear"/>
          </w:tcPr>
          <w:p>
            <w:r>
              <w:rPr>
                <w:sz w:val="20"/>
                <w:szCs w:val="20"/>
              </w:rPr>
              <w:t xml:space="preserve">31.4%  (vs 6.9% for blue-collar, the lowest)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Previous outcome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Success (prior conversion)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sz w:val="20"/>
                <w:szCs w:val="20"/>
              </w:rPr>
              <w:t xml:space="preserve">65.1%  (vs 8.8% for no prior contact)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Contact channel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Cellular</w:t>
            </w:r>
          </w:p>
        </w:tc>
        <w:tc>
          <w:tcPr>
            <w:tcW w:type="dxa" w:w="3700"/>
            <w:shd w:fill="F2F2F2" w:val="clear"/>
          </w:tcPr>
          <w:p>
            <w:r>
              <w:rPr>
                <w:sz w:val="20"/>
                <w:szCs w:val="20"/>
              </w:rPr>
              <w:t xml:space="preserve">14.7%  (vs 5.2% for telephone)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Month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March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sz w:val="20"/>
                <w:szCs w:val="20"/>
              </w:rPr>
              <w:t xml:space="preserve">50.6%  (vs 6.4% in May, the lowest)</w:t>
            </w:r>
          </w:p>
        </w:tc>
      </w:tr>
    </w:tbl>
    <w:p>
      <w:pPr>
        <w:pStyle w:val="Heading1"/>
        <w:spacing w:after="150" w:before="300"/>
      </w:pPr>
      <w:r>
        <w:t xml:space="preserve">8. Correlation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7. Correlation heatmap of numeric features and the target flag.</w:t>
      </w:r>
    </w:p>
    <w:p>
      <w:pPr>
        <w:spacing w:after="120"/>
      </w:pPr>
      <w: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five macro-economic indicators (emp_var_rate, cons_price_idx, euribor3m, nr_employed, and to a lesser extent cons_conf_idx) are highly inter-correlated — multicollinearity that should be addressed (feature selection, VIF check, or PCA) before linear modelling.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duration shows the strongest positive correlation with the target (r ≈ 0.41), but is only known after a call completes — it must be excluded from any real-time predictive model to avoid data leakage.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nr_employed (r ≈ -0.36), pdays (r ≈ -0.33) and euribor3m (r ≈ -0.31) show the strongest negative correlations — subscriptions rise when broader employment/interest-rate conditions soften.</w:t>
      </w:r>
    </w:p>
    <w:p>
      <w:pPr>
        <w:pStyle w:val="Heading1"/>
        <w:spacing w:after="150" w:before="300"/>
      </w:pPr>
      <w:r>
        <w:t xml:space="preserve">9. Hypothesis Testing</w:t>
      </w:r>
    </w:p>
    <w:p>
      <w:pPr>
        <w:pStyle w:val="Heading2"/>
        <w:spacing w:after="120" w:before="240"/>
      </w:pPr>
      <w:r>
        <w:t xml:space="preserve">9.1 Welch's t-test — Call Duration vs Subscription</w:t>
      </w:r>
    </w:p>
    <w:p>
      <w:pPr>
        <w:spacing w:after="120"/>
      </w:pPr>
      <w:r>
        <w:t xml:space="preserve">H0: mean call duration is equal for subscribers and non-subscribers. H1: means differ.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2100"/>
        <w:gridCol w:w="2300"/>
      </w:tblGrid>
      <w:tr>
        <w:trPr>
          <w:tblHeader/>
        </w:trP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duration (s)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statistic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553.26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t = 55.50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sz w:val="20"/>
                <w:szCs w:val="20"/>
              </w:rPr>
              <w:t xml:space="preserve">p ≈ 0.00 (&lt; 0.001)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sz w:val="20"/>
                <w:szCs w:val="20"/>
              </w:rPr>
              <w:t xml:space="preserve">Reject H0 — significant difference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220.87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9.2 Welch's t-test — Age vs Subscription</w:t>
      </w:r>
    </w:p>
    <w:p>
      <w:pPr>
        <w:spacing w:after="120"/>
      </w:pPr>
      <w:r>
        <w:t xml:space="preserve">H0: mean age is equal for subscribers and non-subscribers. H1: means differ.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2100"/>
        <w:gridCol w:w="2300"/>
      </w:tblGrid>
      <w:tr>
        <w:trPr>
          <w:tblHeader/>
        </w:trP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age (yrs)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statistic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40.91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t = 4.78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sz w:val="20"/>
                <w:szCs w:val="20"/>
              </w:rPr>
              <w:t xml:space="preserve">p ≈ 1.8e-06 (&lt; 0.001)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sz w:val="20"/>
                <w:szCs w:val="20"/>
              </w:rPr>
              <w:t xml:space="preserve">Reject H0 — significant difference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39.91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9.3 Chi-square Tests of Independence (categorical predictors vs 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900"/>
        <w:gridCol w:w="2200"/>
        <w:gridCol w:w="25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Chi-square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Significant (α=0.05)?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poutcome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>4230.14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sz w:val="20"/>
                <w:szCs w:val="20"/>
              </w:rPr>
              <w:t xml:space="preserve">961.74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>862.08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sz w:val="20"/>
                <w:szCs w:val="20"/>
              </w:rPr>
              <w:t xml:space="preserve">406.56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>192.85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marital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sz w:val="20"/>
                <w:szCs w:val="20"/>
              </w:rPr>
              <w:t xml:space="preserve">122.96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≈ 0.00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housing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>5.74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0.057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No (borderline)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loan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sz w:val="20"/>
                <w:szCs w:val="20"/>
              </w:rPr>
              <w:t xml:space="preserve">1.10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0.577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poutcome, job, contact, default, education and marital status are all significantly associated with subscription outcome. housing and loan status show no significant association, indicating they add little discriminative value on their own.</w:t>
      </w:r>
    </w:p>
    <w:p>
      <w:pPr>
        <w:pStyle w:val="Heading2"/>
        <w:spacing w:after="120" w:before="240"/>
      </w:pPr>
      <w:r>
        <w:t xml:space="preserve">9.4 One-way ANOVA — Age across Education Levels</w:t>
      </w:r>
    </w:p>
    <w:p>
      <w:pPr>
        <w:spacing w:after="120"/>
      </w:pPr>
      <w:r>
        <w:t xml:space="preserve">H0: mean age is equal across all education levels. H1: at least one group mean differs.</w:t>
      </w:r>
    </w:p>
    <w:p>
      <w:pPr>
        <w:spacing w:after="120"/>
      </w:pPr>
      <w:r>
        <w:t xml:space="preserve">Result: F = 457.37, p ≈ 0.00 (&lt; 0.001) → Reject H0. Mean age varies significantly across education levels (e.g., illiterate and basic-education clients tend to be older on average than university-degree holders), consistent with generational shifts in access to higher education.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Key Insights &amp; Business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Severe class imbalance (11.3% positive) — any future predictive model must use stratified sampling, class-weighting, or resampling (SMOTE) rather than plain accuracy as the success metric.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duration is the strongest correlate of conversion, but is only known after the call — exclude it from live-scoring models; instead use it only for post-hoc campaign quality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 success is the single strongest actionable signal (65.1% vs 8.8% conversion) — build a priority "warm lead" retargeting list of previously-converted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contact strategy toward cellular numbers — nearly 3x the conversion rate of landline telephone contact.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Prioritise student and retiree segments in messaging/offer design — smaller populations but 2-4x higher conversion than blue-collar/entrepreneur segments.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campaigns around historically strong months (March, September, October, December) and macro-economic conditions where consumer sentiment favours guaranteed-return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housing and loan status are not useful standalone segmentation variables and can be deprioritised in a simplified scoring model.</w:t>
      </w:r>
    </w:p>
    <w:p>
      <w:pPr>
        <w:pStyle w:val="Heading1"/>
        <w:spacing w:after="150" w:before="300"/>
      </w:pPr>
      <w:r>
        <w:t xml:space="preserve">11. Assumptions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"unknown" categorical values were kept as their own category rather than imputed, assuming their prevalence itself carries signal; this should be revisited if the dataset is used for production modelling.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pdays = 999 was treated as a sentinel for "not previously contacted" per the dataset's documentation, not as a genuine numeric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Outliers in duration and campaign were retained as legitimate business events rather than removed, since they are not data-entry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dataset reflects a specific bank, geography (Portugal) and time period (2008-2010, financial-crisis era); the macro-economic relationships observed may not generalise to other markets or periods without re-validation.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statistical tests used a two-sided formulation with significance threshold α = 0.05.</w:t>
      </w:r>
    </w:p>
    <w:p>
      <w:pPr>
        <w:pStyle w:val="Heading1"/>
        <w:spacing w:after="150" w:before="300"/>
      </w:pPr>
      <w:r>
        <w:t xml:space="preserve">12. Conclusion &amp; Next Steps</w:t>
      </w:r>
    </w:p>
    <w:p>
      <w:pPr>
        <w:spacing w:after="120"/>
      </w:pPr>
      <w:r>
        <w:t xml:space="preserve">This EDA confirms that client behavioural history (poutcome), contact channel, job/life-stage segment, and macro-economic context are all statistically significant and practically meaningful drivers of term-deposit subscription in this BFSI marketing dataset. The findings support building a supervised classification model (e.g., logistic regression, random forest, or gradient boosting) to score and prioritise leads — with duration excluded to avoid leakage, multicollinear macro features consolidated, and the target's class imbalance explicitly handled during training and evaluation.</w:t>
      </w:r>
    </w:p>
    <w:p>
      <w:pPr>
        <w:pStyle w:val="Heading1"/>
        <w:spacing w:after="150" w:before="300"/>
      </w:pPr>
      <w:r>
        <w:t xml:space="preserve">Appendix: Reproducibility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analysis code: EDA_Bank_Marketing.ipynb (Python 3, pandas, NumPy, Matplotlib, Seaborn, SciPy).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UCI Bank Marketing dataset (bank-additional-full variant, 41,188 rows, 21 columns, semicolon-delimited 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 elements: none — all statistics and visuals are fully deterministic and reproducible by re-running the notebook top to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Environment: standard scientific Python stack; no GPU or special hardware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ff0760adc7055c6071633cf588bd888c592be6.png"/><Relationship Id="rId8" Type="http://schemas.openxmlformats.org/officeDocument/2006/relationships/image" Target="media/4014ce804dca15f26c2af102e4a995d774e5315c.png"/><Relationship Id="rId9" Type="http://schemas.openxmlformats.org/officeDocument/2006/relationships/image" Target="media/bc3feb27ef78de38da17b044cb1871effd16a081.png"/><Relationship Id="rId10" Type="http://schemas.openxmlformats.org/officeDocument/2006/relationships/image" Target="media/f77ba7cf2fc860271a3ddac1638bf33f202cbad0.png"/><Relationship Id="rId11" Type="http://schemas.openxmlformats.org/officeDocument/2006/relationships/image" Target="media/c9156b6e654edc624b5a6a89a5a4ee2240b8c608.png"/><Relationship Id="rId12" Type="http://schemas.openxmlformats.org/officeDocument/2006/relationships/image" Target="media/58258f67c91f18e19df6c55abf1c7ba87008e0de.png"/><Relationship Id="rId13" Type="http://schemas.openxmlformats.org/officeDocument/2006/relationships/image" Target="media/487ecab959e36c1e704a7e3a0518a4c690ee112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2026-09-16T14:55:15.710Z</dcterms:created>
  <dcterms:modified xsi:type="dcterms:W3CDTF">2026-09-16T14:55:15.720Z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