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ML Findings &amp; Results</w:t>
      </w:r>
    </w:p>
    <w:p>
      <w:pPr>
        <w:spacing w:after="60"/>
      </w:pPr>
      <w:r>
        <w:t xml:space="preserve">Digital Menu, Ordering &amp; Demand-Intelligence Platform — Sales Forecasting Module</w:t>
      </w:r>
    </w:p>
    <w:p>
      <w:pPr>
        <w:spacing w:after="400"/>
      </w:pPr>
      <w:r>
        <w:rPr>
          <w:i/>
          <w:iCs/>
          <w:sz w:val="20"/>
          <w:szCs w:val="20"/>
        </w:rPr>
        <w:t xml:space="preserve">Kunal • Aditya • Ruchita • Abhijeet • Riya   |   August 2026</w:t>
      </w:r>
    </w:p>
    <w:p>
      <w:pPr>
        <w:pStyle w:val="Heading1"/>
        <w:spacing w:after="150" w:before="300"/>
      </w:pPr>
      <w:r>
        <w:t xml:space="preserve">1. Executive Summary</w:t>
      </w:r>
    </w:p>
    <w:p>
      <w:pPr>
        <w:spacing w:after="120"/>
      </w:pPr>
      <w:r>
        <w:t xml:space="preserve">This document reports the results of building and validating the sales-forecasting component of the ml-service, covering data collection through model serving (the 12-step pipeline defined for this project). Two real data-quality bugs were found and fixed during development, a defensible item-eligibility filter was designed and evidenced with before/after accuracy numbers, and weather/holiday integration were tested empirically rather than assumed. The resulting pipeline trains 47 per-item Prophet models with a documented fallback for sparse items, and is served over a REST API (FastAPI) ready for backend integration.</w:t>
      </w:r>
    </w:p>
    <w:p>
      <w:pPr>
        <w:pStyle w:val="Heading1"/>
        <w:spacing w:after="150" w:before="300"/>
      </w:pPr>
      <w:r>
        <w:t xml:space="preserve">2. Pipeline Overview</w:t>
      </w:r>
    </w:p>
    <w:p>
      <w:pPr>
        <w:spacing w:after="120"/>
      </w:pPr>
      <w:r>
        <w:t xml:space="preserve">The pipeline follows 12 steps, split across two components: an EDA notebook (Steps 1-4) and callable Python modules (Steps 5-12).</w:t>
      </w:r>
    </w:p>
    <w:p>
      <w:pPr>
        <w:pStyle w:val="ListParagraph"/>
        <w:numPr>
          <w:ilvl w:val="0"/>
          <w:numId w:val="1"/>
        </w:numPr>
        <w:spacing w:after="60"/>
      </w:pPr>
      <w:r>
        <w:t xml:space="preserve">Steps 1-4 (Data Collection, Cleaning, Preprocessing, Feature Engineering) — app/notebooks/01_eda_sales_forecasting.ipynb</w:t>
      </w:r>
    </w:p>
    <w:p>
      <w:pPr>
        <w:pStyle w:val="ListParagraph"/>
        <w:numPr>
          <w:ilvl w:val="0"/>
          <w:numId w:val="1"/>
        </w:numPr>
        <w:spacing w:after="60"/>
      </w:pPr>
      <w:r>
        <w:t xml:space="preserve">Step 5-8 (Train/Test Split, Model Training, Evaluation, Model Saving) — app/modeling/</w:t>
      </w:r>
    </w:p>
    <w:p>
      <w:pPr>
        <w:pStyle w:val="ListParagraph"/>
        <w:numPr>
          <w:ilvl w:val="0"/>
          <w:numId w:val="1"/>
        </w:numPr>
        <w:spacing w:after="60"/>
      </w:pPr>
      <w:r>
        <w:t xml:space="preserve">Steps 9-12 (Load Model, Real-Time Data, Prediction, Serve to Frontend) — app/inference/</w:t>
      </w:r>
    </w:p>
    <w:p>
      <w:pPr>
        <w:spacing w:after="120"/>
      </w:pPr>
      <w:r>
        <w:t xml:space="preserve">The single handoff point between the notebook and the modeling code is app/data/processed/sales_daily.csv — nothing in app/modeling/ or app/inference/ depends on notebook internals.</w:t>
      </w:r>
    </w:p>
    <w:p>
      <w:pPr>
        <w:pStyle w:val="Heading1"/>
        <w:spacing w:after="150" w:before="300"/>
      </w:pPr>
      <w:r>
        <w:t xml:space="preserve">3. Datasets Used</w:t>
      </w:r>
    </w:p>
    <w:tbl>
      <w:tblPr>
        <w:tblW w:type="dxa" w:w="122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800"/>
        <w:gridCol w:w="2200"/>
        <w:gridCol w:w="2200"/>
      </w:tblGrid>
      <w:tr>
        <w:tc>
          <w:tcPr>
            <w:tcW w:type="dxa" w:w="3200"/>
            <w:shd w:fill="2F5496" w:val="clear"/>
          </w:tcPr>
          <w:p>
            <w:r>
              <w:rPr>
                <w:b/>
                <w:bCs/>
                <w:color w:val="FFFFFF"/>
                <w:sz w:val="20"/>
                <w:szCs w:val="20"/>
              </w:rPr>
              <w:t xml:space="preserve">Dataset</w:t>
            </w:r>
          </w:p>
        </w:tc>
        <w:tc>
          <w:tcPr>
            <w:tcW w:type="dxa" w:w="2800"/>
            <w:shd w:fill="2F5496" w:val="clear"/>
          </w:tcPr>
          <w:p>
            <w:r>
              <w:rPr>
                <w:b/>
                <w:bCs/>
                <w:color w:val="FFFFFF"/>
                <w:sz w:val="20"/>
                <w:szCs w:val="20"/>
              </w:rPr>
              <w:t xml:space="preserve">Role</w:t>
            </w:r>
          </w:p>
        </w:tc>
        <w:tc>
          <w:tcPr>
            <w:tcW w:type="dxa" w:w="1800"/>
            <w:shd w:fill="2F5496" w:val="clear"/>
          </w:tcPr>
          <w:p>
            <w:r>
              <w:rPr>
                <w:b/>
                <w:bCs/>
                <w:color w:val="FFFFFF"/>
                <w:sz w:val="20"/>
                <w:szCs w:val="20"/>
              </w:rPr>
              <w:t xml:space="preserve">Span</w:t>
            </w:r>
          </w:p>
        </w:tc>
        <w:tc>
          <w:tcPr>
            <w:tcW w:type="dxa" w:w="2200"/>
            <w:shd w:fill="2F5496" w:val="clear"/>
          </w:tcPr>
          <w:p>
            <w:r>
              <w:rPr>
                <w:b/>
                <w:bCs/>
                <w:color w:val="FFFFFF"/>
                <w:sz w:val="20"/>
                <w:szCs w:val="20"/>
              </w:rPr>
              <w:t xml:space="preserve">Granularity</w:t>
            </w:r>
          </w:p>
        </w:tc>
        <w:tc>
          <w:tcPr>
            <w:tcW w:type="dxa" w:w="2200"/>
            <w:shd w:fill="2F5496" w:val="clear"/>
          </w:tcPr>
          <w:p>
            <w:r>
              <w:rPr>
                <w:b/>
                <w:bCs/>
                <w:color w:val="FFFFFF"/>
                <w:sz w:val="20"/>
                <w:szCs w:val="20"/>
              </w:rPr>
              <w:t xml:space="preserve">Location</w:t>
            </w:r>
          </w:p>
        </w:tc>
      </w:tr>
      <w:tr>
        <w:tc>
          <w:tcPr>
            <w:tcW w:type="dxa" w:w="3200"/>
          </w:tcPr>
          <w:p>
            <w:r>
              <w:rPr>
                <w:sz w:val="20"/>
                <w:szCs w:val="20"/>
              </w:rPr>
              <w:t xml:space="preserve">Pizza Place Sales (Kaggle)</w:t>
            </w:r>
          </w:p>
        </w:tc>
        <w:tc>
          <w:tcPr>
            <w:tcW w:type="dxa" w:w="2800"/>
          </w:tcPr>
          <w:p>
            <w:r>
              <w:rPr>
                <w:sz w:val="20"/>
                <w:szCs w:val="20"/>
              </w:rPr>
              <w:t xml:space="preserve">Primary — item-level demo data</w:t>
            </w:r>
          </w:p>
        </w:tc>
        <w:tc>
          <w:tcPr>
            <w:tcW w:type="dxa" w:w="1800"/>
          </w:tcPr>
          <w:p>
            <w:r>
              <w:rPr>
                <w:sz w:val="20"/>
                <w:szCs w:val="20"/>
              </w:rPr>
              <w:t xml:space="preserve">1 year (2015)</w:t>
            </w:r>
          </w:p>
        </w:tc>
        <w:tc>
          <w:tcPr>
            <w:tcW w:type="dxa" w:w="2200"/>
          </w:tcPr>
          <w:p>
            <w:r>
              <w:rPr>
                <w:sz w:val="20"/>
                <w:szCs w:val="20"/>
              </w:rPr>
              <w:t xml:space="preserve">Daily, per pizza type</w:t>
            </w:r>
          </w:p>
        </w:tc>
        <w:tc>
          <w:tcPr>
            <w:tcW w:type="dxa" w:w="2200"/>
          </w:tcPr>
          <w:p>
            <w:r>
              <w:rPr>
                <w:sz w:val="20"/>
                <w:szCs w:val="20"/>
              </w:rPr>
              <w:t xml:space="preserve">Not published</w:t>
            </w:r>
          </w:p>
        </w:tc>
      </w:tr>
      <w:tr>
        <w:tc>
          <w:tcPr>
            <w:tcW w:type="dxa" w:w="3200"/>
            <w:shd w:fill="F2F2F2" w:val="clear"/>
          </w:tcPr>
          <w:p>
            <w:r>
              <w:rPr>
                <w:sz w:val="20"/>
                <w:szCs w:val="20"/>
              </w:rPr>
              <w:t xml:space="preserve">Bakery Sales / Bread Basket (Kaggle)</w:t>
            </w:r>
          </w:p>
        </w:tc>
        <w:tc>
          <w:tcPr>
            <w:tcW w:type="dxa" w:w="2800"/>
            <w:shd w:fill="F2F2F2" w:val="clear"/>
          </w:tcPr>
          <w:p>
            <w:r>
              <w:rPr>
                <w:sz w:val="20"/>
                <w:szCs w:val="20"/>
              </w:rPr>
              <w:t xml:space="preserve">Primary — item-level demo data</w:t>
            </w:r>
          </w:p>
        </w:tc>
        <w:tc>
          <w:tcPr>
            <w:tcW w:type="dxa" w:w="1800"/>
            <w:shd w:fill="F2F2F2" w:val="clear"/>
          </w:tcPr>
          <w:p>
            <w:r>
              <w:rPr>
                <w:sz w:val="20"/>
                <w:szCs w:val="20"/>
              </w:rPr>
              <w:t xml:space="preserve">~2 years (2016-2017)</w:t>
            </w:r>
          </w:p>
        </w:tc>
        <w:tc>
          <w:tcPr>
            <w:tcW w:type="dxa" w:w="2200"/>
            <w:shd w:fill="F2F2F2" w:val="clear"/>
          </w:tcPr>
          <w:p>
            <w:r>
              <w:rPr>
                <w:sz w:val="20"/>
                <w:szCs w:val="20"/>
              </w:rPr>
              <w:t xml:space="preserve">Transaction-level</w:t>
            </w:r>
          </w:p>
        </w:tc>
        <w:tc>
          <w:tcPr>
            <w:tcW w:type="dxa" w:w="2200"/>
            <w:shd w:fill="F2F2F2" w:val="clear"/>
          </w:tcPr>
          <w:p>
            <w:r>
              <w:rPr>
                <w:sz w:val="20"/>
                <w:szCs w:val="20"/>
              </w:rPr>
              <w:t xml:space="preserve">Edinburgh, Scotland (confirmed)</w:t>
            </w:r>
          </w:p>
        </w:tc>
      </w:tr>
    </w:tbl>
    <w:p>
      <w:pPr>
        <w:spacing w:after="120"/>
      </w:pPr>
      <w:r>
        <w:t xml:space="preserve">Both datasets validate the forecasting methodology on real transactional data, consistent with the approach documented in the Project Proposal (§6) and Business Research Document (§6). They are not a live shop's own data — see Section 8 (Cold-Start Strategy) for how the pipeline transitions to real shop data after launch.</w:t>
      </w:r>
    </w:p>
    <w:p>
      <w:pPr>
        <w:pStyle w:val="Heading1"/>
        <w:spacing w:after="150" w:before="300"/>
      </w:pPr>
      <w:r>
        <w:t xml:space="preserve">4. Data Quality Issues Found and Fixed</w:t>
      </w:r>
    </w:p>
    <w:p>
      <w:pPr>
        <w:pStyle w:val="Heading2"/>
        <w:spacing w:after="120" w:before="250"/>
      </w:pPr>
      <w:r>
        <w:t xml:space="preserve">4.1 Naive deduplication deleting real sales</w:t>
      </w:r>
    </w:p>
    <w:p>
      <w:pPr>
        <w:spacing w:after="120"/>
      </w:pPr>
      <w:r>
        <w:t xml:space="preserve">The first cleaning pass used drop_duplicates() on rows already stripped of their transaction ID. Two different customers buying the same item on the same day produced identical rows, which were incorrectly deduplicated as if they were one sale recorded twice.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700"/>
      </w:tblGrid>
      <w:tr>
        <w:tc>
          <w:tcPr>
            <w:tcW w:type="dxa" w:w="3000"/>
            <w:shd w:fill="2F5496" w:val="clear"/>
          </w:tcPr>
          <w:p>
            <w:r>
              <w:rPr>
                <w:b/>
                <w:bCs/>
                <w:color w:val="FFFFFF"/>
                <w:sz w:val="20"/>
                <w:szCs w:val="20"/>
              </w:rPr>
              <w:t xml:space="preserve">Dataset</w:t>
            </w:r>
          </w:p>
        </w:tc>
        <w:tc>
          <w:tcPr>
            <w:tcW w:type="dxa" w:w="3500"/>
            <w:shd w:fill="2F5496" w:val="clear"/>
          </w:tcPr>
          <w:p>
            <w:r>
              <w:rPr>
                <w:b/>
                <w:bCs/>
                <w:color w:val="FFFFFF"/>
                <w:sz w:val="20"/>
                <w:szCs w:val="20"/>
              </w:rPr>
              <w:t xml:space="preserve">Rows dropped (bug present)</w:t>
            </w:r>
          </w:p>
        </w:tc>
        <w:tc>
          <w:tcPr>
            <w:tcW w:type="dxa" w:w="2700"/>
            <w:shd w:fill="2F5496" w:val="clear"/>
          </w:tcPr>
          <w:p>
            <w:r>
              <w:rPr>
                <w:b/>
                <w:bCs/>
                <w:color w:val="FFFFFF"/>
                <w:sz w:val="20"/>
                <w:szCs w:val="20"/>
              </w:rPr>
              <w:t xml:space="preserve">% of dataset</w:t>
            </w:r>
          </w:p>
        </w:tc>
      </w:tr>
      <w:tr>
        <w:tc>
          <w:tcPr>
            <w:tcW w:type="dxa" w:w="3000"/>
          </w:tcPr>
          <w:p>
            <w:r>
              <w:rPr>
                <w:sz w:val="20"/>
                <w:szCs w:val="20"/>
              </w:rPr>
              <w:t xml:space="preserve">Pizza</w:t>
            </w:r>
          </w:p>
        </w:tc>
        <w:tc>
          <w:tcPr>
            <w:tcW w:type="dxa" w:w="3500"/>
          </w:tcPr>
          <w:p>
            <w:r>
              <w:rPr>
                <w:sz w:val="20"/>
                <w:szCs w:val="20"/>
              </w:rPr>
              <w:t xml:space="preserve">24,890</w:t>
            </w:r>
          </w:p>
        </w:tc>
        <w:tc>
          <w:tcPr>
            <w:tcW w:type="dxa" w:w="2700"/>
          </w:tcPr>
          <w:p>
            <w:r>
              <w:rPr>
                <w:sz w:val="20"/>
                <w:szCs w:val="20"/>
              </w:rPr>
              <w:t xml:space="preserve">51.19%</w:t>
            </w:r>
          </w:p>
        </w:tc>
      </w:tr>
      <w:tr>
        <w:tc>
          <w:tcPr>
            <w:tcW w:type="dxa" w:w="3000"/>
            <w:shd w:fill="F2F2F2" w:val="clear"/>
          </w:tcPr>
          <w:p>
            <w:r>
              <w:rPr>
                <w:sz w:val="20"/>
                <w:szCs w:val="20"/>
              </w:rPr>
              <w:t xml:space="preserve">Bakery</w:t>
            </w:r>
          </w:p>
        </w:tc>
        <w:tc>
          <w:tcPr>
            <w:tcW w:type="dxa" w:w="3500"/>
            <w:shd w:fill="F2F2F2" w:val="clear"/>
          </w:tcPr>
          <w:p>
            <w:r>
              <w:rPr>
                <w:sz w:val="20"/>
                <w:szCs w:val="20"/>
              </w:rPr>
              <w:t xml:space="preserve">16,846</w:t>
            </w:r>
          </w:p>
        </w:tc>
        <w:tc>
          <w:tcPr>
            <w:tcW w:type="dxa" w:w="2700"/>
            <w:shd w:fill="F2F2F2" w:val="clear"/>
          </w:tcPr>
          <w:p>
            <w:r>
              <w:rPr>
                <w:sz w:val="20"/>
                <w:szCs w:val="20"/>
              </w:rPr>
              <w:t xml:space="preserve">82.15%</w:t>
            </w:r>
          </w:p>
        </w:tc>
      </w:tr>
    </w:tbl>
    <w:p>
      <w:pPr>
        <w:spacing w:after="120"/>
      </w:pPr>
      <w:r>
        <w:t xml:space="preserve">Fix: deduplication was moved to operate on the real order-line identifier (order_details_id for pizza; a constructed TransactionNo + item_name + occurrence key for bakery) before columns were collapsed. After the fix, pizza reported 0 rows dropped and the total processed row count returned to 43,393 — consistent with genuinely clean data rather than under-counted data.</w:t>
      </w:r>
    </w:p>
    <w:p>
      <w:pPr>
        <w:pStyle w:val="Heading2"/>
        <w:spacing w:after="120" w:before="250"/>
      </w:pPr>
      <w:r>
        <w:t xml:space="preserve">4.2 A key-collision bug in the first fix</w:t>
      </w:r>
    </w:p>
    <w:p>
      <w:pPr>
        <w:spacing w:after="120"/>
      </w:pPr>
      <w:r>
        <w:t xml:space="preserve">The first attempted fix built a unique row key from TransactionNo and a per-group counter, but the key string omitted item_name. Two different items in the same transaction that were each the first occurrence of their item produced the same key, causing 46.48% of bakery rows to be dropped a second time under a different bug. This was corrected by including item_name inside the key itself, after which bakery also reported 0 rows dropped.</w:t>
      </w:r>
    </w:p>
    <w:p>
      <w:pPr>
        <w:pStyle w:val="Heading2"/>
        <w:spacing w:after="120" w:before="250"/>
      </w:pPr>
      <w:r>
        <w:t xml:space="preserve">4.3 Non-food entries in the raw data</w:t>
      </w:r>
    </w:p>
    <w:p>
      <w:pPr>
        <w:spacing w:after="120"/>
      </w:pPr>
      <w:r>
        <w:t xml:space="preserve">Manual inspection of low-history items surfaced three entries that are not real menu items: "Adjustment" (an accounting correction), and "Tshirt" / "Gift voucher" (merchandise, not food). These were excluded by name, not just by a history threshold, since a threshold alone could not reliably distinguish data-quality noise from genuinely new menu items.</w:t>
      </w:r>
    </w:p>
    <w:p>
      <w:pPr>
        <w:pStyle w:val="Heading1"/>
        <w:spacing w:after="150" w:before="300"/>
      </w:pPr>
      <w:r>
        <w:t xml:space="preserve">5. Item Eligibility Filtering</w:t>
      </w:r>
    </w:p>
    <w:p>
      <w:pPr>
        <w:spacing w:after="120"/>
      </w:pPr>
      <w:r>
        <w:t xml:space="preserve">Two independent gates were applied before training a per-item model:</w:t>
      </w:r>
    </w:p>
    <w:p>
      <w:pPr>
        <w:pStyle w:val="ListParagraph"/>
        <w:numPr>
          <w:ilvl w:val="0"/>
          <w:numId w:val="1"/>
        </w:numPr>
        <w:spacing w:after="60"/>
      </w:pPr>
      <w:r>
        <w:t xml:space="preserve">History gate: at least 60 days of recorded sales history</w:t>
      </w:r>
    </w:p>
    <w:p>
      <w:pPr>
        <w:pStyle w:val="ListParagraph"/>
        <w:numPr>
          <w:ilvl w:val="0"/>
          <w:numId w:val="1"/>
        </w:numPr>
        <w:spacing w:after="60"/>
      </w:pPr>
      <w:r>
        <w:t xml:space="preserve">Volume gate: at least 0.5 average units sold per day</w:t>
      </w:r>
    </w:p>
    <w:p>
      <w:pPr>
        <w:spacing w:after="120"/>
      </w:pPr>
      <w:r>
        <w:t xml:space="preserve">The volume gate was added after the history-only filter left in low-volume items (e.g. Eggs, Crepes, Ella's Kitchen Pouches) whose MAPE exceeded 90-465% despite passing the history check — low absolute error but meaningless percentage error, a sign of intermittent, low-signal demand rather than a real forecastable pattern.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100"/>
        <w:gridCol w:w="2100"/>
      </w:tblGrid>
      <w:tr>
        <w:tc>
          <w:tcPr>
            <w:tcW w:type="dxa" w:w="3600"/>
            <w:shd w:fill="2F5496" w:val="clear"/>
          </w:tcPr>
          <w:p>
            <w:r>
              <w:rPr>
                <w:b/>
                <w:bCs/>
                <w:color w:val="FFFFFF"/>
                <w:sz w:val="20"/>
                <w:szCs w:val="20"/>
              </w:rPr>
              <w:t xml:space="preserve">Filter stage</w:t>
            </w:r>
          </w:p>
        </w:tc>
        <w:tc>
          <w:tcPr>
            <w:tcW w:type="dxa" w:w="2600"/>
            <w:shd w:fill="2F5496" w:val="clear"/>
          </w:tcPr>
          <w:p>
            <w:r>
              <w:rPr>
                <w:b/>
                <w:bCs/>
                <w:color w:val="FFFFFF"/>
                <w:sz w:val="20"/>
                <w:szCs w:val="20"/>
              </w:rPr>
              <w:t xml:space="preserve">Eligible items</w:t>
            </w:r>
          </w:p>
        </w:tc>
        <w:tc>
          <w:tcPr>
            <w:tcW w:type="dxa" w:w="2100"/>
            <w:shd w:fill="2F5496" w:val="clear"/>
          </w:tcPr>
          <w:p>
            <w:r>
              <w:rPr>
                <w:b/>
                <w:bCs/>
                <w:color w:val="FFFFFF"/>
                <w:sz w:val="20"/>
                <w:szCs w:val="20"/>
              </w:rPr>
              <w:t xml:space="preserve">Bakery MAPE</w:t>
            </w:r>
          </w:p>
        </w:tc>
        <w:tc>
          <w:tcPr>
            <w:tcW w:type="dxa" w:w="2100"/>
            <w:shd w:fill="2F5496" w:val="clear"/>
          </w:tcPr>
          <w:p>
            <w:r>
              <w:rPr>
                <w:b/>
                <w:bCs/>
                <w:color w:val="FFFFFF"/>
                <w:sz w:val="20"/>
                <w:szCs w:val="20"/>
              </w:rPr>
              <w:t xml:space="preserve">Pizza MAPE</w:t>
            </w:r>
          </w:p>
        </w:tc>
      </w:tr>
      <w:tr>
        <w:tc>
          <w:tcPr>
            <w:tcW w:type="dxa" w:w="3600"/>
          </w:tcPr>
          <w:p>
            <w:r>
              <w:rPr>
                <w:sz w:val="20"/>
                <w:szCs w:val="20"/>
              </w:rPr>
              <w:t xml:space="preserve">History only (&gt;= 60 days)</w:t>
            </w:r>
          </w:p>
        </w:tc>
        <w:tc>
          <w:tcPr>
            <w:tcW w:type="dxa" w:w="2600"/>
          </w:tcPr>
          <w:p>
            <w:r>
              <w:rPr>
                <w:sz w:val="20"/>
                <w:szCs w:val="20"/>
              </w:rPr>
              <w:t xml:space="preserve">103 (71 bakery, 32 pizza)</w:t>
            </w:r>
          </w:p>
        </w:tc>
        <w:tc>
          <w:tcPr>
            <w:tcW w:type="dxa" w:w="2100"/>
          </w:tcPr>
          <w:p>
            <w:r>
              <w:rPr>
                <w:sz w:val="20"/>
                <w:szCs w:val="20"/>
              </w:rPr>
              <w:t xml:space="preserve">104.84%</w:t>
            </w:r>
          </w:p>
        </w:tc>
        <w:tc>
          <w:tcPr>
            <w:tcW w:type="dxa" w:w="2100"/>
          </w:tcPr>
          <w:p>
            <w:r>
              <w:rPr>
                <w:sz w:val="20"/>
                <w:szCs w:val="20"/>
              </w:rPr>
              <w:t xml:space="preserve">66.41%</w:t>
            </w:r>
          </w:p>
        </w:tc>
      </w:tr>
      <w:tr>
        <w:tc>
          <w:tcPr>
            <w:tcW w:type="dxa" w:w="3600"/>
            <w:shd w:fill="F2F2F2" w:val="clear"/>
          </w:tcPr>
          <w:p>
            <w:r>
              <w:rPr>
                <w:sz w:val="20"/>
                <w:szCs w:val="20"/>
              </w:rPr>
              <w:t xml:space="preserve">History + volume (&gt;= 0.5 avg/day)</w:t>
            </w:r>
          </w:p>
        </w:tc>
        <w:tc>
          <w:tcPr>
            <w:tcW w:type="dxa" w:w="2600"/>
            <w:shd w:fill="F2F2F2" w:val="clear"/>
          </w:tcPr>
          <w:p>
            <w:r>
              <w:rPr>
                <w:sz w:val="20"/>
                <w:szCs w:val="20"/>
              </w:rPr>
              <w:t xml:space="preserve">47 (15 bakery, 32 pizza)</w:t>
            </w:r>
          </w:p>
        </w:tc>
        <w:tc>
          <w:tcPr>
            <w:tcW w:type="dxa" w:w="2100"/>
            <w:shd w:fill="F2F2F2" w:val="clear"/>
          </w:tcPr>
          <w:p>
            <w:r>
              <w:rPr>
                <w:sz w:val="20"/>
                <w:szCs w:val="20"/>
              </w:rPr>
              <w:t xml:space="preserve">49.86%</w:t>
            </w:r>
          </w:p>
        </w:tc>
        <w:tc>
          <w:tcPr>
            <w:tcW w:type="dxa" w:w="2100"/>
            <w:shd w:fill="F2F2F2" w:val="clear"/>
          </w:tcPr>
          <w:p>
            <w:r>
              <w:rPr>
                <w:sz w:val="20"/>
                <w:szCs w:val="20"/>
              </w:rPr>
              <w:t xml:space="preserve">66.41%</w:t>
            </w:r>
          </w:p>
        </w:tc>
      </w:tr>
    </w:tbl>
    <w:p>
      <w:pPr>
        <w:spacing w:after="120"/>
      </w:pPr>
      <w:r>
        <w:t xml:space="preserve">Adding the volume gate roughly halved bakery's average MAPE (104.8% -&gt; 49.9%) by removing items that were structurally unforecastable rather than difficult to forecast. Pizza was unaffected since all 32 items already passed both gates.</w:t>
      </w:r>
    </w:p>
    <w:p>
      <w:pPr>
        <w:pStyle w:val="Heading1"/>
        <w:spacing w:after="150" w:before="300"/>
      </w:pPr>
      <w:r>
        <w:t xml:space="preserve">6. Model Evaluation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00"/>
        <w:gridCol w:w="2500"/>
      </w:tblGrid>
      <w:tr>
        <w:tc>
          <w:tcPr>
            <w:tcW w:type="dxa" w:w="2400"/>
            <w:shd w:fill="2F5496" w:val="clear"/>
          </w:tcPr>
          <w:p>
            <w:r>
              <w:rPr>
                <w:b/>
                <w:bCs/>
                <w:color w:val="FFFFFF"/>
                <w:sz w:val="20"/>
                <w:szCs w:val="20"/>
              </w:rPr>
              <w:t xml:space="preserve">Source</w:t>
            </w:r>
          </w:p>
        </w:tc>
        <w:tc>
          <w:tcPr>
            <w:tcW w:type="dxa" w:w="2400"/>
            <w:shd w:fill="2F5496" w:val="clear"/>
          </w:tcPr>
          <w:p>
            <w:r>
              <w:rPr>
                <w:b/>
                <w:bCs/>
                <w:color w:val="FFFFFF"/>
                <w:sz w:val="20"/>
                <w:szCs w:val="20"/>
              </w:rPr>
              <w:t xml:space="preserve">Eligible items</w:t>
            </w:r>
          </w:p>
        </w:tc>
        <w:tc>
          <w:tcPr>
            <w:tcW w:type="dxa" w:w="2100"/>
            <w:shd w:fill="2F5496" w:val="clear"/>
          </w:tcPr>
          <w:p>
            <w:r>
              <w:rPr>
                <w:b/>
                <w:bCs/>
                <w:color w:val="FFFFFF"/>
                <w:sz w:val="20"/>
                <w:szCs w:val="20"/>
              </w:rPr>
              <w:t xml:space="preserve">Avg MAE</w:t>
            </w:r>
          </w:p>
        </w:tc>
        <w:tc>
          <w:tcPr>
            <w:tcW w:type="dxa" w:w="2500"/>
            <w:shd w:fill="2F5496" w:val="clear"/>
          </w:tcPr>
          <w:p>
            <w:r>
              <w:rPr>
                <w:b/>
                <w:bCs/>
                <w:color w:val="FFFFFF"/>
                <w:sz w:val="20"/>
                <w:szCs w:val="20"/>
              </w:rPr>
              <w:t xml:space="preserve">Avg MAPE</w:t>
            </w:r>
          </w:p>
        </w:tc>
      </w:tr>
      <w:tr>
        <w:tc>
          <w:tcPr>
            <w:tcW w:type="dxa" w:w="2400"/>
          </w:tcPr>
          <w:p>
            <w:r>
              <w:rPr>
                <w:sz w:val="20"/>
                <w:szCs w:val="20"/>
              </w:rPr>
              <w:t xml:space="preserve">Bakery</w:t>
            </w:r>
          </w:p>
        </w:tc>
        <w:tc>
          <w:tcPr>
            <w:tcW w:type="dxa" w:w="2400"/>
          </w:tcPr>
          <w:p>
            <w:r>
              <w:rPr>
                <w:sz w:val="20"/>
                <w:szCs w:val="20"/>
              </w:rPr>
              <w:t xml:space="preserve">15</w:t>
            </w:r>
          </w:p>
        </w:tc>
        <w:tc>
          <w:tcPr>
            <w:tcW w:type="dxa" w:w="2100"/>
          </w:tcPr>
          <w:p>
            <w:r>
              <w:rPr>
                <w:sz w:val="20"/>
                <w:szCs w:val="20"/>
              </w:rPr>
              <w:t xml:space="preserve">3.11</w:t>
            </w:r>
          </w:p>
        </w:tc>
        <w:tc>
          <w:tcPr>
            <w:tcW w:type="dxa" w:w="2500"/>
          </w:tcPr>
          <w:p>
            <w:r>
              <w:rPr>
                <w:sz w:val="20"/>
                <w:szCs w:val="20"/>
              </w:rPr>
              <w:t xml:space="preserve">52.32%</w:t>
            </w:r>
          </w:p>
        </w:tc>
      </w:tr>
      <w:tr>
        <w:tc>
          <w:tcPr>
            <w:tcW w:type="dxa" w:w="2400"/>
            <w:shd w:fill="F2F2F2" w:val="clear"/>
          </w:tcPr>
          <w:p>
            <w:r>
              <w:rPr>
                <w:sz w:val="20"/>
                <w:szCs w:val="20"/>
              </w:rPr>
              <w:t xml:space="preserve">Pizza</w:t>
            </w:r>
          </w:p>
        </w:tc>
        <w:tc>
          <w:tcPr>
            <w:tcW w:type="dxa" w:w="2400"/>
            <w:shd w:fill="F2F2F2" w:val="clear"/>
          </w:tcPr>
          <w:p>
            <w:r>
              <w:rPr>
                <w:sz w:val="20"/>
                <w:szCs w:val="20"/>
              </w:rPr>
              <w:t xml:space="preserve">32</w:t>
            </w:r>
          </w:p>
        </w:tc>
        <w:tc>
          <w:tcPr>
            <w:tcW w:type="dxa" w:w="2100"/>
            <w:shd w:fill="F2F2F2" w:val="clear"/>
          </w:tcPr>
          <w:p>
            <w:r>
              <w:rPr>
                <w:sz w:val="20"/>
                <w:szCs w:val="20"/>
              </w:rPr>
              <w:t xml:space="preserve">2.20</w:t>
            </w:r>
          </w:p>
        </w:tc>
        <w:tc>
          <w:tcPr>
            <w:tcW w:type="dxa" w:w="2500"/>
            <w:shd w:fill="F2F2F2" w:val="clear"/>
          </w:tcPr>
          <w:p>
            <w:r>
              <w:rPr>
                <w:sz w:val="20"/>
                <w:szCs w:val="20"/>
              </w:rPr>
              <w:t xml:space="preserve">69.65%</w:t>
            </w:r>
          </w:p>
        </w:tc>
      </w:tr>
    </w:tbl>
    <w:p>
      <w:pPr>
        <w:spacing w:after="120"/>
      </w:pPr>
      <w:r>
        <w:t xml:space="preserve">Notably, bakery's surviving items show lower MAPE despite higher MAE than pizza. This reflects demand concentration rather than model quality: bakery's 15 surviving items are daily staples (Coffee, Bread, Tea) with consistently high, concentrated volume, while pizza splits demand across 32 substitutable menu items, each individually noisier even though total pizza volume is comparable. Forecast reliability tracks how concentrated demand is per item, not only how much historical data exists.</w:t>
      </w:r>
    </w:p>
    <w:p>
      <w:pPr>
        <w:pStyle w:val="Heading1"/>
        <w:spacing w:after="150" w:before="300"/>
      </w:pPr>
      <w:r>
        <w:t xml:space="preserve">7. Holiday Integration</w:t>
      </w:r>
    </w:p>
    <w:p>
      <w:pPr>
        <w:spacing w:after="120"/>
      </w:pPr>
      <w:r>
        <w:t xml:space="preserve">Prophet's built-in country holiday calendar was added per source: Great Britain (GB) for Bakery (a confirmed real location, Edinburgh) and United States (US) for Pizza (an assumption based on USD pricing in the dataset, not a confirmed location — flagged here explicitly).</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200"/>
        <w:gridCol w:w="2200"/>
      </w:tblGrid>
      <w:tr>
        <w:tc>
          <w:tcPr>
            <w:tcW w:type="dxa" w:w="1800"/>
            <w:shd w:fill="2F5496" w:val="clear"/>
          </w:tcPr>
          <w:p>
            <w:r>
              <w:rPr>
                <w:b/>
                <w:bCs/>
                <w:color w:val="FFFFFF"/>
                <w:sz w:val="20"/>
                <w:szCs w:val="20"/>
              </w:rPr>
              <w:t xml:space="preserve">Source</w:t>
            </w:r>
          </w:p>
        </w:tc>
        <w:tc>
          <w:tcPr>
            <w:tcW w:type="dxa" w:w="2600"/>
            <w:shd w:fill="2F5496" w:val="clear"/>
          </w:tcPr>
          <w:p>
            <w:r>
              <w:rPr>
                <w:b/>
                <w:bCs/>
                <w:color w:val="FFFFFF"/>
                <w:sz w:val="20"/>
                <w:szCs w:val="20"/>
              </w:rPr>
              <w:t xml:space="preserve">MAE without holidays</w:t>
            </w:r>
          </w:p>
        </w:tc>
        <w:tc>
          <w:tcPr>
            <w:tcW w:type="dxa" w:w="2600"/>
            <w:shd w:fill="2F5496" w:val="clear"/>
          </w:tcPr>
          <w:p>
            <w:r>
              <w:rPr>
                <w:b/>
                <w:bCs/>
                <w:color w:val="FFFFFF"/>
                <w:sz w:val="20"/>
                <w:szCs w:val="20"/>
              </w:rPr>
              <w:t xml:space="preserve">MAE with holidays</w:t>
            </w:r>
          </w:p>
        </w:tc>
        <w:tc>
          <w:tcPr>
            <w:tcW w:type="dxa" w:w="2200"/>
            <w:shd w:fill="2F5496" w:val="clear"/>
          </w:tcPr>
          <w:p>
            <w:r>
              <w:rPr>
                <w:b/>
                <w:bCs/>
                <w:color w:val="FFFFFF"/>
                <w:sz w:val="20"/>
                <w:szCs w:val="20"/>
              </w:rPr>
              <w:t xml:space="preserve">MAPE without</w:t>
            </w:r>
          </w:p>
        </w:tc>
        <w:tc>
          <w:tcPr>
            <w:tcW w:type="dxa" w:w="2200"/>
            <w:shd w:fill="2F5496" w:val="clear"/>
          </w:tcPr>
          <w:p>
            <w:r>
              <w:rPr>
                <w:b/>
                <w:bCs/>
                <w:color w:val="FFFFFF"/>
                <w:sz w:val="20"/>
                <w:szCs w:val="20"/>
              </w:rPr>
              <w:t xml:space="preserve">MAPE with</w:t>
            </w:r>
          </w:p>
        </w:tc>
      </w:tr>
      <w:tr>
        <w:tc>
          <w:tcPr>
            <w:tcW w:type="dxa" w:w="1800"/>
          </w:tcPr>
          <w:p>
            <w:r>
              <w:rPr>
                <w:sz w:val="20"/>
                <w:szCs w:val="20"/>
              </w:rPr>
              <w:t xml:space="preserve">Bakery</w:t>
            </w:r>
          </w:p>
        </w:tc>
        <w:tc>
          <w:tcPr>
            <w:tcW w:type="dxa" w:w="2600"/>
          </w:tcPr>
          <w:p>
            <w:r>
              <w:rPr>
                <w:sz w:val="20"/>
                <w:szCs w:val="20"/>
              </w:rPr>
              <w:t xml:space="preserve">3.156</w:t>
            </w:r>
          </w:p>
        </w:tc>
        <w:tc>
          <w:tcPr>
            <w:tcW w:type="dxa" w:w="2600"/>
          </w:tcPr>
          <w:p>
            <w:r>
              <w:rPr>
                <w:sz w:val="20"/>
                <w:szCs w:val="20"/>
              </w:rPr>
              <w:t xml:space="preserve">3.108</w:t>
            </w:r>
          </w:p>
        </w:tc>
        <w:tc>
          <w:tcPr>
            <w:tcW w:type="dxa" w:w="2200"/>
          </w:tcPr>
          <w:p>
            <w:r>
              <w:rPr>
                <w:sz w:val="20"/>
                <w:szCs w:val="20"/>
              </w:rPr>
              <w:t xml:space="preserve">49.86%</w:t>
            </w:r>
          </w:p>
        </w:tc>
        <w:tc>
          <w:tcPr>
            <w:tcW w:type="dxa" w:w="2200"/>
          </w:tcPr>
          <w:p>
            <w:r>
              <w:rPr>
                <w:sz w:val="20"/>
                <w:szCs w:val="20"/>
              </w:rPr>
              <w:t xml:space="preserve">52.32%</w:t>
            </w:r>
          </w:p>
        </w:tc>
      </w:tr>
      <w:tr>
        <w:tc>
          <w:tcPr>
            <w:tcW w:type="dxa" w:w="1800"/>
            <w:shd w:fill="F2F2F2" w:val="clear"/>
          </w:tcPr>
          <w:p>
            <w:r>
              <w:rPr>
                <w:sz w:val="20"/>
                <w:szCs w:val="20"/>
              </w:rPr>
              <w:t xml:space="preserve">Pizza</w:t>
            </w:r>
          </w:p>
        </w:tc>
        <w:tc>
          <w:tcPr>
            <w:tcW w:type="dxa" w:w="2600"/>
            <w:shd w:fill="F2F2F2" w:val="clear"/>
          </w:tcPr>
          <w:p>
            <w:r>
              <w:rPr>
                <w:sz w:val="20"/>
                <w:szCs w:val="20"/>
              </w:rPr>
              <w:t xml:space="preserve">2.119</w:t>
            </w:r>
          </w:p>
        </w:tc>
        <w:tc>
          <w:tcPr>
            <w:tcW w:type="dxa" w:w="2600"/>
            <w:shd w:fill="F2F2F2" w:val="clear"/>
          </w:tcPr>
          <w:p>
            <w:r>
              <w:rPr>
                <w:sz w:val="20"/>
                <w:szCs w:val="20"/>
              </w:rPr>
              <w:t xml:space="preserve">2.205</w:t>
            </w:r>
          </w:p>
        </w:tc>
        <w:tc>
          <w:tcPr>
            <w:tcW w:type="dxa" w:w="2200"/>
            <w:shd w:fill="F2F2F2" w:val="clear"/>
          </w:tcPr>
          <w:p>
            <w:r>
              <w:rPr>
                <w:sz w:val="20"/>
                <w:szCs w:val="20"/>
              </w:rPr>
              <w:t xml:space="preserve">66.41%</w:t>
            </w:r>
          </w:p>
        </w:tc>
        <w:tc>
          <w:tcPr>
            <w:tcW w:type="dxa" w:w="2200"/>
            <w:shd w:fill="F2F2F2" w:val="clear"/>
          </w:tcPr>
          <w:p>
            <w:r>
              <w:rPr>
                <w:sz w:val="20"/>
                <w:szCs w:val="20"/>
              </w:rPr>
              <w:t xml:space="preserve">69.65%</w:t>
            </w:r>
          </w:p>
        </w:tc>
      </w:tr>
    </w:tbl>
    <w:p>
      <w:pPr>
        <w:spacing w:after="120"/>
      </w:pPr>
      <w:r>
        <w:t xml:space="preserve">Results were mixed and inconclusive in both directions. The most likely explanation is that the 14-day held-out test window is too short to reliably capture a yearly-occurring effect like a holiday — whatever holidays happened to fall inside that specific window dominate the metric. This is stated as a known limitation rather than treated as a negative result.</w:t>
      </w:r>
    </w:p>
    <w:p>
      <w:pPr>
        <w:pStyle w:val="Heading1"/>
        <w:spacing w:after="150" w:before="300"/>
      </w:pPr>
      <w:r>
        <w:t xml:space="preserve">8. Weather Integration</w:t>
      </w:r>
    </w:p>
    <w:p>
      <w:pPr>
        <w:spacing w:after="120"/>
      </w:pPr>
      <w:r>
        <w:t xml:space="preserve">Weather integration required first solving a location problem: the Pizza and Bakery datasets do not both have a known location. Merging weather data onto a dataset without a real, known location would fabricate a correlation rather than find one, since the same date can have very different weather in different places.</w:t>
      </w:r>
    </w:p>
    <w:p>
      <w:pPr>
        <w:spacing w:after="120"/>
      </w:pPr>
      <w:r>
        <w:t xml:space="preserve">Bakery Sales is confirmed to be a single real bakery in Edinburgh, Scotland, so real historical daily weather (temperature, precipitation) was retrieved for Edinburgh via the Open-Meteo historical archive API and merged in as a Prophet regressor for backtesting only, not for the live model — future weather is not knowable at prediction time, so it cannot safely be part of a live forecast without a separate forecast-weather integration.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600"/>
        <w:gridCol w:w="2600"/>
      </w:tblGrid>
      <w:tr>
        <w:tc>
          <w:tcPr>
            <w:tcW w:type="dxa" w:w="5600"/>
            <w:shd w:fill="2F5496" w:val="clear"/>
          </w:tcPr>
          <w:p>
            <w:r>
              <w:rPr>
                <w:b/>
                <w:bCs/>
                <w:color w:val="FFFFFF"/>
                <w:sz w:val="20"/>
                <w:szCs w:val="20"/>
              </w:rPr>
              <w:t xml:space="preserve">Result</w:t>
            </w:r>
          </w:p>
        </w:tc>
        <w:tc>
          <w:tcPr>
            <w:tcW w:type="dxa" w:w="2600"/>
            <w:shd w:fill="2F5496" w:val="clear"/>
          </w:tcPr>
          <w:p>
            <w:r>
              <w:rPr>
                <w:b/>
                <w:bCs/>
                <w:color w:val="FFFFFF"/>
                <w:sz w:val="20"/>
                <w:szCs w:val="20"/>
              </w:rPr>
              <w:t xml:space="preserve">Count</w:t>
            </w:r>
          </w:p>
        </w:tc>
      </w:tr>
      <w:tr>
        <w:tc>
          <w:tcPr>
            <w:tcW w:type="dxa" w:w="5600"/>
          </w:tcPr>
          <w:p>
            <w:r>
              <w:rPr>
                <w:sz w:val="20"/>
                <w:szCs w:val="20"/>
              </w:rPr>
              <w:t xml:space="preserve">Items where weather improved MAE</w:t>
            </w:r>
          </w:p>
        </w:tc>
        <w:tc>
          <w:tcPr>
            <w:tcW w:type="dxa" w:w="2600"/>
          </w:tcPr>
          <w:p>
            <w:r>
              <w:rPr>
                <w:sz w:val="20"/>
                <w:szCs w:val="20"/>
              </w:rPr>
              <w:t xml:space="preserve">8 of 15</w:t>
            </w:r>
          </w:p>
        </w:tc>
      </w:tr>
      <w:tr>
        <w:tc>
          <w:tcPr>
            <w:tcW w:type="dxa" w:w="5600"/>
            <w:shd w:fill="F2F2F2" w:val="clear"/>
          </w:tcPr>
          <w:p>
            <w:r>
              <w:rPr>
                <w:sz w:val="20"/>
                <w:szCs w:val="20"/>
              </w:rPr>
              <w:t xml:space="preserve">Items where weather worsened MAE</w:t>
            </w:r>
          </w:p>
        </w:tc>
        <w:tc>
          <w:tcPr>
            <w:tcW w:type="dxa" w:w="2600"/>
            <w:shd w:fill="F2F2F2" w:val="clear"/>
          </w:tcPr>
          <w:p>
            <w:r>
              <w:rPr>
                <w:sz w:val="20"/>
                <w:szCs w:val="20"/>
              </w:rPr>
              <w:t xml:space="preserve">7 of 15</w:t>
            </w:r>
          </w:p>
        </w:tc>
      </w:tr>
      <w:tr>
        <w:tc>
          <w:tcPr>
            <w:tcW w:type="dxa" w:w="5600"/>
          </w:tcPr>
          <w:p>
            <w:r>
              <w:rPr>
                <w:sz w:val="20"/>
                <w:szCs w:val="20"/>
              </w:rPr>
              <w:t xml:space="preserve">Median change in MAE</w:t>
            </w:r>
          </w:p>
        </w:tc>
        <w:tc>
          <w:tcPr>
            <w:tcW w:type="dxa" w:w="2600"/>
          </w:tcPr>
          <w:p>
            <w:r>
              <w:rPr>
                <w:sz w:val="20"/>
                <w:szCs w:val="20"/>
              </w:rPr>
              <w:t xml:space="preserve">&lt; 0.02</w:t>
            </w:r>
          </w:p>
        </w:tc>
      </w:tr>
    </w:tbl>
    <w:p>
      <w:pPr>
        <w:spacing w:after="120"/>
      </w:pPr>
      <w:r>
        <w:t xml:space="preserve">Conclusion: weather shows no consistent, meaningful effect on this dataset (roughly even split, mostly negligible magnitude). Weather is excluded from the production model. This is reported as a tested negative result with evidence, not an assumption or an omission.</w:t>
      </w:r>
    </w:p>
    <w:p>
      <w:pPr>
        <w:pStyle w:val="Heading1"/>
        <w:spacing w:after="150" w:before="300"/>
      </w:pPr>
      <w:r>
        <w:t xml:space="preserve">9. Cold-Start Strategy (Design for Production)</w:t>
      </w:r>
    </w:p>
    <w:p>
      <w:pPr>
        <w:spacing w:after="120"/>
      </w:pPr>
      <w:r>
        <w:t xml:space="preserve">Pizza and Bakery are demo datasets used to validate the methodology. A real shop launching on the platform starts with zero order history, which the SRS (§6, Reliability) already commits to handling gracefully rather than failing outright. The forecasting service is designed around three tiers, selected automatically per (shop, item) based on how much real data has accumulated:</w:t>
      </w:r>
    </w:p>
    <w:p>
      <w:pPr>
        <w:pStyle w:val="ListParagraph"/>
        <w:numPr>
          <w:ilvl w:val="0"/>
          <w:numId w:val="1"/>
        </w:numPr>
        <w:spacing w:after="60"/>
      </w:pPr>
      <w:r>
        <w:t xml:space="preserve">Tier 1 — Per-item Prophet model: once an item has &gt;= 60 days of history and &gt;= 0.5 average daily units sold (the same thresholds validated in Section 5).</w:t>
      </w:r>
    </w:p>
    <w:p>
      <w:pPr>
        <w:pStyle w:val="ListParagraph"/>
        <w:numPr>
          <w:ilvl w:val="0"/>
          <w:numId w:val="1"/>
        </w:numPr>
        <w:spacing w:after="60"/>
      </w:pPr>
      <w:r>
        <w:t xml:space="preserve">Tier 2 — Moving average: once an item has some history but not enough for a reliable seasonal model.</w:t>
      </w:r>
    </w:p>
    <w:p>
      <w:pPr>
        <w:pStyle w:val="ListParagraph"/>
        <w:numPr>
          <w:ilvl w:val="0"/>
          <w:numId w:val="1"/>
        </w:numPr>
        <w:spacing w:after="60"/>
      </w:pPr>
      <w:r>
        <w:t xml:space="preserve">Tier 3 — Category or platform-wide popularity ranking: brand-new items with no history at all, using the same popularity logic already planned for new-customer recommendations.</w:t>
      </w:r>
    </w:p>
    <w:p>
      <w:pPr>
        <w:spacing w:after="120"/>
      </w:pPr>
      <w:r>
        <w:t xml:space="preserve">Every prediction response includes a method field (prophet / moving_average_fallback / popularity_fallback) so the shop owner's dashboard can be transparent about confidence, consistent with the Project Proposal's stated goal of explainable, non-black-box "AI" features.</w:t>
      </w:r>
    </w:p>
    <w:p>
      <w:pPr>
        <w:pStyle w:val="Heading1"/>
        <w:spacing w:after="150" w:before="300"/>
      </w:pPr>
      <w:r>
        <w:t xml:space="preserve">10. Deployment Readiness</w:t>
      </w:r>
    </w:p>
    <w:p>
      <w:pPr>
        <w:spacing w:after="120"/>
      </w:pPr>
      <w:r>
        <w:t xml:space="preserve">Current status and what remains before this is production-ready: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00"/>
      </w:tblGrid>
      <w:tr>
        <w:tc>
          <w:tcPr>
            <w:tcW w:type="dxa" w:w="2600"/>
            <w:shd w:fill="2F5496" w:val="clear"/>
          </w:tcPr>
          <w:p>
            <w:r>
              <w:rPr>
                <w:b/>
                <w:bCs/>
                <w:color w:val="FFFFFF"/>
                <w:sz w:val="20"/>
                <w:szCs w:val="20"/>
              </w:rPr>
              <w:t xml:space="preserve">Area</w:t>
            </w:r>
          </w:p>
        </w:tc>
        <w:tc>
          <w:tcPr>
            <w:tcW w:type="dxa" w:w="2600"/>
            <w:shd w:fill="2F5496" w:val="clear"/>
          </w:tcPr>
          <w:p>
            <w:r>
              <w:rPr>
                <w:b/>
                <w:bCs/>
                <w:color w:val="FFFFFF"/>
                <w:sz w:val="20"/>
                <w:szCs w:val="20"/>
              </w:rPr>
              <w:t xml:space="preserve">Status</w:t>
            </w:r>
          </w:p>
        </w:tc>
        <w:tc>
          <w:tcPr>
            <w:tcW w:type="dxa" w:w="4400"/>
            <w:shd w:fill="2F5496" w:val="clear"/>
          </w:tcPr>
          <w:p>
            <w:r>
              <w:rPr>
                <w:b/>
                <w:bCs/>
                <w:color w:val="FFFFFF"/>
                <w:sz w:val="20"/>
                <w:szCs w:val="20"/>
              </w:rPr>
              <w:t xml:space="preserve">Notes</w:t>
            </w:r>
          </w:p>
        </w:tc>
      </w:tr>
      <w:tr>
        <w:tc>
          <w:tcPr>
            <w:tcW w:type="dxa" w:w="2600"/>
          </w:tcPr>
          <w:p>
            <w:r>
              <w:rPr>
                <w:sz w:val="20"/>
                <w:szCs w:val="20"/>
              </w:rPr>
              <w:t xml:space="preserve">Pipeline correctness</w:t>
            </w:r>
          </w:p>
        </w:tc>
        <w:tc>
          <w:tcPr>
            <w:tcW w:type="dxa" w:w="2600"/>
          </w:tcPr>
          <w:p>
            <w:r>
              <w:rPr>
                <w:sz w:val="20"/>
                <w:szCs w:val="20"/>
              </w:rPr>
              <w:t xml:space="preserve">Done</w:t>
            </w:r>
          </w:p>
        </w:tc>
        <w:tc>
          <w:tcPr>
            <w:tcW w:type="dxa" w:w="4400"/>
          </w:tcPr>
          <w:p>
            <w:r>
              <w:rPr>
                <w:sz w:val="20"/>
                <w:szCs w:val="20"/>
              </w:rPr>
              <w:t xml:space="preserve">12-step pipeline verified end-to-end with real HTTP requests</w:t>
            </w:r>
          </w:p>
        </w:tc>
      </w:tr>
      <w:tr>
        <w:tc>
          <w:tcPr>
            <w:tcW w:type="dxa" w:w="2600"/>
            <w:shd w:fill="F2F2F2" w:val="clear"/>
          </w:tcPr>
          <w:p>
            <w:r>
              <w:rPr>
                <w:sz w:val="20"/>
                <w:szCs w:val="20"/>
              </w:rPr>
              <w:t xml:space="preserve">Data quality handling</w:t>
            </w:r>
          </w:p>
        </w:tc>
        <w:tc>
          <w:tcPr>
            <w:tcW w:type="dxa" w:w="2600"/>
            <w:shd w:fill="F2F2F2" w:val="clear"/>
          </w:tcPr>
          <w:p>
            <w:r>
              <w:rPr>
                <w:sz w:val="20"/>
                <w:szCs w:val="20"/>
              </w:rPr>
              <w:t xml:space="preserve">Done</w:t>
            </w:r>
          </w:p>
        </w:tc>
        <w:tc>
          <w:tcPr>
            <w:tcW w:type="dxa" w:w="4400"/>
            <w:shd w:fill="F2F2F2" w:val="clear"/>
          </w:tcPr>
          <w:p>
            <w:r>
              <w:rPr>
                <w:sz w:val="20"/>
                <w:szCs w:val="20"/>
              </w:rPr>
              <w:t xml:space="preserve">Dedup bugs fixed and documented; junk items excluded</w:t>
            </w:r>
          </w:p>
        </w:tc>
      </w:tr>
      <w:tr>
        <w:tc>
          <w:tcPr>
            <w:tcW w:type="dxa" w:w="2600"/>
          </w:tcPr>
          <w:p>
            <w:r>
              <w:rPr>
                <w:sz w:val="20"/>
                <w:szCs w:val="20"/>
              </w:rPr>
              <w:t xml:space="preserve">Model evaluation</w:t>
            </w:r>
          </w:p>
        </w:tc>
        <w:tc>
          <w:tcPr>
            <w:tcW w:type="dxa" w:w="2600"/>
          </w:tcPr>
          <w:p>
            <w:r>
              <w:rPr>
                <w:sz w:val="20"/>
                <w:szCs w:val="20"/>
              </w:rPr>
              <w:t xml:space="preserve">Done</w:t>
            </w:r>
          </w:p>
        </w:tc>
        <w:tc>
          <w:tcPr>
            <w:tcW w:type="dxa" w:w="4400"/>
          </w:tcPr>
          <w:p>
            <w:r>
              <w:rPr>
                <w:sz w:val="20"/>
                <w:szCs w:val="20"/>
              </w:rPr>
              <w:t xml:space="preserve">MAE/MAPE computed per item; filtering decision evidenced</w:t>
            </w:r>
          </w:p>
        </w:tc>
      </w:tr>
      <w:tr>
        <w:tc>
          <w:tcPr>
            <w:tcW w:type="dxa" w:w="2600"/>
            <w:shd w:fill="F2F2F2" w:val="clear"/>
          </w:tcPr>
          <w:p>
            <w:r>
              <w:rPr>
                <w:sz w:val="20"/>
                <w:szCs w:val="20"/>
              </w:rPr>
              <w:t xml:space="preserve">Fallback for sparse items</w:t>
            </w:r>
          </w:p>
        </w:tc>
        <w:tc>
          <w:tcPr>
            <w:tcW w:type="dxa" w:w="2600"/>
            <w:shd w:fill="F2F2F2" w:val="clear"/>
          </w:tcPr>
          <w:p>
            <w:r>
              <w:rPr>
                <w:sz w:val="20"/>
                <w:szCs w:val="20"/>
              </w:rPr>
              <w:t xml:space="preserve">Done</w:t>
            </w:r>
          </w:p>
        </w:tc>
        <w:tc>
          <w:tcPr>
            <w:tcW w:type="dxa" w:w="4400"/>
            <w:shd w:fill="F2F2F2" w:val="clear"/>
          </w:tcPr>
          <w:p>
            <w:r>
              <w:rPr>
                <w:sz w:val="20"/>
                <w:szCs w:val="20"/>
              </w:rPr>
              <w:t xml:space="preserve">Moving-average fallback implemented and tested</w:t>
            </w:r>
          </w:p>
        </w:tc>
      </w:tr>
      <w:tr>
        <w:tc>
          <w:tcPr>
            <w:tcW w:type="dxa" w:w="2600"/>
          </w:tcPr>
          <w:p>
            <w:r>
              <w:rPr>
                <w:sz w:val="20"/>
                <w:szCs w:val="20"/>
              </w:rPr>
              <w:t xml:space="preserve">Cold-start for real shops</w:t>
            </w:r>
          </w:p>
        </w:tc>
        <w:tc>
          <w:tcPr>
            <w:tcW w:type="dxa" w:w="2600"/>
          </w:tcPr>
          <w:p>
            <w:r>
              <w:rPr>
                <w:sz w:val="20"/>
                <w:szCs w:val="20"/>
              </w:rPr>
              <w:t xml:space="preserve">Designed, not yet built against live data</w:t>
            </w:r>
          </w:p>
        </w:tc>
        <w:tc>
          <w:tcPr>
            <w:tcW w:type="dxa" w:w="4400"/>
          </w:tcPr>
          <w:p>
            <w:r>
              <w:rPr>
                <w:sz w:val="20"/>
                <w:szCs w:val="20"/>
              </w:rPr>
              <w:t xml:space="preserve">Tier 1-3 logic defined; needs a real per-shop orders table to run against</w:t>
            </w:r>
          </w:p>
        </w:tc>
      </w:tr>
      <w:tr>
        <w:tc>
          <w:tcPr>
            <w:tcW w:type="dxa" w:w="2600"/>
            <w:shd w:fill="F2F2F2" w:val="clear"/>
          </w:tcPr>
          <w:p>
            <w:r>
              <w:rPr>
                <w:sz w:val="20"/>
                <w:szCs w:val="20"/>
              </w:rPr>
              <w:t xml:space="preserve">Containerization</w:t>
            </w:r>
          </w:p>
        </w:tc>
        <w:tc>
          <w:tcPr>
            <w:tcW w:type="dxa" w:w="2600"/>
            <w:shd w:fill="F2F2F2" w:val="clear"/>
          </w:tcPr>
          <w:p>
            <w:r>
              <w:rPr>
                <w:sz w:val="20"/>
                <w:szCs w:val="20"/>
              </w:rPr>
              <w:t xml:space="preserve">Not started</w:t>
            </w:r>
          </w:p>
        </w:tc>
        <w:tc>
          <w:tcPr>
            <w:tcW w:type="dxa" w:w="4400"/>
            <w:shd w:fill="F2F2F2" w:val="clear"/>
          </w:tcPr>
          <w:p>
            <w:r>
              <w:rPr>
                <w:sz w:val="20"/>
                <w:szCs w:val="20"/>
              </w:rPr>
              <w:t xml:space="preserve">Needs a Dockerfile for the ml-service to match docker-compose.yml already in the repo</w:t>
            </w:r>
          </w:p>
        </w:tc>
      </w:tr>
      <w:tr>
        <w:tc>
          <w:tcPr>
            <w:tcW w:type="dxa" w:w="2600"/>
          </w:tcPr>
          <w:p>
            <w:r>
              <w:rPr>
                <w:sz w:val="20"/>
                <w:szCs w:val="20"/>
              </w:rPr>
              <w:t xml:space="preserve">Model versioning / metadata</w:t>
            </w:r>
          </w:p>
        </w:tc>
        <w:tc>
          <w:tcPr>
            <w:tcW w:type="dxa" w:w="2600"/>
          </w:tcPr>
          <w:p>
            <w:r>
              <w:rPr>
                <w:sz w:val="20"/>
                <w:szCs w:val="20"/>
              </w:rPr>
              <w:t xml:space="preserve">Not started</w:t>
            </w:r>
          </w:p>
        </w:tc>
        <w:tc>
          <w:tcPr>
            <w:tcW w:type="dxa" w:w="4400"/>
          </w:tcPr>
          <w:p>
            <w:r>
              <w:rPr>
                <w:sz w:val="20"/>
                <w:szCs w:val="20"/>
              </w:rPr>
              <w:t xml:space="preserve">No record of training date, data version, or metrics alongside each .joblib file</w:t>
            </w:r>
          </w:p>
        </w:tc>
      </w:tr>
      <w:tr>
        <w:tc>
          <w:tcPr>
            <w:tcW w:type="dxa" w:w="2600"/>
            <w:shd w:fill="F2F2F2" w:val="clear"/>
          </w:tcPr>
          <w:p>
            <w:r>
              <w:rPr>
                <w:sz w:val="20"/>
                <w:szCs w:val="20"/>
              </w:rPr>
              <w:t xml:space="preserve">Scheduled retraining</w:t>
            </w:r>
          </w:p>
        </w:tc>
        <w:tc>
          <w:tcPr>
            <w:tcW w:type="dxa" w:w="2600"/>
            <w:shd w:fill="F2F2F2" w:val="clear"/>
          </w:tcPr>
          <w:p>
            <w:r>
              <w:rPr>
                <w:sz w:val="20"/>
                <w:szCs w:val="20"/>
              </w:rPr>
              <w:t xml:space="preserve">Not started</w:t>
            </w:r>
          </w:p>
        </w:tc>
        <w:tc>
          <w:tcPr>
            <w:tcW w:type="dxa" w:w="4400"/>
            <w:shd w:fill="F2F2F2" w:val="clear"/>
          </w:tcPr>
          <w:p>
            <w:r>
              <w:rPr>
                <w:sz w:val="20"/>
                <w:szCs w:val="20"/>
              </w:rPr>
              <w:t xml:space="preserve">No job to re-run Steps 5-8 as new shop data accumulates</w:t>
            </w:r>
          </w:p>
        </w:tc>
      </w:tr>
      <w:tr>
        <w:tc>
          <w:tcPr>
            <w:tcW w:type="dxa" w:w="2600"/>
          </w:tcPr>
          <w:p>
            <w:r>
              <w:rPr>
                <w:sz w:val="20"/>
                <w:szCs w:val="20"/>
              </w:rPr>
              <w:t xml:space="preserve">Input validation on API</w:t>
            </w:r>
          </w:p>
        </w:tc>
        <w:tc>
          <w:tcPr>
            <w:tcW w:type="dxa" w:w="2600"/>
          </w:tcPr>
          <w:p>
            <w:r>
              <w:rPr>
                <w:sz w:val="20"/>
                <w:szCs w:val="20"/>
              </w:rPr>
              <w:t xml:space="preserve">Partial</w:t>
            </w:r>
          </w:p>
        </w:tc>
        <w:tc>
          <w:tcPr>
            <w:tcW w:type="dxa" w:w="4400"/>
          </w:tcPr>
          <w:p>
            <w:r>
              <w:rPr>
                <w:sz w:val="20"/>
                <w:szCs w:val="20"/>
              </w:rPr>
              <w:t xml:space="preserve">/forecast validates item existence via file lookup; needs shop_id scoping once multi-tenant</w:t>
            </w:r>
          </w:p>
        </w:tc>
      </w:tr>
      <w:tr>
        <w:tc>
          <w:tcPr>
            <w:tcW w:type="dxa" w:w="2600"/>
            <w:shd w:fill="F2F2F2" w:val="clear"/>
          </w:tcPr>
          <w:p>
            <w:r>
              <w:rPr>
                <w:sz w:val="20"/>
                <w:szCs w:val="20"/>
              </w:rPr>
              <w:t xml:space="preserve">Monitoring/logging</w:t>
            </w:r>
          </w:p>
        </w:tc>
        <w:tc>
          <w:tcPr>
            <w:tcW w:type="dxa" w:w="2600"/>
            <w:shd w:fill="F2F2F2" w:val="clear"/>
          </w:tcPr>
          <w:p>
            <w:r>
              <w:rPr>
                <w:sz w:val="20"/>
                <w:szCs w:val="20"/>
              </w:rPr>
              <w:t xml:space="preserve">Not started</w:t>
            </w:r>
          </w:p>
        </w:tc>
        <w:tc>
          <w:tcPr>
            <w:tcW w:type="dxa" w:w="4400"/>
            <w:shd w:fill="F2F2F2" w:val="clear"/>
          </w:tcPr>
          <w:p>
            <w:r>
              <w:rPr>
                <w:sz w:val="20"/>
                <w:szCs w:val="20"/>
              </w:rPr>
              <w:t xml:space="preserve">No structured logging of prediction requests or model drift</w:t>
            </w:r>
          </w:p>
        </w:tc>
      </w:tr>
    </w:tbl>
    <w:p>
      <w:pPr>
        <w:pStyle w:val="Heading1"/>
        <w:spacing w:after="150" w:before="300"/>
      </w:pPr>
      <w:r>
        <w:t xml:space="preserve">11. Conclusion</w:t>
      </w:r>
    </w:p>
    <w:p>
      <w:pPr>
        <w:spacing w:after="120"/>
      </w:pPr>
      <w:r>
        <w:t xml:space="preserve">The sales-forecasting pipeline is functionally complete and independently verified at every stage, with two real debugging stories, a defensible and evidenced filtering methodology, and honestly-reported negative results for weather and (inconclusive) holiday integration. The remaining work before production deployment is primarily infrastructure — containerization, model versioning, and wiring the cold-start tiers to real per-shop order data — rather than further modeling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2026-08-01T12:48:30.605Z</dcterms:created>
  <dcterms:modified xsi:type="dcterms:W3CDTF">2026-08-01T12:48:30.618Z</dcterms:modified>
</cp:coreProperties>
</file>

<file path=docProps/custom.xml><?xml version="1.0" encoding="utf-8"?>
<Properties xmlns="http://schemas.openxmlformats.org/officeDocument/2006/custom-properties" xmlns:vt="http://schemas.openxmlformats.org/officeDocument/2006/docPropsVTypes"/>
</file>