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Leave</w:t>
      </w:r>
    </w:p>
    <w:p>
      <w:r>
        <w:t>Full-time employees receive 25 days of paid annual leave per calendar year.</w:t>
      </w:r>
    </w:p>
    <w:p>
      <w:pPr>
        <w:pStyle w:val="Heading1"/>
      </w:pPr>
      <w:r>
        <w:t>Parental Leave</w:t>
      </w:r>
    </w:p>
    <w:p>
      <w:r>
        <w:t>Parental leave is 26 weeks of fully paid leave for each parent.</w:t>
      </w:r>
    </w:p>
    <w:p>
      <w:pPr>
        <w:pStyle w:val="Heading2"/>
      </w:pPr>
      <w:r>
        <w:t>Carry-over</w:t>
      </w:r>
    </w:p>
    <w:p>
      <w:r>
        <w:t>Up to five unused days may be carried into the next year.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Grade</w:t>
            </w:r>
          </w:p>
        </w:tc>
        <w:tc>
          <w:tcPr>
            <w:tcW w:type="dxa" w:w="4320"/>
          </w:tcPr>
          <w:p>
            <w:r>
              <w:t>Annual Days</w:t>
            </w:r>
          </w:p>
        </w:tc>
      </w:tr>
      <w:tr>
        <w:tc>
          <w:tcPr>
            <w:tcW w:type="dxa" w:w="4320"/>
          </w:tcPr>
          <w:p>
            <w:r>
              <w:t>Senior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Junior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