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SERVICES AND DATA PROCESSING AGREEMENT</w:t>
      </w:r>
    </w:p>
    <w:p>
      <w:pPr>
        <w:jc w:val="center"/>
      </w:pPr>
      <w:r>
        <w:rPr>
          <w:i/>
          <w:sz w:val="20"/>
        </w:rPr>
        <w:t>Synthetic Test Document — Created for Legal AI Analysis</w:t>
      </w:r>
    </w:p>
    <w:p>
      <w:r>
        <w:t>This fictional agreement is intentionally populated with dates, payment obligations, renewal mechanics, termination rights, confidentiality duties, indemnities, liability limits, data-processing obligations, notice periods, and other conditions so that a legal-document analysis system can be tested against realistic contractual content.</w:t>
      </w:r>
    </w:p>
    <w:p>
      <w:pPr>
        <w:pStyle w:val="Heading1"/>
      </w:pPr>
      <w:r>
        <w:t>1. Parties</w:t>
      </w:r>
    </w:p>
    <w:p>
      <w:r>
        <w:t>This Software Services and Data Processing Agreement (the “Agreement”) is entered into as of January 15, 2026 (the “Effective Date”) by and between:</w:t>
      </w:r>
    </w:p>
    <w:p>
      <w:r>
        <w:t>Northstar Analytics Private Limited, a company incorporated under the laws of India, having its principal office at 14 Orion Business Park, Bengaluru, Karnataka 560103 (“Customer”); and</w:t>
      </w:r>
    </w:p>
    <w:p>
      <w:r>
        <w:t>BluePeak Systems Ltd., a company incorporated under the laws of England and Wales, having its registered office at 88 Kingsway, London WC2B 6AA, United Kingdom (“Provider”).</w:t>
      </w:r>
    </w:p>
    <w:p>
      <w:pPr>
        <w:pStyle w:val="Heading1"/>
      </w:pPr>
      <w:r>
        <w:t>2. Services</w:t>
      </w:r>
    </w:p>
    <w:p>
      <w:r>
        <w:t>Provider shall provide Customer with a cloud-hosted document intelligence platform, API access, technical support, system monitoring, and data-processing services (collectively, the “Services”). Provider shall maintain commercially reasonable availability and shall use reasonable efforts to resolve Severity 1 incidents within four (4) hours after receipt of notice.</w:t>
      </w:r>
    </w:p>
    <w:p>
      <w:r>
        <w:t>The initial implementation and onboarding period shall begin on January 20, 2026 and shall be completed no later than February 28, 2026, subject to Customer providing all required credentials and source data by January 25, 2026.</w:t>
      </w:r>
    </w:p>
    <w:p>
      <w:pPr>
        <w:pStyle w:val="Heading1"/>
      </w:pPr>
      <w:r>
        <w:t>3. Fees and Payment</w:t>
      </w:r>
    </w:p>
    <w:p>
      <w:r>
        <w:t>Customer shall pay Provider a recurring subscription fee of USD 12,000 per month, exclusive of applicable taxes. The first invoice shall be issued on January 20, 2026 and is due within thirty (30) calendar days of the invoice date.</w:t>
      </w:r>
    </w:p>
    <w:p>
      <w:r>
        <w:t>Any undisputed invoice not paid within ten (10) calendar days after its due date shall accrue interest at the rate of 1.5% per month or the maximum lawful rate, whichever is lower.</w:t>
      </w:r>
    </w:p>
    <w:p>
      <w:r>
        <w:t>Provider may suspend non-critical Services if an undisputed amount remains unpaid for fifteen (15) days after Provider gives written notice of the overdue amount.</w:t>
      </w:r>
    </w:p>
    <w:p>
      <w:pPr>
        <w:pStyle w:val="Heading1"/>
      </w:pPr>
      <w:r>
        <w:t>4. Term and Automatic Renewal</w:t>
      </w:r>
    </w:p>
    <w:p>
      <w:r>
        <w:t>The initial term shall commence on the Effective Date and continue for twelve (12) months, ending at 11:59 p.m. UTC on January 14, 2027.</w:t>
      </w:r>
    </w:p>
    <w:p>
      <w:r>
        <w:t>Unless either party provides written non-renewal notice at least sixty (60) days before the end of the then-current term, this Agreement shall automatically renew for successive twelve (12)-month periods.</w:t>
      </w:r>
    </w:p>
    <w:p>
      <w:r>
        <w:t>For avoidance of doubt, notice received on or after November 16, 2026 shall not prevent renewal of the initial term.</w:t>
      </w:r>
    </w:p>
    <w:p>
      <w:pPr>
        <w:pStyle w:val="Heading1"/>
      </w:pPr>
      <w:r>
        <w:t>5. Customer Responsibilities</w:t>
      </w:r>
    </w:p>
    <w:p>
      <w:pPr>
        <w:pStyle w:val="ListBullet"/>
      </w:pPr>
      <w:r>
        <w:t>Customer shall provide accurate source data and shall ensure that it has all rights and permissions necessary for Provider to process such data.</w:t>
      </w:r>
    </w:p>
    <w:p>
      <w:pPr>
        <w:pStyle w:val="ListBullet"/>
      </w:pPr>
      <w:r>
        <w:t>Customer shall designate a technical contact and a security contact by January 22, 2026.</w:t>
      </w:r>
    </w:p>
    <w:p>
      <w:pPr>
        <w:pStyle w:val="ListBullet"/>
      </w:pPr>
      <w:r>
        <w:t>Customer shall review and approve production configuration no later than February 20, 2026.</w:t>
      </w:r>
    </w:p>
    <w:p>
      <w:pPr>
        <w:pStyle w:val="ListBullet"/>
      </w:pPr>
      <w:r>
        <w:t>Customer shall promptly notify Provider of any suspected unauthorized access, data corruption, or security incident.</w:t>
      </w:r>
    </w:p>
    <w:p>
      <w:pPr>
        <w:pStyle w:val="Heading1"/>
      </w:pPr>
      <w:r>
        <w:t>6. Confidentiality</w:t>
      </w:r>
    </w:p>
    <w:p>
      <w:r>
        <w:t>Each party shall protect the other party’s Confidential Information using at least the same degree of care it uses to protect its own confidential information of similar importance, and in no event less than reasonable care.</w:t>
      </w:r>
    </w:p>
    <w:p>
      <w:r>
        <w:t>Confidential Information shall not be disclosed to any third party except to employees, professional advisers, contractors, or subprocessors who have a need to know and are bound by confidentiality obligations no less protective than those contained herein.</w:t>
      </w:r>
    </w:p>
    <w:p>
      <w:r>
        <w:t>The confidentiality obligations shall continue for five (5) years following termination or expiration of this Agreement; however, trade secrets shall remain protected for so long as they qualify as trade secrets under applicable law.</w:t>
      </w:r>
    </w:p>
    <w:p>
      <w:pPr>
        <w:pStyle w:val="Heading1"/>
      </w:pPr>
      <w:r>
        <w:t>7. Data Protection and Security</w:t>
      </w:r>
    </w:p>
    <w:p>
      <w:r>
        <w:t>Provider shall process Customer Data only to provide, secure, maintain, and improve the Services as expressly permitted by this Agreement. Provider shall not sell Customer Data or use Customer Data for targeted advertising.</w:t>
      </w:r>
    </w:p>
    <w:p>
      <w:r>
        <w:t>Provider shall maintain reasonable administrative, technical, and physical safeguards, including access controls, encryption in transit, encryption at rest where supported by the relevant service, vulnerability management, and logging of privileged access.</w:t>
      </w:r>
    </w:p>
    <w:p>
      <w:r>
        <w:t>Provider shall notify Customer without undue delay and, where reasonably practicable, within twenty-four (24) hours after confirming a Security Incident affecting Customer Data.</w:t>
      </w:r>
    </w:p>
    <w:p>
      <w:r>
        <w:t>Provider shall retain Customer Data for the duration of the Agreement and for up to thirty (30) days after termination solely to complete deletion and recovery procedures, after which Customer Data shall be deleted or returned, unless retention is required by law.</w:t>
      </w:r>
    </w:p>
    <w:p>
      <w:pPr>
        <w:pStyle w:val="Heading1"/>
      </w:pPr>
      <w:r>
        <w:t>8. Subprocessors</w:t>
      </w:r>
    </w:p>
    <w:p>
      <w:r>
        <w:t>Provider may use subprocessors listed in its current subprocessor register. Provider shall give Customer at least thirty (30) days’ prior notice before appointing a new subprocessor that will materially process Customer Data. Customer may object on reasonable data-protection grounds within ten (10) days after receiving notice.</w:t>
      </w:r>
    </w:p>
    <w:p>
      <w:pPr>
        <w:pStyle w:val="Heading1"/>
      </w:pPr>
      <w:r>
        <w:t>9. Intellectual Property</w:t>
      </w:r>
    </w:p>
    <w:p>
      <w:r>
        <w:t>Provider retains all right, title, and interest in the Services, software, documentation, templates, models, algorithms, and pre-existing materials. Customer retains all right, title, and interest in Customer Data.</w:t>
      </w:r>
    </w:p>
    <w:p>
      <w:r>
        <w:t>Subject to Customer’s payment obligations, Provider grants Customer a non-exclusive, non-transferable license during the Term to use the Services for Customer’s internal business purposes.</w:t>
      </w:r>
    </w:p>
    <w:p>
      <w:r>
        <w:t>Provider may use aggregated and de-identified usage statistics for service improvement, provided such statistics do not identify Customer or any individual.</w:t>
      </w:r>
    </w:p>
    <w:p>
      <w:pPr>
        <w:pStyle w:val="Heading1"/>
      </w:pPr>
      <w:r>
        <w:t>10. Warranties</w:t>
      </w:r>
    </w:p>
    <w:p>
      <w:r>
        <w:t>Provider warrants that the Services will materially conform to the applicable documentation during the Term. Customer’s exclusive remedy for a material warranty breach shall be for Provider to re-perform the affected Services or, if re-performance is commercially unreasonable, refund the fees paid for the affected Services for the period of non-conformity.</w:t>
      </w:r>
    </w:p>
    <w:p>
      <w:r>
        <w:t>Except as expressly stated in this Agreement, the Services are provided without warranties of uninterrupted operation, error-free operation, or fitness for a particular purpose.</w:t>
      </w:r>
    </w:p>
    <w:p>
      <w:pPr>
        <w:pStyle w:val="Heading1"/>
      </w:pPr>
      <w:r>
        <w:t>11. Indemnification</w:t>
      </w:r>
    </w:p>
    <w:p>
      <w:r>
        <w:t>Provider shall defend Customer against a third-party claim alleging that the Services, when used as permitted under this Agreement, infringe a third party’s intellectual property rights, and shall pay damages finally awarded or settlements approved in writing by Provider.</w:t>
      </w:r>
    </w:p>
    <w:p>
      <w:r>
        <w:t>Customer shall defend Provider against a third-party claim arising from Customer Data, Customer’s unlawful use of the Services, or Customer’s violation of a third party’s rights, and shall pay damages finally awarded or settlements approved in writing by Customer.</w:t>
      </w:r>
    </w:p>
    <w:p>
      <w:r>
        <w:t>The indemnified party shall promptly provide written notice, reasonable cooperation, and control of the defense to the indemnifying party, provided that no settlement may impose an admission of liability or non-monetary obligation on the indemnified party without its prior written consent.</w:t>
      </w:r>
    </w:p>
    <w:p>
      <w:pPr>
        <w:pStyle w:val="Heading1"/>
      </w:pPr>
      <w:r>
        <w:t>12. Limitation of Liability</w:t>
      </w:r>
    </w:p>
    <w:p>
      <w:r>
        <w:t>Except for Excluded Claims, each party’s aggregate liability arising out of or relating to this Agreement shall not exceed the fees actually paid or payable by Customer to Provider during the twelve (12) months immediately preceding the event giving rise to the claim.</w:t>
      </w:r>
    </w:p>
    <w:p>
      <w:r>
        <w:t>Neither party shall be liable for indirect, incidental, special, consequential, exemplary, or punitive damages, or for lost profits, lost revenue, or loss of business opportunity, whether arising in contract, tort, or otherwise.</w:t>
      </w:r>
    </w:p>
    <w:p>
      <w:r>
        <w:t>“Excluded Claims” means: (a) Customer’s payment obligations; (b) either party’s fraud or willful misconduct; (c) infringement or misappropriation of the other party’s intellectual property; and (d) a party’s breach of its confidentiality obligations.</w:t>
      </w:r>
    </w:p>
    <w:p>
      <w:pPr>
        <w:pStyle w:val="Heading1"/>
      </w:pPr>
      <w:r>
        <w:t>13. Termination</w:t>
      </w:r>
    </w:p>
    <w:p>
      <w:r>
        <w:t>Either party may terminate this Agreement for material breach if the breaching party fails to cure such breach within thirty (30) days after receiving written notice describing the breach.</w:t>
      </w:r>
    </w:p>
    <w:p>
      <w:r>
        <w:t>Either party may terminate immediately upon written notice if the other party becomes insolvent, enters liquidation, ceases substantially all business operations, or becomes subject to a proceeding that is not dismissed within sixty (60) days.</w:t>
      </w:r>
    </w:p>
    <w:p>
      <w:r>
        <w:t>Customer may terminate for convenience after the first six (6) months by giving ninety (90) days’ prior written notice. Fees paid for the current billing month are non-refundable.</w:t>
      </w:r>
    </w:p>
    <w:p>
      <w:pPr>
        <w:pStyle w:val="Heading1"/>
      </w:pPr>
      <w:r>
        <w:t>14. Effect of Termination</w:t>
      </w:r>
    </w:p>
    <w:p>
      <w:r>
        <w:t>Upon termination or expiration, Customer shall cease using the Services and shall pay all undisputed amounts accrued through the effective termination date.</w:t>
      </w:r>
    </w:p>
    <w:p>
      <w:r>
        <w:t>Sections concerning confidentiality, intellectual property, accrued payment obligations, limitation of liability, indemnification, dispute resolution, and any provisions that by their nature should survive shall survive termination.</w:t>
      </w:r>
    </w:p>
    <w:p>
      <w:pPr>
        <w:pStyle w:val="Heading1"/>
      </w:pPr>
      <w:r>
        <w:t>15. Audit and Compliance</w:t>
      </w:r>
    </w:p>
    <w:p>
      <w:r>
        <w:t>Upon at least fifteen (15) business days’ written notice, Customer may once per calendar year request reasonable documentation demonstrating Provider’s compliance with the security obligations in this Agreement. An audit shall not unreasonably interfere with Provider’s operations or expose information concerning other customers.</w:t>
      </w:r>
    </w:p>
    <w:p>
      <w:pPr>
        <w:pStyle w:val="Heading1"/>
      </w:pPr>
      <w:r>
        <w:t>16. Notices</w:t>
      </w:r>
    </w:p>
    <w:p>
      <w:r>
        <w:t>Formal legal notices under this Agreement must be sent by recognized courier or email to the designated legal contacts of the parties. Email notice shall be deemed received on the next business day if sent before 5:00 p.m. recipient local time, and otherwise on the following business day.</w:t>
      </w:r>
    </w:p>
    <w:p>
      <w:pPr>
        <w:pStyle w:val="Heading1"/>
      </w:pPr>
      <w:r>
        <w:t>17. Governing Law and Dispute Resolution</w:t>
      </w:r>
    </w:p>
    <w:p>
      <w:r>
        <w:t>This Agreement shall be governed by the laws of England and Wales, without regard to conflict-of-law principles.</w:t>
      </w:r>
    </w:p>
    <w:p>
      <w:r>
        <w:t>The parties shall first attempt in good faith to resolve any dispute through executive-level discussions. If the dispute is not resolved within thirty (30) days after written escalation, it shall be finally resolved by arbitration seated in London, England, conducted in English, by one arbitrator appointed in accordance with the applicable arbitration rules agreed by the parties.</w:t>
      </w:r>
    </w:p>
    <w:p>
      <w:pPr>
        <w:pStyle w:val="Heading1"/>
      </w:pPr>
      <w:r>
        <w:t>18. Force Majeure</w:t>
      </w:r>
    </w:p>
    <w:p>
      <w:r>
        <w:t>Neither party shall be liable for delay or failure to perform caused by events beyond its reasonable control, including natural disasters, war, terrorism, widespread internet outages, government actions, or labor disruptions, provided that the affected party promptly notifies the other party and uses reasonable efforts to mitigate the impact.</w:t>
      </w:r>
    </w:p>
    <w:p>
      <w:pPr>
        <w:pStyle w:val="Heading1"/>
      </w:pPr>
      <w:r>
        <w:t>19. Assignment</w:t>
      </w:r>
    </w:p>
    <w:p>
      <w:r>
        <w:t>Neither party may assign this Agreement without the other party’s prior written consent, except that either party may assign the Agreement without consent to an affiliate or to a successor in connection with a merger, acquisition, corporate reorganization, or sale of substantially all of its assets, provided the assignee assumes all obligations.</w:t>
      </w:r>
    </w:p>
    <w:p>
      <w:pPr>
        <w:pStyle w:val="Heading1"/>
      </w:pPr>
      <w:r>
        <w:t>20. Entire Agreement and Amendments</w:t>
      </w:r>
    </w:p>
    <w:p>
      <w:r>
        <w:t>This Agreement, together with its incorporated schedules and written amendments, constitutes the entire agreement between the parties concerning its subject matter and supersedes prior discussions relating to that subject matter.</w:t>
      </w:r>
    </w:p>
    <w:p>
      <w:r>
        <w:t>Any amendment must be in writing and signed by authorized representatives of both parties.</w:t>
      </w:r>
    </w:p>
    <w:p>
      <w:pPr>
        <w:pStyle w:val="Heading1"/>
      </w:pPr>
      <w:r>
        <w:t>Schedule A — Critical Commercial and Operational Dates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Date / Deadline</w:t>
            </w:r>
          </w:p>
        </w:tc>
        <w:tc>
          <w:tcPr>
            <w:tcW w:type="dxa" w:w="3312"/>
          </w:tcPr>
          <w:p>
            <w:r>
              <w:t>Event</w:t>
            </w:r>
          </w:p>
        </w:tc>
        <w:tc>
          <w:tcPr>
            <w:tcW w:type="dxa" w:w="3312"/>
          </w:tcPr>
          <w:p>
            <w:r>
              <w:t>Contractual Significance</w:t>
            </w:r>
          </w:p>
        </w:tc>
      </w:tr>
      <w:tr>
        <w:tc>
          <w:tcPr>
            <w:tcW w:type="dxa" w:w="3312"/>
            <w:vAlign w:val="center"/>
          </w:tcPr>
          <w:p>
            <w:r>
              <w:t>January 15, 2026</w:t>
            </w:r>
          </w:p>
        </w:tc>
        <w:tc>
          <w:tcPr>
            <w:tcW w:type="dxa" w:w="3312"/>
            <w:vAlign w:val="center"/>
          </w:tcPr>
          <w:p>
            <w:r>
              <w:t>Effective Date</w:t>
            </w:r>
          </w:p>
        </w:tc>
        <w:tc>
          <w:tcPr>
            <w:tcW w:type="dxa" w:w="3312"/>
            <w:vAlign w:val="center"/>
          </w:tcPr>
          <w:p>
            <w:r>
              <w:t>Agreement begins</w:t>
            </w:r>
          </w:p>
        </w:tc>
      </w:tr>
      <w:tr>
        <w:tc>
          <w:tcPr>
            <w:tcW w:type="dxa" w:w="3312"/>
            <w:vAlign w:val="center"/>
          </w:tcPr>
          <w:p>
            <w:r>
              <w:t>January 20, 2026</w:t>
            </w:r>
          </w:p>
        </w:tc>
        <w:tc>
          <w:tcPr>
            <w:tcW w:type="dxa" w:w="3312"/>
            <w:vAlign w:val="center"/>
          </w:tcPr>
          <w:p>
            <w:r>
              <w:t>First invoice</w:t>
            </w:r>
          </w:p>
        </w:tc>
        <w:tc>
          <w:tcPr>
            <w:tcW w:type="dxa" w:w="3312"/>
            <w:vAlign w:val="center"/>
          </w:tcPr>
          <w:p>
            <w:r>
              <w:t>USD 12,000 invoice issued</w:t>
            </w:r>
          </w:p>
        </w:tc>
      </w:tr>
      <w:tr>
        <w:tc>
          <w:tcPr>
            <w:tcW w:type="dxa" w:w="3312"/>
            <w:vAlign w:val="center"/>
          </w:tcPr>
          <w:p>
            <w:r>
              <w:t>January 22, 2026</w:t>
            </w:r>
          </w:p>
        </w:tc>
        <w:tc>
          <w:tcPr>
            <w:tcW w:type="dxa" w:w="3312"/>
            <w:vAlign w:val="center"/>
          </w:tcPr>
          <w:p>
            <w:r>
              <w:t>Contacts designated</w:t>
            </w:r>
          </w:p>
        </w:tc>
        <w:tc>
          <w:tcPr>
            <w:tcW w:type="dxa" w:w="3312"/>
            <w:vAlign w:val="center"/>
          </w:tcPr>
          <w:p>
            <w:r>
              <w:t>Technical + security contacts due</w:t>
            </w:r>
          </w:p>
        </w:tc>
      </w:tr>
      <w:tr>
        <w:tc>
          <w:tcPr>
            <w:tcW w:type="dxa" w:w="3312"/>
            <w:vAlign w:val="center"/>
          </w:tcPr>
          <w:p>
            <w:r>
              <w:t>January 25, 2026</w:t>
            </w:r>
          </w:p>
        </w:tc>
        <w:tc>
          <w:tcPr>
            <w:tcW w:type="dxa" w:w="3312"/>
            <w:vAlign w:val="center"/>
          </w:tcPr>
          <w:p>
            <w:r>
              <w:t>Source data/credentials</w:t>
            </w:r>
          </w:p>
        </w:tc>
        <w:tc>
          <w:tcPr>
            <w:tcW w:type="dxa" w:w="3312"/>
            <w:vAlign w:val="center"/>
          </w:tcPr>
          <w:p>
            <w:r>
              <w:t>Customer dependency for implementation</w:t>
            </w:r>
          </w:p>
        </w:tc>
      </w:tr>
      <w:tr>
        <w:tc>
          <w:tcPr>
            <w:tcW w:type="dxa" w:w="3312"/>
            <w:vAlign w:val="center"/>
          </w:tcPr>
          <w:p>
            <w:r>
              <w:t>February 20, 2026</w:t>
            </w:r>
          </w:p>
        </w:tc>
        <w:tc>
          <w:tcPr>
            <w:tcW w:type="dxa" w:w="3312"/>
            <w:vAlign w:val="center"/>
          </w:tcPr>
          <w:p>
            <w:r>
              <w:t>Production approval</w:t>
            </w:r>
          </w:p>
        </w:tc>
        <w:tc>
          <w:tcPr>
            <w:tcW w:type="dxa" w:w="3312"/>
            <w:vAlign w:val="center"/>
          </w:tcPr>
          <w:p>
            <w:r>
              <w:t>Customer approval deadline</w:t>
            </w:r>
          </w:p>
        </w:tc>
      </w:tr>
      <w:tr>
        <w:tc>
          <w:tcPr>
            <w:tcW w:type="dxa" w:w="3312"/>
            <w:vAlign w:val="center"/>
          </w:tcPr>
          <w:p>
            <w:r>
              <w:t>February 28, 2026</w:t>
            </w:r>
          </w:p>
        </w:tc>
        <w:tc>
          <w:tcPr>
            <w:tcW w:type="dxa" w:w="3312"/>
            <w:vAlign w:val="center"/>
          </w:tcPr>
          <w:p>
            <w:r>
              <w:t>Implementation target</w:t>
            </w:r>
          </w:p>
        </w:tc>
        <w:tc>
          <w:tcPr>
            <w:tcW w:type="dxa" w:w="3312"/>
            <w:vAlign w:val="center"/>
          </w:tcPr>
          <w:p>
            <w:r>
              <w:t>Onboarding completion target</w:t>
            </w:r>
          </w:p>
        </w:tc>
      </w:tr>
      <w:tr>
        <w:tc>
          <w:tcPr>
            <w:tcW w:type="dxa" w:w="3312"/>
            <w:vAlign w:val="center"/>
          </w:tcPr>
          <w:p>
            <w:r>
              <w:t>November 15, 2026</w:t>
            </w:r>
          </w:p>
        </w:tc>
        <w:tc>
          <w:tcPr>
            <w:tcW w:type="dxa" w:w="3312"/>
            <w:vAlign w:val="center"/>
          </w:tcPr>
          <w:p>
            <w:r>
              <w:t>Non-renewal notice deadline</w:t>
            </w:r>
          </w:p>
        </w:tc>
        <w:tc>
          <w:tcPr>
            <w:tcW w:type="dxa" w:w="3312"/>
            <w:vAlign w:val="center"/>
          </w:tcPr>
          <w:p>
            <w:r>
              <w:t>Last date to prevent initial-term renewal</w:t>
            </w:r>
          </w:p>
        </w:tc>
      </w:tr>
      <w:tr>
        <w:tc>
          <w:tcPr>
            <w:tcW w:type="dxa" w:w="3312"/>
            <w:vAlign w:val="center"/>
          </w:tcPr>
          <w:p>
            <w:r>
              <w:t>January 14, 2027</w:t>
            </w:r>
          </w:p>
        </w:tc>
        <w:tc>
          <w:tcPr>
            <w:tcW w:type="dxa" w:w="3312"/>
            <w:vAlign w:val="center"/>
          </w:tcPr>
          <w:p>
            <w:r>
              <w:t>Initial term ends</w:t>
            </w:r>
          </w:p>
        </w:tc>
        <w:tc>
          <w:tcPr>
            <w:tcW w:type="dxa" w:w="3312"/>
            <w:vAlign w:val="center"/>
          </w:tcPr>
          <w:p>
            <w:r>
              <w:t>Agreement renews unless valid notice given</w:t>
            </w:r>
          </w:p>
        </w:tc>
      </w:tr>
    </w:tbl>
    <w:p>
      <w:pPr>
        <w:pStyle w:val="Heading1"/>
      </w:pPr>
      <w:r>
        <w:t>Schedule B — Deliberately Important Review Points</w:t>
      </w:r>
    </w:p>
    <w:p>
      <w:r>
        <w:t>For testing purposes, this document contains several provisions that a strong legal-analysis system should identify, including automatic renewal, notice windows, payment deadlines, interest, suspension rights, data-incident notification, data deletion timing, subprocessors, indemnification, liability caps and exclusions, termination rights, survival clauses, audit rights, governing law, arbitration, and force majeure.</w:t>
      </w:r>
    </w:p>
    <w:p>
      <w:pPr>
        <w:pStyle w:val="Heading1"/>
      </w:pPr>
      <w:r>
        <w:t>Signature</w:t>
      </w:r>
    </w:p>
    <w:p>
      <w:r>
        <w:t>For Northstar Analytics Private Limited</w:t>
      </w:r>
    </w:p>
    <w:p>
      <w:r>
        <w:t>Name: ______________________________</w:t>
      </w:r>
    </w:p>
    <w:p>
      <w:r>
        <w:t>Title: _______________________________</w:t>
      </w:r>
    </w:p>
    <w:p>
      <w:r>
        <w:t>Date: ________________________________</w:t>
      </w:r>
    </w:p>
    <w:p/>
    <w:p>
      <w:r>
        <w:t>For BluePeak Systems Ltd.</w:t>
      </w:r>
    </w:p>
    <w:p>
      <w:r>
        <w:t>Name: ______________________________</w:t>
      </w:r>
    </w:p>
    <w:p>
      <w:r>
        <w:t>Title: _______________________________</w:t>
      </w:r>
    </w:p>
    <w:p>
      <w:r>
        <w:t>Date: ________________________________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Synthetic legal test document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