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60"/>
        <w:jc w:val="center"/>
      </w:pPr>
      <w:r>
        <w:rPr>
          <w:b/>
          <w:bCs/>
          <w:sz w:val="56"/>
          <w:szCs w:val="56"/>
        </w:rPr>
        <w:t xml:space="preserve">Sepsis-EWS</w:t>
      </w:r>
    </w:p>
    <w:p>
      <w:pPr>
        <w:spacing w:after="400"/>
        <w:jc w:val="center"/>
      </w:pPr>
      <w:r>
        <w:rPr>
          <w:sz w:val="30"/>
          <w:szCs w:val="30"/>
        </w:rPr>
        <w:t xml:space="preserve">Real-Time, Explainable Sepsis Deterioration Early-Warning System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Product Documentation &amp; Pitch Suite</w:t>
      </w:r>
    </w:p>
    <w:p>
      <w:pPr>
        <w:jc w:val="center"/>
      </w:pPr>
      <w:r>
        <w:rPr>
          <w:sz w:val="20"/>
          <w:szCs w:val="20"/>
        </w:rPr>
        <w:t xml:space="preserve">Prepared for internal review, recruiter presentation, and strategic planning — October 2026</w:t>
      </w:r>
    </w:p>
    <w:p>
      <w:pPr>
        <w:spacing w:after="80" w:before="800"/>
        <w:jc w:val="center"/>
      </w:pPr>
      <w:r>
        <w:rPr>
          <w:b/>
          <w:bCs/>
          <w:color w:val="B00000"/>
          <w:sz w:val="20"/>
          <w:szCs w:val="20"/>
        </w:rPr>
        <w:t xml:space="preserve">IMPORTANT SCOPE NOTE</w:t>
      </w:r>
    </w:p>
    <w:p>
      <w:pPr>
        <w:jc w:val="center"/>
      </w:pPr>
      <w:r>
        <w:rPr>
          <w:i/>
          <w:iCs/>
          <w:sz w:val="18"/>
          <w:szCs w:val="18"/>
        </w:rPr>
        <w:t xml:space="preserve">Sections 1, 2, and 5 describe the system exactly as built and measured. Sections 3 and 4 are explicitly labeled strategy and roadmap — proposed go-to-market and scaling plans, not claims about current deployment, regulatory clearance, or clinical validation. This system has not been clinically validated, is not FDA-cleared, and has never processed real patient data. Full honest scope boundary: PRODUCTION_NOTES.md.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Executive Summary &amp; Real-World Problem Statement</w:t>
      </w:r>
    </w:p>
    <w:p>
      <w:pPr>
        <w:pStyle w:val="Heading2"/>
        <w:spacing w:after="120" w:before="260"/>
      </w:pPr>
      <w:r>
        <w:t xml:space="preserve">1.1 The Problem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</w:rPr>
        <w:t xml:space="preserve">Sepsis is a dysregulated, life-threatening host response to infection and is among the leading causes of death in hospitals worldwide. Global Burden of Disease estimates place sepsis-related mortality in the tens of millions annually, with a large share considered preventable given earlier recognition. The core clinical challenge is not a lack of data — ICU patients are already continuously monitored — but a lack of synthesis: a clinician managing multiple patients cannot continuously hold six-plus hours of multivariate vital-sign trends in working memory while also performing every other duty of a shift. Deterioration often presents as a slow, multivariate drift across several vitals simultaneously, rather than one dramatic single-variable spike, which makes it genuinely difficult for routine hourly spot-checks to catch early.</w:t>
      </w:r>
    </w:p>
    <w:p>
      <w:pPr>
        <w:pStyle w:val="Heading2"/>
        <w:spacing w:after="120" w:before="260"/>
      </w:pPr>
      <w:r>
        <w:t xml:space="preserve">1.2 Why Existing Approaches Fall Short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</w:rPr>
        <w:t xml:space="preserve">Two categories of existing tool dominate today. Rule-based composite scores (NEWS2, qSOFA, MEWS) are simple, transparent, and widely deployed, but use fixed thresholds that cannot capture nonlinear interactions between variables and are well-documented contributors to alarm fatigue — a problem serious enough that the Joint Commission has designated it a National Patient Safety Goal. Embedded EHR-vendor ML tools, most notably the Epic Sepsis Model, have achieved wide deployment but were shown in a 2021 external validation (Wong et al., JAMA Internal Medicine) to substantially underperform the vendor's reported metrics in real-world use — a cautionary, well-known case study in this exact space, and one this project treats as a direct lesson rather than an afterthought.</w:t>
      </w:r>
    </w:p>
    <w:p>
      <w:pPr>
        <w:pStyle w:val="Heading2"/>
        <w:spacing w:after="120" w:before="260"/>
      </w:pPr>
      <w:r>
        <w:t xml:space="preserve">1.3 What This Project Demonstrates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</w:rPr>
        <w:t xml:space="preserve">Sepsis-EWS is an engineering demonstration of the system discipline a real clinical deterioration-detection product requires: real-time streaming ingestion and validation, cost-sensitive multivariate classification, sub-50ms per-prediction explainability, a novel adaptive drift-detection mechanism (SWADT) addressing a specific, named gap in production drift-monitoring practice, and a serving layer with structurally enforced safety guardrails (no treatment/dosage output is possible by schema design, not by convention) plus a full human-in-the-loop audit trail. It is built entirely on public, de-identified research data (the PhysioNet 2019 Sepsis Challenge dataset, with MIMIC-IV referenced as a harder benchmark) and is explicitly a portfolio-grade prototype, not a validated or deployed clinical product — see Section 4 for exactly what would need to change for that to become true.</w:t>
      </w:r>
    </w:p>
    <w:p>
      <w:pPr>
        <w:pBdr>
          <w:left w:val="single" w:color="E8A33D" w:sz="24"/>
        </w:pBdr>
        <w:shd w:fill="FFF4E5" w:val="clear"/>
        <w:spacing w:after="200" w:before="120"/>
        <w:ind w:left="200"/>
      </w:pPr>
      <w:r>
        <w:rPr>
          <w:b/>
          <w:bCs/>
        </w:rPr>
        <w:t xml:space="preserve">Positioning: </w:t>
      </w:r>
      <w:r>
        <w:t xml:space="preserve">The defensible, narrow novelty claim of this project is SWADT (Section 2.4) — not the overall system architecture, which demonstrates best-practice engineering using established techniques rather than first-to-market invention.</w:t>
      </w:r>
    </w:p>
    <w:p>
      <w:pPr>
        <w:pStyle w:val="Heading1"/>
        <w:spacing w:after="160" w:before="360"/>
      </w:pPr>
      <w:r>
        <w:t xml:space="preserve">2. Architecture, Tech Stack, Models &amp; Tools</w:t>
      </w:r>
    </w:p>
    <w:p>
      <w:pPr>
        <w:pStyle w:val="Heading2"/>
        <w:spacing w:after="120" w:before="260"/>
      </w:pPr>
      <w:r>
        <w:t xml:space="preserve">2.1 Full Technical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000"/>
      </w:tblGrid>
      <w:tr>
        <w:tc>
          <w:tcPr>
            <w:tcW w:type="dxa" w:w="26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Streaming ingestion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Redpanda (Kafka API-compatible)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Simulates live ICU monitor telemetry as a partitioned event stream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Pydantic v2 contracts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 + range validation; invalid rows routed to a dead-letter topic, not silently dropped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Polars (streaming), pandas (offline batch)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Causal rolling-window features: multi-resolution means/std, shock index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store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Feast + Redis (online store)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Sub-millisecond feature retrieval; eliminates train/serve skew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 model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LightGBM + Optuna (20-trial search)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Cost-sensitive gradient-boosted classifier (tuned scale_pos_weight)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SHAP TreeExplainer, KMeans-summarized background (50 clusters)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Per-prediction feature attribution, measured ~11.46ms avg latency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 drift sensor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River (HoeffdingTreeClassifier + ADWIN), imblearn.RandomUnderSampler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Shadow-mode error-stream drift detection; class-imbalance-corrected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Novel drift-trigger mechanism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SWADT (custom, this project)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Fuses per-feature PSI drift with live SHAP-importance velocity; adaptive EWMA/EWSTD threshold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Serving API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FastAPI, JWT auth, RBAC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Structurally advisory-only schema (extra="forbid", no treatment field); audit-logged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 (append-only)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predict → disposition → acknowledgment record for governance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Experiment tracking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MLflow + PostgreSQL backend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Run/metric/artifact tracking, model registry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Interoperability adapter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Simulated FHIR Observation → internal schema (LOINC-coded)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Demonstrates the correct real-world integration pattern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Compose (8 services)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Redpanda, Redis, Postgres, MLflow, feature pipeline, inference API, drift monitor, dashboard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test suite + Docker build verification on every push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Streamlit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ICU census, risk-tier sorted patient grid, SHAP explanation panel</w:t>
            </w:r>
          </w:p>
        </w:tc>
      </w:tr>
    </w:tbl>
    <w:p>
      <w:pPr>
        <w:pStyle w:val="Heading2"/>
        <w:spacing w:after="120" w:before="260"/>
      </w:pPr>
      <w:r>
        <w:t xml:space="preserve">2.2 Model Validation &amp; Known Honest Results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</w:rPr>
        <w:t xml:space="preserve">The offline classifier is evaluated on PR-AUC, F-beta (β=2, weighting recall given the clinical asymmetry of missed cases), and Brier score — not raw accuracy, which is misleading under this dataset's ~2% positive prevalence. The measured, reproduced (two independent runs, containerized and local) baseline PR-AUC is approximately 0.04–0.05. This is modest and is reported honestly rather than adjusted: it reflects the known extreme missingness of the underlying PhysioNet dataset (published reports cite over 90% missingness for several lab variables) combined with a minimal eleven-feature set. Closing this gap via richer imputation, longer temporal windows, or sequence modeling is explicit, named future work (Section 4), not a hidden limitation.</w:t>
      </w:r>
    </w:p>
    <w:p>
      <w:pPr>
        <w:pStyle w:val="Heading2"/>
        <w:spacing w:after="120" w:before="260"/>
      </w:pPr>
      <w:r>
        <w:t xml:space="preserve">2.3 Explainability &amp; Latency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</w:rPr>
        <w:t xml:space="preserve">Every prediction carries its top contributing features via SHAP, computed against a pre-summarized background set. Measured average latency in the containerized demo environment is approximately 11.46ms — roughly 4x faster than the project's own 50ms real-time target — and this number is measured per-request, not asserted.</w:t>
      </w:r>
    </w:p>
    <w:p>
      <w:pPr>
        <w:pStyle w:val="Heading2"/>
        <w:spacing w:after="120" w:before="260"/>
      </w:pPr>
      <w:r>
        <w:t xml:space="preserve">2.4 SWADT — The Novel Contribution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</w:rPr>
        <w:t xml:space="preserve">SHAP-Weighted Adaptive Drift-Threshold (SWADT) is the one architectural element in this project that is a genuine, narrow invention rather than a best-practice application of existing tools. It addresses a specific, named gap in standard production drift monitoring (Evidently AI / Alibi-Detect / ADWIN-style tooling): these tools treat every monitored feature as equally important, so a feature drifting but largely irrelevant to the model's decisions triggers the same alarm — and the same costly retraining-and-revalidation cycle — as a feature the model actually depends on. SWADT fuses a per-feature distributional drift statistic (PSI) with the directional velocity of that feature's live SHAP importance, aggregates the result with importance-derived weights, and compares it against a self-adapting EWMA/EWSTD threshold rather than a fixed constant. It was validated with a differential synthetic test showing an approximately 8x trigger-score separation between drift in an important feature versus an unimportant one (0.9793 vs. 0.1215), and is documented as a draft technical disclosure for provisional patent assessment.</w:t>
      </w:r>
    </w:p>
    <w:p>
      <w:pPr>
        <w:pStyle w:val="Heading2"/>
        <w:spacing w:after="120" w:before="260"/>
      </w:pPr>
      <w:r>
        <w:t xml:space="preserve">2.5 Architecture Diagram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40"/>
      </w:pPr>
      <w:r>
        <w:rPr>
          <w:rFonts w:ascii="Consolas" w:cs="Consolas" w:eastAsia="Consolas" w:hAnsi="Consolas"/>
          <w:sz w:val="18"/>
          <w:szCs w:val="18"/>
        </w:rPr>
        <w:t xml:space="preserve">  [Patient Simulator / FHIR-shaped adapter]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[ Redpanda: vitals.raw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[ Pydantic Validator ]----(invalid)----&gt;[ DLQ topic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(valid)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[ Polars Feature Engine ]  &lt;----- rolling causal windows,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|                          shock index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[ Feast / Redis Online Store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[ FastAPI: LightGBM + SHAP TreeExplainer ]  &lt;-- SWADT drift monitor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|                    |                     (reads SHAP +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v                    v                      feature drift)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[ Audit Log (SQLite) ]  [ Streamlit Dashboard ]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predict -&gt; ack flow     ICU census grid, risk tiers, SHAP panel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1. End-to-end data flow, ingestion through inference to UI and audit.</w:t>
      </w:r>
    </w:p>
    <w:p>
      <w:pPr>
        <w:pStyle w:val="Heading1"/>
        <w:spacing w:after="160" w:before="360"/>
      </w:pPr>
      <w:r>
        <w:t xml:space="preserve">3. Global Hospital Deployment &amp; Clinical Workflow</w:t>
      </w:r>
    </w:p>
    <w:p>
      <w:pPr>
        <w:pBdr>
          <w:left w:val="single" w:color="E8A33D" w:sz="24"/>
        </w:pBdr>
        <w:shd w:fill="FFF4E5" w:val="clear"/>
        <w:spacing w:after="200" w:before="120"/>
        <w:ind w:left="200"/>
      </w:pPr>
      <w:r>
        <w:rPr>
          <w:b/>
          <w:bCs/>
        </w:rPr>
        <w:t xml:space="preserve">Framing: </w:t>
      </w:r>
      <w:r>
        <w:t xml:space="preserve">This entire section is proposed go-to-market strategy and target-state workflow design — it describes how a validated, cleared version of this system would be positioned and used, not a claim that any hospital currently runs it.</w:t>
      </w:r>
    </w:p>
    <w:p>
      <w:pPr>
        <w:pStyle w:val="Heading2"/>
        <w:spacing w:after="120" w:before="260"/>
      </w:pPr>
      <w:r>
        <w:t xml:space="preserve">3.1 Go-to-Market Strategy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Phase 1 — Single-site pilot: partner with one academic medical center's ICU, run in silent mode (predictions logged, never displayed) for 60–90 days, compared against real outcomes before any alert is ever shown to staff.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Phase 2 — Supervised live pilot: alerts displayed to a small, opt-in group of clinicians with mandatory feedback capture via the existing acknowledgment/audit mechanism, feeding a structured false-alarm review process.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Phase 3 — Multi-site expansion: site-specific recalibration at each new hospital (different case-mix, equipment, and charting habits require it — see Section 3.2), with SWADT providing ongoing drift monitoring post-launch rather than a one-time validation.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Commercial model: positioned as a clinical decision-support add-on integrated into existing EHR workflows, priced per-bed or per-ICU-seat, sold alongside (not replacing) existing early-warning protocols such as NEWS2.</w:t>
      </w:r>
    </w:p>
    <w:p>
      <w:pPr>
        <w:pStyle w:val="Heading2"/>
        <w:spacing w:after="120" w:before="260"/>
      </w:pPr>
      <w:r>
        <w:t xml:space="preserve">3.2 WHERE It Integrates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</w:rPr>
        <w:t xml:space="preserve">Target integration point is the hospital's existing EHR/HIS via HL7 FHIR (Observation and Patient resources), feeding a site-specific instance of the ingestion adapter demonstrated in this project. It is designed to sit alongside, not replace, existing bedside monitors and nurse call systems — surfacing through a dedicated decision-support dashboard view and, longer-term, as an embedded panel inside the clinician's existing EHR session rather than a separate application requiring a separate login.</w:t>
      </w:r>
    </w:p>
    <w:p>
      <w:pPr>
        <w:pStyle w:val="Heading2"/>
        <w:spacing w:after="120" w:before="260"/>
      </w:pPr>
      <w:r>
        <w:t xml:space="preserve">3.3 WHAT Hospital Administration Gains (Target-State Value Proposition)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Earlier average recognition time for deterioration trends versus routine hourly spot-checks alone — a hypothesis this architecture is built to test via the prospective validation design in Section 4, not a result claimed today.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A structured, auditable alert-disposition trail (already implemented) supporting quality-improvement review and regulatory documentation requirements.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A drift-aware system (SWADT) designed to reduce the operational cost of unnecessary model revalidation cycles relative to fixed-threshold monitoring approaches.</w:t>
      </w:r>
    </w:p>
    <w:p>
      <w:pPr>
        <w:pStyle w:val="Heading2"/>
        <w:spacing w:after="120" w:before="260"/>
      </w:pPr>
      <w:r>
        <w:t xml:space="preserve">3.4 HOW Clinical Staff Interact With It (Target Workflow)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A nurse or physician sees a sorted, color-coded patient census (stable / at-risk / deteriorating) during rounds, rather than hunting through individual charts.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An alert carries a specific, plain-language explanation of which trending vitals drove it (e.g., "rising shock index and declining MAP over 4 hours") rather than an unexplained probability.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Every alert requires an explicit human disposition — escalate, review-no-action, or false alarm — logged permanently; the system never initiates an automated clinical action and never outputs a treatment or medication suggestion, by schema design (Section 2.1).</w:t>
      </w:r>
    </w:p>
    <w:p>
      <w:pPr>
        <w:pStyle w:val="Heading1"/>
        <w:spacing w:after="160" w:before="360"/>
      </w:pPr>
      <w:r>
        <w:t xml:space="preserve">4. Future Scope &amp; Global Scalability Roadmap</w:t>
      </w:r>
    </w:p>
    <w:p>
      <w:pPr>
        <w:pBdr>
          <w:left w:val="single" w:color="E8A33D" w:sz="24"/>
        </w:pBdr>
        <w:shd w:fill="FFF4E5" w:val="clear"/>
        <w:spacing w:after="200" w:before="120"/>
        <w:ind w:left="200"/>
      </w:pPr>
      <w:r>
        <w:rPr>
          <w:b/>
          <w:bCs/>
        </w:rPr>
        <w:t xml:space="preserve">Framing: </w:t>
      </w:r>
      <w:r>
        <w:t xml:space="preserve">This section is the explicit, honest answer to "what would it take" — a roadmap, not a timeline this project has committed capital or headcount against.</w:t>
      </w:r>
    </w:p>
    <w:p>
      <w:pPr>
        <w:pStyle w:val="Heading2"/>
        <w:spacing w:after="120" w:before="260"/>
      </w:pPr>
      <w:r>
        <w:t xml:space="preserve">4.1 Engineering Roadmap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Load-test the streaming pipeline under realistic multi-patient concurrency (50–200+ simultaneous streams); current validation is single-stream.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Replace the minimal eleven-feature set with richer imputation (e.g., MissForest-style) and longer temporal context to address the documented PR-AUC gap (Section 2.2).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Execute the SWADT validation protocol already specified in its technical disclosure: cross-site drift evaluation (e.g., eICU multi-hospital data) against fixed-threshold baselines (PSI, KS-test, plain ADWIN), measured on false-trigger rate and detection latency with paired significance testing.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Replace the hardcoded demo identity store with real hospital SSO/identity-provider integration.</w:t>
      </w:r>
    </w:p>
    <w:p>
      <w:pPr>
        <w:pStyle w:val="Heading2"/>
        <w:spacing w:after="120" w:before="260"/>
      </w:pPr>
      <w:r>
        <w:t xml:space="preserve">4.2 Regulatory Roadmap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600"/>
            <w:shd w:fill="1F3864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 classification</w:t>
            </w:r>
          </w:p>
        </w:tc>
        <w:tc>
          <w:tcPr>
            <w:tcW w:type="dxa" w:w="66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Likely FDA Class II Software as a Medical Device (SaMD); EU equivalent: CE marking under MDR, likely Class IIa/IIb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Quality system</w:t>
            </w:r>
          </w:p>
        </w:tc>
        <w:tc>
          <w:tcPr>
            <w:tcW w:type="dxa" w:w="66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IEC 62304-compliant software development lifecycle documentation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privacy (US)</w:t>
            </w:r>
          </w:p>
        </w:tc>
        <w:tc>
          <w:tcPr>
            <w:tcW w:type="dxa" w:w="66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HIPAA risk assessment, signed Business Associate Agreement per deploying site, HITRUST or SOC 2 certification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privacy (EU/UK)</w:t>
            </w:r>
          </w:p>
        </w:tc>
        <w:tc>
          <w:tcPr>
            <w:tcW w:type="dxa" w:w="66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GDPR compliance assessment, UK equivalent (DPA 2018) if expanding to UK sites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Clinical evidence</w:t>
            </w:r>
          </w:p>
        </w:tc>
        <w:tc>
          <w:tcPr>
            <w:tcW w:type="dxa" w:w="66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Prospective, IRB-approved validation trial demonstrating real-world outcome impact — retrospective benchmark metrics do not satisfy this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600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Penetration testing and a formal vulnerability disclosure process prior to any live-patient pilot</w:t>
            </w:r>
          </w:p>
        </w:tc>
      </w:tr>
    </w:tbl>
    <w:p>
      <w:pPr>
        <w:pStyle w:val="Heading2"/>
        <w:spacing w:after="120" w:before="260"/>
      </w:pPr>
      <w:r>
        <w:t xml:space="preserve">4.3 Clinical Validation Roadmap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Silent-mode pilot at a single site (predictions logged, not displayed) — standard practice for exactly this category of tool.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A prospective comparative trial against the site's existing standard of care (e.g., NEWS2), measuring real clinical outcomes, not just retrospective model metrics.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A formal bias/fairness audit across age, sex, race, and insurance status — a well-documented, serious concern in clinical AI generally and a mandatory gate before any multi-site expansion.</w:t>
      </w:r>
    </w:p>
    <w:p>
      <w:pPr>
        <w:pStyle w:val="Heading2"/>
        <w:spacing w:after="120" w:before="260"/>
      </w:pPr>
      <w:r>
        <w:t xml:space="preserve">4.4 Global Scalability Considerations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</w:rPr>
        <w:t xml:space="preserve">Different EHR vendors, national regulatory regimes (FDA vs. CE vs. other national bodies), and language/clinical-documentation norms mean international expansion is a site-by-site and country-by-country undertaking, not a single global launch. The FHIR-based adapter pattern demonstrated in this project is the correct starting architecture for that variability, but each new country or EHR vendor realistically represents its own integration and regulatory project.</w:t>
      </w:r>
    </w:p>
    <w:p>
      <w:pPr>
        <w:pStyle w:val="Heading1"/>
        <w:spacing w:after="160" w:before="360"/>
      </w:pPr>
      <w:r>
        <w:t xml:space="preserve">5. MNC / FANG-Standard Resume Project Summary</w:t>
      </w:r>
    </w:p>
    <w:p>
      <w:pPr>
        <w:pStyle w:val="Heading2"/>
        <w:spacing w:after="120" w:before="260"/>
      </w:pPr>
      <w:r>
        <w:t xml:space="preserve">5.1 One-Line Project Description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</w:rPr>
        <w:t xml:space="preserve">Sepsis-EWS — a real-time, explainable clinical deterioration early-warning system featuring a novel adaptive drift-detection mechanism (SWADT), built end-to-end as a containerized, production-pattern MLOps system (streaming ingestion, feature store, cost-sensitive ML, SHAP explainability, and audited human-in-the-loop serving).</w:t>
      </w:r>
    </w:p>
    <w:p>
      <w:pPr>
        <w:pStyle w:val="Heading2"/>
        <w:spacing w:after="120" w:before="260"/>
      </w:pPr>
      <w:r>
        <w:t xml:space="preserve">5.2 Resume Bullets (STAR, verified metrics only)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Architected and shipped a fully containerized, 8-service real-time ML system (Redpanda, Feast/Redis, FastAPI, MLflow/PostgreSQL) processing streaming clinical telemetry end-to-end from raw ingestion through validated inference, achieving a measured ~11.46ms average per-prediction SHAP explainability latency — 4x under the project's own 50ms real-time target.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Designed, implemented, and empirically validated SWADT, a novel drift-detection mechanism fusing per-feature distributional drift (PSI) with live SHAP-importance velocity and a self-adapting threshold; demonstrated an ~8x trigger-score separation between important- and unimportant-feature drift via a differential synthetic test, and authored a formal technical disclosure as a provisional patent candidate.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Diagnosed a critical class-imbalance failure in an online learning component (River/ADWIN) where minority-class recall had silently collapsed to 0.22% behind a misleadingly high 98% accuracy score; redesigned the learner with an imbalance-aware sampling wrapper, raising recall to 48.9% and explicitly documenting the resulting precision trade-off rather than reporting the headline metric alone.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Enforced structural safety guarantees in the serving layer — a Pydantic response schema (extra="forbid") that makes a treatment/dosage field impossible to return, verified by automated tests — alongside JWT-based role access control and a complete predict-to-acknowledgment audit trail; achieved a 100% passing (10/10) automated test suite across unit, integration, API, and drift-detection layers, enforced on every commit via GitHub Actions CI.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2026-10-07T09:20:16.379Z</dcterms:created>
  <dcterms:modified xsi:type="dcterms:W3CDTF">2026-10-07T09:20:16.388Z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