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500"/>
        <w:jc w:val="center"/>
      </w:pPr>
      <w:r>
        <w:rPr>
          <w:rFonts w:ascii="Arial" w:cs="Arial" w:eastAsia="Arial" w:hAnsi="Arial"/>
          <w:b/>
          <w:bCs/>
          <w:color w:val="1F4E79"/>
          <w:sz w:val="44"/>
          <w:szCs w:val="44"/>
        </w:rPr>
        <w:t xml:space="preserve">CAFlow â€” Full-Book FS Assurance Report</w:t>
      </w:r>
    </w:p>
    <w:p>
      <w:pPr>
        <w:spacing w:after="200"/>
        <w:jc w:val="center"/>
      </w:pPr>
      <w:r>
        <w:rPr>
          <w:rFonts w:ascii="Arial" w:cs="Arial" w:eastAsia="Arial" w:hAnsi="Arial"/>
          <w:b/>
          <w:bCs/>
          <w:color w:val="595959"/>
          <w:sz w:val="24"/>
          <w:szCs w:val="24"/>
        </w:rPr>
        <w:t xml:space="preserve">v9 â€” Per-year (CY + PY) assurance for all 76 engagements Â· COGS family now in scope Â· RC-11 closed</w:t>
      </w:r>
    </w:p>
    <w:p>
      <w:pPr>
        <w:spacing w:before="400"/>
        <w:jc w:val="center"/>
      </w:pPr>
      <w:r>
        <w:rPr>
          <w:rFonts w:ascii="Arial" w:cs="Arial" w:eastAsia="Arial" w:hAnsi="Arial"/>
          <w:sz w:val="24"/>
          <w:szCs w:val="24"/>
        </w:rPr>
        <w:t xml:space="preserve">Date: 12 June 2026</w:t>
      </w:r>
    </w:p>
    <w:p>
      <w:pPr>
        <w:spacing w:after="100"/>
        <w:jc w:val="center"/>
      </w:pPr>
      <w:r>
        <w:rPr>
          <w:rFonts w:ascii="Arial" w:cs="Arial" w:eastAsia="Arial" w:hAnsi="Arial"/>
          <w:sz w:val="22"/>
          <w:szCs w:val="22"/>
        </w:rPr>
        <w:t xml:space="preserve">Scope: 50 NCE engagements + 26 corporate engagements (FY 2025-26)</w:t>
      </w:r>
    </w:p>
    <w:p>
      <w:pPr>
        <w:spacing w:after="100"/>
        <w:jc w:val="center"/>
      </w:pPr>
      <w:r>
        <w:rPr>
          <w:rFonts w:ascii="Arial" w:cs="Arial" w:eastAsia="Arial" w:hAnsi="Arial"/>
          <w:i/>
          <w:iCs/>
          <w:sz w:val="20"/>
          <w:szCs w:val="20"/>
        </w:rPr>
        <w:t xml:space="preserve">Only exemptions, per your instruction: Capital Account &amp; Fixed Assets</w:t>
      </w:r>
    </w:p>
    <w:p>
      <w:pPr>
        <w:spacing w:before="350"/>
        <w:jc w:val="center"/>
      </w:pPr>
      <w:r>
        <w:rPr>
          <w:rFonts w:ascii="Arial" w:cs="Arial" w:eastAsia="Arial" w:hAnsi="Arial"/>
          <w:b/>
          <w:bCs/>
          <w:color w:val="1F4E79"/>
          <w:sz w:val="20"/>
          <w:szCs w:val="20"/>
        </w:rPr>
        <w:t xml:space="preserve">Commit deployed: ed55893a â€” RC-11 load-time self-heal guard</w:t>
      </w:r>
    </w:p>
    <w:p>
      <w:r>
        <w:br w:type="page"/>
      </w:r>
    </w:p>
    <w:p>
      <w:pPr>
        <w:pStyle w:val="Heading1"/>
        <w:spacing w:after="200" w:before="240"/>
      </w:pPr>
      <w:r>
        <w:rPr>
          <w:rFonts w:ascii="Arial" w:cs="Arial" w:eastAsia="Arial" w:hAnsi="Arial"/>
          <w:b/>
          <w:bCs/>
          <w:color w:val="1F4E79"/>
          <w:sz w:val="32"/>
          <w:szCs w:val="32"/>
        </w:rPr>
        <w:t xml:space="preserve">What changed in v10 — every plug removed, real figures restored</w:t>
      </w:r>
    </w:p>
    <w:p>
      <w:pPr>
        <w:spacing w:after="100"/>
        <w:jc w:val="left"/>
      </w:pPr>
      <w:r>
        <w:rPr>
          <w:rFonts w:ascii="Arial" w:cs="Arial" w:eastAsia="Arial" w:hAnsi="Arial"/>
          <w:b/>
          <w:bCs/>
          <w:sz w:val="22"/>
          <w:szCs w:val="22"/>
        </w:rPr>
        <w:t xml:space="preserve">You rejected the "COA Reconciliation Adjustment" rows — correctly. A plug makes the total tally while hiding WHICH ledgers are missing or wrong. All 34 plug rows are now gone. In their place, the notes carry the REAL per-ledger figures from your Tally TB via COA mapping:</w:t>
      </w:r>
    </w:p>
    <w:p>
      <w:pPr>
        <w:pStyle w:val="ListParagraph"/>
        <w:numPr>
          <w:ilvl w:val="0"/>
          <w:numId w:val="2"/>
        </w:numPr>
      </w:pPr>
      <w:r>
        <w:rPr>
          <w:rFonts w:ascii="Arial" w:cs="Arial" w:eastAsia="Arial" w:hAnsi="Arial"/>
          <w:sz w:val="21"/>
          <w:szCs w:val="21"/>
        </w:rPr>
        <w:t xml:space="preserve">SHRI RAM Other Expenses: the PY gap was 4 real items — Telephone &amp; Internet ₹5,392.37 and Travelling ₹7,500 (ledgers that never got rows), Water ₹15,000 and Web Developing Fees ₹1,20,000 (rows missing their PY). All four now sit in the note as real rows. Total = ₹44,84,622.25 = COA, built from genuine figures.</w:t>
      </w:r>
    </w:p>
    <w:p>
      <w:pPr>
        <w:pStyle w:val="ListParagraph"/>
        <w:numPr>
          <w:ilvl w:val="0"/>
          <w:numId w:val="2"/>
        </w:numPr>
      </w:pPr>
      <w:r>
        <w:rPr>
          <w:rFonts w:ascii="Arial" w:cs="Arial" w:eastAsia="Arial" w:hAnsi="Arial"/>
          <w:sz w:val="21"/>
          <w:szCs w:val="21"/>
        </w:rPr>
        <w:t xml:space="preserve">BHAKTI Borrowings: one row — the "Maharsh Infra" advance — had a flipped sign (+₹1,50,81,754 instead of −₹1,50,81,754). Corrected on the row itself.</w:t>
      </w:r>
    </w:p>
    <w:p>
      <w:pPr>
        <w:pStyle w:val="ListParagraph"/>
        <w:numPr>
          <w:ilvl w:val="0"/>
          <w:numId w:val="2"/>
        </w:numPr>
      </w:pPr>
      <w:r>
        <w:rPr>
          <w:rFonts w:ascii="Arial" w:cs="Arial" w:eastAsia="Arial" w:hAnsi="Arial"/>
          <w:sz w:val="21"/>
          <w:szCs w:val="21"/>
        </w:rPr>
        <w:t xml:space="preserve">AMBER GUM (4 notes): missing ledgers (e.g. MITESH H. PATEL HUF ₹30,88,767) and missing PY values restored as real rows from TB.</w:t>
      </w:r>
    </w:p>
    <w:p>
      <w:pPr>
        <w:pStyle w:val="ListParagraph"/>
        <w:numPr>
          <w:ilvl w:val="0"/>
          <w:numId w:val="2"/>
        </w:numPr>
      </w:pPr>
      <w:r>
        <w:rPr>
          <w:rFonts w:ascii="Arial" w:cs="Arial" w:eastAsia="Arial" w:hAnsi="Arial"/>
          <w:sz w:val="21"/>
          <w:szCs w:val="21"/>
        </w:rPr>
        <w:t xml:space="preserve">MAHIL INFRA: a junk manual row labelled "B" (PY ₹44,80,000) zeroed; every real ledger aligned to TB.</w:t>
      </w:r>
    </w:p>
    <w:p>
      <w:pPr>
        <w:pStyle w:val="ListParagraph"/>
        <w:numPr>
          <w:ilvl w:val="0"/>
          <w:numId w:val="2"/>
        </w:numPr>
      </w:pPr>
      <w:r>
        <w:rPr>
          <w:rFonts w:ascii="Arial" w:cs="Arial" w:eastAsia="Arial" w:hAnsi="Arial"/>
          <w:sz w:val="21"/>
          <w:szCs w:val="21"/>
        </w:rPr>
        <w:t xml:space="preserve">Every reconstruction ran under a hard assertion: a note is saved ONLY if its post-fix sum equals the true COA total for BOTH years; otherwise it is left untouched and reported. Nothing was force-balanced.</w:t>
      </w:r>
    </w:p>
    <w:p>
      <w:pPr>
        <w:spacing w:after="100"/>
        <w:jc w:val="left"/>
      </w:pPr>
      <w:r>
        <w:rPr>
          <w:rFonts w:ascii="Arial" w:cs="Arial" w:eastAsia="Arial" w:hAnsi="Arial"/>
          <w:b/>
          <w:bCs/>
          <w:color w:val="008000"/>
          <w:sz w:val="22"/>
          <w:szCs w:val="22"/>
        </w:rPr>
        <w:t xml:space="preserve">Manual entry prohibition honoured: no artificial rows remain anywhere — the only rows in your notes are TB-ledger rows (auto/tbDerived) and pre-existing auditor rows.</w:t>
      </w:r>
    </w:p>
    <w:p>
      <w:r>
        <w:br w:type="page"/>
      </w:r>
    </w:p>
    <w:p>
      <w:pPr>
        <w:pStyle w:val="Heading1"/>
        <w:spacing w:after="200" w:before="240"/>
      </w:pPr>
      <w:r>
        <w:rPr>
          <w:rFonts w:ascii="Arial" w:cs="Arial" w:eastAsia="Arial" w:hAnsi="Arial"/>
          <w:b/>
          <w:bCs/>
          <w:color w:val="1F4E79"/>
          <w:sz w:val="32"/>
          <w:szCs w:val="32"/>
        </w:rPr>
        <w:t xml:space="preserve">Two more root causes — found in MY OWN tooling (RC-12, RC-13)</w:t>
      </w:r>
    </w:p>
    <w:p>
      <w:pPr>
        <w:pStyle w:val="Heading2"/>
        <w:spacing w:after="140" w:before="180"/>
      </w:pPr>
      <w:r>
        <w:rPr>
          <w:rFonts w:ascii="Arial" w:cs="Arial" w:eastAsia="Arial" w:hAnsi="Arial"/>
          <w:b/>
          <w:bCs/>
          <w:color w:val="1F4E79"/>
          <w:sz w:val="26"/>
          <w:szCs w:val="26"/>
        </w:rPr>
        <w:t xml:space="preserve">RC-12 — duplicate COA mapping keys (the MAHIL class)</w:t>
      </w:r>
    </w:p>
    <w:p>
      <w:pPr>
        <w:spacing w:after="100"/>
        <w:jc w:val="left"/>
      </w:pPr>
      <w:r>
        <w:rPr>
          <w:rFonts w:ascii="Arial" w:cs="Arial" w:eastAsia="Arial" w:hAnsi="Arial"/>
          <w:sz w:val="22"/>
          <w:szCs w:val="22"/>
        </w:rPr>
        <w:t xml:space="preserve">MAHIL's mapping holds ~25 case-duplicate ledger keys ("Interest Income - Loan" AND "INTEREST INCOME - LOAN"), many with CONFLICTING codes (one variant → Other Expenses, the other → Trade Payables). The app resolves this by exact TB-name lookup — only one variant is live. My earlier SQL sweep iterated mapping keys and counted such ledgers TWICE, inventing phantom gaps which the plugs then "fixed". The sweep and the fixer now dedupe by case-insensitive name and pick the variant that exactly matches the physical TB ledger (CY first, then PY).</w:t>
      </w:r>
    </w:p>
    <w:p>
      <w:pPr>
        <w:pStyle w:val="Heading2"/>
        <w:spacing w:after="140" w:before="180"/>
      </w:pPr>
      <w:r>
        <w:rPr>
          <w:rFonts w:ascii="Arial" w:cs="Arial" w:eastAsia="Arial" w:hAnsi="Arial"/>
          <w:b/>
          <w:bCs/>
          <w:color w:val="1F4E79"/>
          <w:sz w:val="26"/>
          <w:szCs w:val="26"/>
        </w:rPr>
        <w:t xml:space="preserve">RC-13 — clients without a prior-year engagement (the SWENI class)</w:t>
      </w:r>
    </w:p>
    <w:p>
      <w:pPr>
        <w:spacing w:after="100"/>
        <w:jc w:val="left"/>
      </w:pPr>
      <w:r>
        <w:rPr>
          <w:rFonts w:ascii="Arial" w:cs="Arial" w:eastAsia="Arial" w:hAnsi="Arial"/>
          <w:sz w:val="22"/>
          <w:szCs w:val="22"/>
        </w:rPr>
        <w:t xml:space="preserve">SWENI has no FY 2024-25 engagement. The app derives its PY column from the CY TB OPENING balances; my sweep treated PY as zero and flagged the correct note as drifted. Sweep and fixer now use the same opening-balance fallback as the app.</w:t>
      </w:r>
    </w:p>
    <w:p>
      <w:pPr>
        <w:pStyle w:val="Heading2"/>
        <w:spacing w:after="140" w:before="180"/>
      </w:pPr>
      <w:r>
        <w:rPr>
          <w:rFonts w:ascii="Arial" w:cs="Arial" w:eastAsia="Arial" w:hAnsi="Arial"/>
          <w:b/>
          <w:bCs/>
          <w:color w:val="1F4E79"/>
          <w:sz w:val="26"/>
          <w:szCs w:val="26"/>
        </w:rPr>
        <w:t xml:space="preserve">Plus: Pattern A column-side placement</w:t>
      </w:r>
    </w:p>
    <w:p>
      <w:pPr>
        <w:spacing w:after="100"/>
        <w:jc w:val="left"/>
      </w:pPr>
      <w:r>
        <w:rPr>
          <w:rFonts w:ascii="Arial" w:cs="Arial" w:eastAsia="Arial" w:hAnsi="Arial"/>
          <w:sz w:val="22"/>
          <w:szCs w:val="22"/>
        </w:rPr>
        <w:t xml:space="preserve">Rows for ST-coded ledgers (NCE_STP/NCE_STB/...) were landing in the Long-Term column — combined totals right, per-column face wrong (SHRI RAM's ₹10,000 ST provision showed under Long-term provisions). All Pattern A rows now sit in the column their COA code dictates.</w:t>
      </w:r>
    </w:p>
    <w:p>
      <w:r>
        <w:br w:type="page"/>
      </w:r>
    </w:p>
    <w:p>
      <w:pPr>
        <w:pStyle w:val="Heading1"/>
        <w:spacing w:after="200" w:before="240"/>
      </w:pPr>
      <w:r>
        <w:rPr>
          <w:rFonts w:ascii="Arial" w:cs="Arial" w:eastAsia="Arial" w:hAnsi="Arial"/>
          <w:b/>
          <w:bCs/>
          <w:color w:val="1F4E79"/>
          <w:sz w:val="32"/>
          <w:szCs w:val="32"/>
        </w:rPr>
        <w:t xml:space="preserve">Section A â€” Per-engagement, per-year assurance (50 NCE)</w:t>
      </w:r>
    </w:p>
    <w:p>
      <w:pPr>
        <w:spacing w:after="100"/>
        <w:jc w:val="left"/>
      </w:pPr>
      <w:r>
        <w:rPr>
          <w:rFonts w:ascii="Arial" w:cs="Arial" w:eastAsia="Arial" w:hAnsi="Arial"/>
          <w:sz w:val="22"/>
          <w:szCs w:val="22"/>
        </w:rPr>
        <w:t xml:space="preserve">Four independent checks per engagement, CY and PY separately, tolerance â‚¹1: (1) Note Total = COA Total per note (legacy codes folded); (2) same for PY; (3) inventory identity PY-closing = CY-opening per category; (4) zero renderer-invisible bare keys on LT/ST split notes. Engagements with Notes = 0 have not reached Stage 7 â€” they inherit every fix on first generation.</w:t>
      </w:r>
    </w:p>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3050"/>
        <w:gridCol w:w="700"/>
        <w:gridCol w:w="850"/>
        <w:gridCol w:w="850"/>
        <w:gridCol w:w="950"/>
        <w:gridCol w:w="950"/>
        <w:gridCol w:w="700"/>
      </w:tblGrid>
      <w:tr>
        <w:tc>
          <w:tcPr>
            <w:tcW w:type="dxa" w:w="305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left"/>
            </w:pPr>
            <w:r>
              <w:rPr>
                <w:rFonts w:ascii="Arial" w:cs="Arial" w:eastAsia="Arial" w:hAnsi="Arial"/>
                <w:b/>
                <w:bCs/>
                <w:sz w:val="16"/>
                <w:szCs w:val="16"/>
              </w:rPr>
              <w:t xml:space="preserve">Client (NCE)</w:t>
            </w:r>
          </w:p>
        </w:tc>
        <w:tc>
          <w:tcPr>
            <w:tcW w:type="dxa" w:w="7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Notes</w:t>
            </w:r>
          </w:p>
        </w:tc>
        <w:tc>
          <w:tcPr>
            <w:tcW w:type="dxa" w:w="85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Drift CY</w:t>
            </w:r>
          </w:p>
        </w:tc>
        <w:tc>
          <w:tcPr>
            <w:tcW w:type="dxa" w:w="85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Drift PY</w:t>
            </w:r>
          </w:p>
        </w:tc>
        <w:tc>
          <w:tcPr>
            <w:tcW w:type="dxa" w:w="95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COGS identity</w:t>
            </w:r>
          </w:p>
        </w:tc>
        <w:tc>
          <w:tcPr>
            <w:tcW w:type="dxa" w:w="95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Bare-key (RC-10)</w:t>
            </w:r>
          </w:p>
        </w:tc>
        <w:tc>
          <w:tcPr>
            <w:tcW w:type="dxa" w:w="7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6"/>
                <w:szCs w:val="16"/>
              </w:rPr>
              <w:t xml:space="preserve">PY TB</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AMADIUS REALTY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AMBER GUM INDUSTRIES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AMBICA PLASTIC INDUSTRIES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BAPASITARAM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BHAKTI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BRICKSTONE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DBS REALTY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DHANANI REALTY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DHAWAL ADRITECH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DR.JAYSUKHBHAI   NANUBHAI RADADIYA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ELENZA ARISTA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ELENZA CALLISTA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GANESH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HARMESHKUMAR MANSUKHBHAI PATEL (PROP.OM BIOSCIENC)</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K.S.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KRISHNA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MAHADEV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MAHARSH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MAHIL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MAYURBHAI CHANDULAL SANTOKI (PROP.GOKUL IRRGATION)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MUKESHBHAI M. PATEL (PROP. FINO SPECIALITY)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NIRALI PERFUMERY PRODUCTS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OM REALTY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PARESHBHAI D DOBARIYA (Prop. DHARATI ENTERPRISE)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REVTI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RUGVED MULTI SPECIALITY HOSPITAL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SALIENT INFRATECH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SARJEET CONSTRUCTION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SATVA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SATVED REALTY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SHARVA INFRATECH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SHIVASHRAY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 HARI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 MARUTI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 RADHE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 SAURASHTRA PATEL SAMAJ CHARITABLE TRUST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SHREENATH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SHREEYAM INFRA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SHRI RAM PRODUCTS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SHRIYAM ENTERPRISE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SHUBHAM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SKYLARK CORPORATION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STAR DEVELOPERS (STAR RESIDENCY)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SUKIRTI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SWASTIK BUILDCON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20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SWASTIK BUILDCON - SWASTIK INDUSTRIAL PARK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SWENI CORPORATION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UMIYA INDUSTRIES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Y</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VALLABHBHAI   MOHANBHAI RAMANI (V.M RAMANI)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r>
        <w:tc>
          <w:tcPr>
            <w:tcW w:type="dxa" w:w="30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VARDAN DEVELOPERS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b/>
                <w:bCs/>
                <w:color w:val="008000"/>
                <w:sz w:val="17"/>
                <w:szCs w:val="17"/>
              </w:rPr>
              <w:t xml:space="preserve">0 âœ“</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sz w:val="17"/>
                <w:szCs w:val="17"/>
              </w:rPr>
              <w:t xml:space="preserve">â€”</w:t>
            </w:r>
          </w:p>
        </w:tc>
      </w:tr>
    </w:tbl>
    <w:p>
      <w:pPr>
        <w:spacing w:after="100"/>
        <w:jc w:val="left"/>
      </w:pPr>
      <w:r>
        <w:rPr>
          <w:rFonts w:ascii="Arial" w:cs="Arial" w:eastAsia="Arial" w:hAnsi="Arial"/>
          <w:sz w:val="22"/>
          <w:szCs w:val="22"/>
        </w:rPr>
        <w:t xml:space="preserve"> </w:t>
      </w:r>
    </w:p>
    <w:p>
      <w:pPr>
        <w:spacing w:after="100"/>
        <w:jc w:val="left"/>
      </w:pPr>
      <w:r>
        <w:rPr>
          <w:rFonts w:ascii="Arial" w:cs="Arial" w:eastAsia="Arial" w:hAnsi="Arial"/>
          <w:b/>
          <w:bCs/>
          <w:color w:val="008000"/>
          <w:sz w:val="22"/>
          <w:szCs w:val="22"/>
        </w:rPr>
        <w:t xml:space="preserve">RESULT: every check, every engagement, both years = 0. The book is fully reconciled at the data layer, and the four code-layer bug classes that could re-introduce divergence are closed.</w:t>
      </w:r>
    </w:p>
    <w:p>
      <w:r>
        <w:br w:type="page"/>
      </w:r>
    </w:p>
    <w:p>
      <w:pPr>
        <w:pStyle w:val="Heading1"/>
        <w:spacing w:after="200" w:before="240"/>
      </w:pPr>
      <w:r>
        <w:rPr>
          <w:rFonts w:ascii="Arial" w:cs="Arial" w:eastAsia="Arial" w:hAnsi="Arial"/>
          <w:b/>
          <w:bCs/>
          <w:color w:val="1F4E79"/>
          <w:sz w:val="32"/>
          <w:szCs w:val="32"/>
        </w:rPr>
        <w:t xml:space="preserve">Section B â€” 26 corporate engagements</w:t>
      </w:r>
    </w:p>
    <w:p>
      <w:pPr>
        <w:spacing w:after="100"/>
        <w:jc w:val="left"/>
      </w:pPr>
      <w:r>
        <w:rPr>
          <w:rFonts w:ascii="Arial" w:cs="Arial" w:eastAsia="Arial" w:hAnsi="Arial"/>
          <w:sz w:val="22"/>
          <w:szCs w:val="22"/>
        </w:rPr>
        <w:t xml:space="preserve">Corporates use the stage5_notes architecture with its own validator (validateCorporateFSReconciliation) feeding the same FsHealthPanel three-way check (COA / Note / Face) on every page load. The sign-convention, name-matching and dedupe hardening from this exercise lives in the shared computeCOATotals and benefits corporates identically.</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tblGrid>
      <w:tr>
        <w:tc>
          <w:tcPr>
            <w:tcW w:type="dxa" w:w="46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left"/>
            </w:pPr>
            <w:r>
              <w:rPr>
                <w:rFonts w:ascii="Arial" w:cs="Arial" w:eastAsia="Arial" w:hAnsi="Arial"/>
                <w:b/>
                <w:bCs/>
                <w:sz w:val="17"/>
                <w:szCs w:val="17"/>
              </w:rPr>
              <w:t xml:space="preserve">Client (Corporate)</w:t>
            </w:r>
          </w:p>
        </w:tc>
        <w:tc>
          <w:tcPr>
            <w:tcW w:type="dxa" w:w="2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jc w:val="center"/>
            </w:pPr>
            <w:r>
              <w:rPr>
                <w:rFonts w:ascii="Arial" w:cs="Arial" w:eastAsia="Arial" w:hAnsi="Arial"/>
                <w:b/>
                <w:bCs/>
                <w:sz w:val="17"/>
                <w:szCs w:val="17"/>
              </w:rPr>
              <w:t xml:space="preserve">Notes data</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ACCU PANELS ENERGY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ACCURATE PMS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ACCURATE PMS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ACS ENGITECH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AMBER DYE TRADE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ARIIX AIRFIELD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AUSTOMEC ENVIRO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CHARBHUJA FRAGRANCE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CROWNGLOBE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GOKUL POLY VALVES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GROWQ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HUMONEX INTELLIGENCE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KWIKTEAM SUPPORT SERVICES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LIMBABLE BIOTECHNOLOGY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MICROCIRCUITS INNOVATIONS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ORVIX TECHNOLOGIES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PRINCESS GEMS EXPORTS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PRINCESS GEMS EXPORTS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SHAH NET TECHNOLOGIES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SIX VISION SOFTWARE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SOFTQUBE TECHNOLOGIES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SWADESHI COSMETICS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SWADESHI HERBS AND COSMETICS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SWADESHI LABORATORIES PRIVATE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SWADESHI PRODUCT LIMITED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7"/>
                <w:szCs w:val="17"/>
              </w:rPr>
              <w:t xml:space="preserve">VATSAL INFRATECH PVT. LTD.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Arial" w:cs="Arial" w:eastAsia="Arial" w:hAnsi="Arial"/>
                <w:color w:val="595959"/>
                <w:sz w:val="17"/>
                <w:szCs w:val="17"/>
              </w:rPr>
              <w:t xml:space="preserve">Not yet generated</w:t>
            </w:r>
          </w:p>
        </w:tc>
      </w:tr>
    </w:tbl>
    <w:p>
      <w:r>
        <w:br w:type="page"/>
      </w:r>
    </w:p>
    <w:p>
      <w:pPr>
        <w:pStyle w:val="Heading1"/>
        <w:spacing w:after="200" w:before="240"/>
      </w:pPr>
      <w:r>
        <w:rPr>
          <w:rFonts w:ascii="Arial" w:cs="Arial" w:eastAsia="Arial" w:hAnsi="Arial"/>
          <w:b/>
          <w:bCs/>
          <w:color w:val="1F4E79"/>
          <w:sz w:val="32"/>
          <w:szCs w:val="32"/>
        </w:rPr>
        <w:t xml:space="preserve">Section C â€” Complete root-cause ledger (11 closed across this exercise)</w:t>
      </w:r>
    </w:p>
    <w:p>
      <w:pPr>
        <w:pStyle w:val="ListParagraph"/>
        <w:numPr>
          <w:ilvl w:val="0"/>
          <w:numId w:val="2"/>
        </w:numPr>
      </w:pPr>
      <w:r>
        <w:rPr>
          <w:rFonts w:ascii="Arial" w:cs="Arial" w:eastAsia="Arial" w:hAnsi="Arial"/>
          <w:sz w:val="21"/>
          <w:szCs w:val="21"/>
        </w:rPr>
        <w:t xml:space="preserve">RC-1..5 (prior sessions): per-cell data drift; FsHealthPanel income-code sign flip; COA PY anchor = 0 for P&amp;L codes; BS residual from unclosed Tally books; orphan-skip discarding note overrides.</w:t>
      </w:r>
    </w:p>
    <w:p>
      <w:pPr>
        <w:pStyle w:val="ListParagraph"/>
        <w:numPr>
          <w:ilvl w:val="0"/>
          <w:numId w:val="2"/>
        </w:numPr>
      </w:pPr>
      <w:r>
        <w:rPr>
          <w:rFonts w:ascii="Arial" w:cs="Arial" w:eastAsia="Arial" w:hAnsi="Arial"/>
          <w:sz w:val="21"/>
          <w:szCs w:val="21"/>
        </w:rPr>
        <w:t xml:space="preserve">RC-6: legacy corporate codes invisible to the validator (SWASTIK BS_CL_STB) â€” codes now fold to NCE canonical.</w:t>
      </w:r>
    </w:p>
    <w:p>
      <w:pPr>
        <w:pStyle w:val="ListParagraph"/>
        <w:numPr>
          <w:ilvl w:val="0"/>
          <w:numId w:val="2"/>
        </w:numPr>
      </w:pPr>
      <w:r>
        <w:rPr>
          <w:rFonts w:ascii="Arial" w:cs="Arial" w:eastAsia="Arial" w:hAnsi="Arial"/>
          <w:sz w:val="21"/>
          <w:szCs w:val="21"/>
        </w:rPr>
        <w:t xml:space="preserve">RC-7: Pattern A bare-key PY silently dropped â€” per-column key decision.</w:t>
      </w:r>
    </w:p>
    <w:p>
      <w:pPr>
        <w:pStyle w:val="ListParagraph"/>
        <w:numPr>
          <w:ilvl w:val="0"/>
          <w:numId w:val="2"/>
        </w:numPr>
      </w:pPr>
      <w:r>
        <w:rPr>
          <w:rFonts w:ascii="Arial" w:cs="Arial" w:eastAsia="Arial" w:hAnsi="Arial"/>
          <w:sz w:val="21"/>
          <w:szCs w:val="21"/>
        </w:rPr>
        <w:t xml:space="preserve">RC-8: numeric strings excluded from face â€” clean coercion.</w:t>
      </w:r>
    </w:p>
    <w:p>
      <w:pPr>
        <w:pStyle w:val="ListParagraph"/>
        <w:numPr>
          <w:ilvl w:val="0"/>
          <w:numId w:val="2"/>
        </w:numPr>
      </w:pPr>
      <w:r>
        <w:rPr>
          <w:rFonts w:ascii="Arial" w:cs="Arial" w:eastAsia="Arial" w:hAnsi="Arial"/>
          <w:sz w:val="21"/>
          <w:szCs w:val="21"/>
        </w:rPr>
        <w:t xml:space="preserve">RC-9: name-match asymmetry + duplicate-row exposure â€” trim fallback + dedupe.</w:t>
      </w:r>
    </w:p>
    <w:p>
      <w:pPr>
        <w:pStyle w:val="ListParagraph"/>
        <w:numPr>
          <w:ilvl w:val="0"/>
          <w:numId w:val="2"/>
        </w:numPr>
      </w:pPr>
      <w:r>
        <w:rPr>
          <w:rFonts w:ascii="Arial" w:cs="Arial" w:eastAsia="Arial" w:hAnsi="Arial"/>
          <w:sz w:val="21"/>
          <w:szCs w:val="21"/>
        </w:rPr>
        <w:t xml:space="preserve">RC-10 (your BHAKTI catch): bare keys invisible to the Pattern A renderer â€” 419 values migrated to suffixed keys; fix-SQL hardened.</w:t>
      </w:r>
    </w:p>
    <w:p>
      <w:pPr>
        <w:pStyle w:val="ListParagraph"/>
        <w:numPr>
          <w:ilvl w:val="0"/>
          <w:numId w:val="2"/>
        </w:numPr>
      </w:pPr>
      <w:r>
        <w:rPr>
          <w:rFonts w:ascii="Arial" w:cs="Arial" w:eastAsia="Arial" w:hAnsi="Arial"/>
          <w:sz w:val="21"/>
          <w:szCs w:val="21"/>
        </w:rPr>
        <w:t xml:space="preserve">RC-11 (your OM REALTY catch): load-time self-heal destroyed saved PY when legacy sources lack amountPy â€” heal now gated on sources actually carrying PY; 17 source entries backfilled; 5 cogs notes' inventory identity restored.</w:t>
      </w:r>
    </w:p>
    <w:p>
      <w:pPr>
        <w:pStyle w:val="Heading2"/>
        <w:spacing w:after="140" w:before="180"/>
      </w:pPr>
      <w:r>
        <w:rPr>
          <w:rFonts w:ascii="Arial" w:cs="Arial" w:eastAsia="Arial" w:hAnsi="Arial"/>
          <w:b/>
          <w:bCs/>
          <w:color w:val="1F4E79"/>
          <w:sz w:val="26"/>
          <w:szCs w:val="26"/>
        </w:rPr>
        <w:t xml:space="preserve">Why the recurrence pattern is now closed</w:t>
      </w:r>
    </w:p>
    <w:p>
      <w:pPr>
        <w:spacing w:after="100"/>
        <w:jc w:val="left"/>
      </w:pPr>
      <w:r>
        <w:rPr>
          <w:rFonts w:ascii="Arial" w:cs="Arial" w:eastAsia="Arial" w:hAnsi="Arial"/>
          <w:sz w:val="22"/>
          <w:szCs w:val="22"/>
        </w:rPr>
        <w:t xml:space="preserve">Every mismatch you reported traced to one of two families: (a) a back-end divergence (data or comparison logic) â€” now swept to zero book-wide and guarded by the legacy-aware SQL sweep; or (b) a SCREEN-only divergence where the renderer disagreed with the DB (RC-10, RC-11) â€” the two known mechanisms are fixed, and the verification standard now includes the rendered screen, not just the back-end totals.</w:t>
      </w:r>
    </w:p>
    <w:p>
      <w:pPr>
        <w:spacing w:after="100"/>
        <w:jc w:val="left"/>
      </w:pPr>
      <w:r>
        <w:rPr>
          <w:rFonts w:ascii="Arial" w:cs="Arial" w:eastAsia="Arial" w:hAnsi="Arial"/>
          <w:i/>
          <w:iCs/>
          <w:sz w:val="22"/>
          <w:szCs w:val="22"/>
        </w:rPr>
        <w:t xml:space="preserve">Standing tools: nce_assurance_peryear.sql (per-year, 4-check sweep, legacy-aware) Â· nce_drift_fix.sql (idempotent gap-closer, Pattern-A-aware) Â· FsHealthPanel (runtime tripwire on every page load).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CAFlow Full-Book FS Assurance v9 â€”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â€” 12 June 2026 â€” Per-year assurance, all 76 engagements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â€¢"/>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18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2026-06-12T12:48:05.147Z</dcterms:created>
  <dcterms:modified xsi:type="dcterms:W3CDTF">2026-06-12T12:48:05.148Z</dcterms:modified>
</cp:coreProperties>
</file>

<file path=docProps/custom.xml><?xml version="1.0" encoding="utf-8"?>
<Properties xmlns="http://schemas.openxmlformats.org/officeDocument/2006/custom-properties" xmlns:vt="http://schemas.openxmlformats.org/officeDocument/2006/docPropsVTypes"/>
</file>