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5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CAFlow — Full-Book FS Assurance Report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v9 — Per-year (CY + PY) assurance for all 75 engagements · COGS family now in scope · RC-11 closed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Date: 12 June 2026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Scope: 49 NCE engagements + 26 corporate engagements (FY 2025-26)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Only exemptions, per your instruction: Capital Account &amp; Fixed Assets</w:t>
      </w:r>
    </w:p>
    <w:p>
      <w:pPr>
        <w:spacing w:before="35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Commit deployed: ed55893a — RC-11 load-time self-heal guard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Headline — the OM REALTY mismatch you reported, and what it exposed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Your screenshot: Note 14 (Changes in Inventories) showed PY Closing blank and PY total ₹17,53,11,000 while COA Mapping and the P&amp;L face both showed ₹3,87,13,000.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Root cause #11 — the most important find of this whole exercise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The database had the CORRECT value all along (PY Closing WIP = ₹13,65,98,000). A load-time "self-heal" block recomputed every static row that has tracked source-ledgers (_cy_sources) to equal the sum of those sources. Legacy source entries predate the PY feature and carry only the CY amount — so the heal computed "expected PY = 0" and overwrote the correct saved PY value in memory on every page load. The P&amp;L face reads the DB directly, so the face stayed right while the SCREEN went wrong.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This one bug class explains why mismatches kept appearing on DIFFERENT notes after every fix round: any note, any engagement, any static row with legacy sources would display a wrong PY — while every back-end check (SQL sweeps, FsHealthPanel, face totals) said "reconciled". The auditor's screen was the only place the corruption was visible.</w:t>
      </w:r>
    </w:p>
    <w:p>
      <w:pPr>
        <w:spacing w:after="100"/>
        <w:jc w:val="left"/>
      </w:pPr>
      <w:r>
        <w:rPr>
          <w:rFonts w:ascii="Arial" w:cs="Arial" w:eastAsia="Arial" w:hAnsi="Arial"/>
          <w:color w:val="008000"/>
          <w:sz w:val="22"/>
          <w:szCs w:val="22"/>
        </w:rPr>
        <w:t xml:space="preserve">Fix: the heal now touches PY only when the sources actually carry PY data. 17 single-source entries got their PY backfilled in the DB so expanded sub-rows display correctly. Deployed and verified.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COGS family brought into scope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Until now the sweeps excluded cogs/inventories "by design". Your instruction exempts ONLY Capital and Fixed Assets — so the sweep now also enforces the inventory accounting identity (PY Closing stock = CY Opening stock) per category. 5 violations found and fixed in data: SWASTIK, MAHARSH, NIRALI, DHANANI (PY closing missing entirely), UMIYA (short by ₹6,84,124).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A — Per-engagement, per-year assurance (49 NCE)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Four independent checks per engagement, CY and PY separately, tolerance ₹1: (1) Note Total = COA Total per note (legacy codes folded); (2) same for PY; (3) inventory identity PY-closing = CY-opening per category; (4) zero renderer-invisible bare keys on LT/ST split notes. Engagements with Notes = 0 have not reached Stage 7 — they inherit every fix on first generation.</w:t>
      </w:r>
    </w:p>
    <w:tbl>
      <w:tblPr>
        <w:tblW w:type="dxa" w:w="8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700"/>
        <w:gridCol w:w="850"/>
        <w:gridCol w:w="850"/>
        <w:gridCol w:w="950"/>
        <w:gridCol w:w="950"/>
        <w:gridCol w:w="700"/>
      </w:tblGrid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Client (NCE)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Drift CY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Drift PY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COGS identity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Bare-key (RC-10)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PY TB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AMADIUS REALTY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AMBER GUM INDUSTRIES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AMBICA PLASTIC INDUSTRIES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BAPASITARAM DEVELOPERS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BHAKTI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BRICKSTONE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DBS REALTY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DHANANI REALTY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DHAWAL ADRITECH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DR.JAYSUKHBHAI   NANUBHAI RADADIYA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ELENZA ARISTA BUILDCON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ELENZA CALLISTA  BUILDCON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GANESH DEVELOPERS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HARMESHKUMAR MANSUKHBHAI PATEL (PROP.OM BIOSCIENC)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K.S. DEVELOPERS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KRISHNA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MAHADEV DEVELOPERS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MAHARSH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MAHIL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MUKESHBHAI M. PATEL (PROP. FINO SPECIALITY)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NIRALI PERFUMERY PRODUCTS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OM REALTY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PARESHBHAI D DOBARIYA (Prop. DHARATI ENTERPRISE)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REVTI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RUGVED MULTI SPECIALITY HOSPITAL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SALIENT INFRATECH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SARJEET CONSTRUCTION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SATVA BUILDCON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SATVED REALTY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SHARVA INFRATECH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SHIVASHRAY DEVELOPERS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SHREE HARI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SHREE MARUTI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SHREE RADHE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SHREE SAURASHTRA PATEL SAMAJ CHARITABLE TRUST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SHREENATH  BUILDCON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SHREEYAM INFRA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SHRI RAM PRODUCTS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SHRIYAM ENTERPRISE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SHUBHAM BUILDCON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SKYLARK CORPORATION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STAR DEVELOPERS (STAR RESIDENCY)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SUKIRTI DEVELOPERS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SWASTIK BUILDCON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SWASTIK BUILDCON - SWASTIK INDUSTRIAL PARK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SWENI CORPORATION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UMIYA INDUSTRIES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VALLABHBHAI   MOHANBHAI RAMANI (V.M RAMANI)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VARDAN DEVELOPERS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17"/>
                <w:szCs w:val="17"/>
              </w:rPr>
              <w:t xml:space="preserve">0 ✓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008000"/>
          <w:sz w:val="22"/>
          <w:szCs w:val="22"/>
        </w:rPr>
        <w:t xml:space="preserve">RESULT: every check, every engagement, both years = 0. The book is fully reconciled at the data layer, and the four code-layer bug classes that could re-introduce divergence are closed.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B — 26 corporate engagements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Corporates use the stage5_notes architecture with its own validator (validateCorporateFSReconciliation) feeding the same FsHealthPanel three-way check (COA / Note / Face) on every page load. The sign-convention, name-matching and dedupe hardening from this exercise lives in the shared computeCOATotals and benefits corporates identically.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</w:tblGrid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Client (Corporate)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Notes data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ACCU PANELS ENERGY PVT LTD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ACCURATE PMS PVT. LTD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ACCURATE PMS PVT. LTD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ACS ENGITECH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AMBER DYE TRADE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ARIIX AIRFIELD PVT LTD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AUSTOMEC ENVIRO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CHARBHUJA FRAGRANCE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CROWNGLOBE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GOKUL POLY VALVES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GROWQ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HUMONEX INTELLIGENCE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KWIKTEAM SUPPORT SERVICES PVT LTD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LIMBABLE BIOTECHNOLOGY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MICROCIRCUITS INNOVATIONS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ORVIX TECHNOLOGIES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PRINCESS GEMS EXPORTS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PRINCESS GEMS EXPORTS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SHAH NET TECHNOLOGIES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SIX VISION SOFTWARE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SOFTQUBE TECHNOLOGIES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SWADESHI COSMETICS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SWADESHI HERBS AND COSMETICS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SWADESHI LABORATORIES PRIVATE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SWADESHI PRODUCT LIMITED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VATSAL INFRATECH PVT. LTD.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Not yet generated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C — Complete root-cause ledger (11 closed across this exercise)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RC-1..5 (prior sessions): per-cell data drift; FsHealthPanel income-code sign flip; COA PY anchor = 0 for P&amp;L codes; BS residual from unclosed Tally books; orphan-skip discarding note overrides.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RC-6: legacy corporate codes invisible to the validator (SWASTIK BS_CL_STB) — codes now fold to NCE canonical.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RC-7: Pattern A bare-key PY silently dropped — per-column key decision.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RC-8: numeric strings excluded from face — clean coercion.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RC-9: name-match asymmetry + duplicate-row exposure — trim fallback + dedupe.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RC-10 (your BHAKTI catch): bare keys invisible to the Pattern A renderer — 419 values migrated to suffixed keys; fix-SQL hardened.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RC-11 (your OM REALTY catch): load-time self-heal destroyed saved PY when legacy sources lack amountPy — heal now gated on sources actually carrying PY; 17 source entries backfilled; 5 cogs notes' inventory identity restored.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Why the recurrence pattern is now closed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>Every mismatch you reported traced to one of two families: (a) a back-end divergence (data or comparison logic) — now swept to zero book-wide and guarded by the legacy-aware SQL sweep; or (b) a SCREEN-only divergence where the renderer disagreed with the DB (RC-10, RC-11) — the two known mechanisms are fixed, and the verification standard now includes the rendered screen, not just the back-end totals.</w:t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Standing tools: nce_assurance_peryear.sql (per-year, 4-check sweep, legacy-aware) · nce_drift_fix.sql (idempotent gap-closer, Pattern-A-aware) · FsHealthPanel (runtime tripwire on every page load).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CAFlow Full-Book FS Assurance v9 —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— 12 June 2026 — Per-year assurance, all 75 engagements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18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2026-06-12T10:26:39.572Z</dcterms:created>
  <dcterms:modified xsi:type="dcterms:W3CDTF">2026-06-12T10:26:39.572Z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