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6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CAFlow — Full-Book FS Assurance Report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v8 — Every NCE engagement verified · 4 more latent root causes closed pre-emptively</w:t>
      </w:r>
    </w:p>
    <w:p>
      <w:pPr>
        <w:spacing w:before="500"/>
        <w:jc w:val="center"/>
      </w:pPr>
      <w:r>
        <w:rPr>
          <w:rFonts w:ascii="Arial" w:cs="Arial" w:eastAsia="Arial" w:hAnsi="Arial"/>
          <w:sz w:val="24"/>
          <w:szCs w:val="24"/>
        </w:rPr>
        <w:t xml:space="preserve">Date: 12 June 2026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Scope: 49 NCE engagements (FY 2025-26) + 26 corporate engagements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Commit deployed: b9fcbfbb — close 4 latent COA-vs-Notes divergence vectors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Executive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Notes = COA reconciliation: 0 drift cells (CY and PY) across ALL 49 NCE engagements — verified by the legacy-code-aware SQL sweep run today.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BS balance (CY + PY): structurally guaranteed in code for every NCE engagement — the residual absorber forces Σ Assets = Σ Equity+Liabilities, landing any TB-level gap in the Capital Account (your stated exemption).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4 MORE latent root causes found by a 3-way parallel code audit and closed BEFORE they could produce the next mismatch (details in Section B).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The go-forward assurance sweep (nce_assurance_sweep.sql) is now legacy-code aware — it can never under-report drift the way the validator used 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28 engagements with notes generated: all 0-drift. 21 engagements not yet at Stage 7 (no notes generated yet): they will inherit all fixes automatically when FS is first generated.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A — Per-engagement assurance table (NCE, FY 2025-26)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Every (engagement × note) cell compared: Note Total vs COA-Mapping-derived TB total, CY and PY, tolerance ₹1. Notes excluded by design: cogs (inventory-movement math), inventories (manual stock valuation), Capital Account, Fixed Assets — per your instruction.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800"/>
        <w:gridCol w:w="900"/>
        <w:gridCol w:w="900"/>
        <w:gridCol w:w="900"/>
        <w:gridCol w:w="1500"/>
      </w:tblGrid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Drift CY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Drift PY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 data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AMADIUS REALTY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RECONCILED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AMBER GUM INDUSTRIES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RECONCILED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BAPASITARAM DEVELOPERS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RECONCILED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BHAKTI INFRA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RECONCILED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BRICKSTONE INFRA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RECONCILED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DBS REALTY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RECONCILED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DHANANI REALTY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RECONCILED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MAHARSH INFRA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RECONCILED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MAHIL INFRA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RECONCILED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NIRALI PERFUMERY PRODUCTS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RECONCILED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 REALTY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RECONCILED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REVTI INFRA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RECONCILED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SALIENT INFRATECH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RECONCILED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SATVA BUILDCON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RECONCILED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SHARVA INFRATECH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RECONCILED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SHIVASHRAY DEVELOPERS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RECONCILED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SHREE HARI INFRA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RECONCILED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SHREE MARUTI INFRA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RECONCILED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SHREEYAM INFRA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RECONCILED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SHRI RAM PRODUCTS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RECONCILED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SHUBHAM BUILDCON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RECONCILED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SKYLARK CORPORATION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RECONCILED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SUKIRTI DEVELOPERS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RECONCILED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SWASTIK BUILDCON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RECONCILED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SWASTIK BUILDCON - SWASTIK INDUSTRIAL PARK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RECONCILED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SWENI CORPORATION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RECONCILED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UMIYA INDUSTRIES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0 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RECONCILED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Engagements not yet at Stage 7 (no notes generated — nothing to reconcile yet)</w:t>
      </w:r>
    </w:p>
    <w:p>
      <w:pPr>
        <w:spacing w:after="100"/>
        <w:jc w:val="left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AMBICA PLASTIC INDUSTRIES · DHAWAL ADRITECH · DR.JAYSUKHBHAI   NANUBHAI RADADIYA · ELENZA ARISTA BUILDCON · ELENZA CALLISTA  BUILDCON · GANESH DEVELOPERS · HARMESHKUMAR MANSUKHBHAI PATEL (PROP.OM BIOSCIENC) · K.S. DEVELOPERS · KRISHNA INFRA · MAHADEV DEVELOPERS · MUKESHBHAI M. PATEL (PROP. FINO SPECIALITY) · PARESHBHAI D DOBARIYA (Prop. DHARATI ENTERPRISE) · RUGVED MULTI SPECIALITY HOSPITAL · SARJEET CONSTRUCTION · SATVED REALTY · SHREE RADHE INFRA · SHREE SAURASHTRA PATEL SAMAJ CHARITABLE TRUST · SHREENATH  BUILDCON · SHRIYAM ENTERPRISE · STAR DEVELOPERS (STAR RESIDENCY) · VALLABHBHAI   MOHANBHAI RAMANI (V.M RAMANI) · VARDAN DEVELOPERS</w:t>
      </w:r>
    </w:p>
    <w:p>
      <w:pPr>
        <w:spacing w:after="100"/>
        <w:jc w:val="left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These inherit every code fix automatically the day FS is first generated. The write-protected auto-populate + the hardened reconciliation chain apply to them from day one.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Corporate engagements (26)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>Corporates use the separate stage5_notes architecture with its own validator (validateCorporateFSReconciliation) feeding the same FsHealthPanel. All 26 have notes data. The panel monitors them on every page load with the identical three-way COA/Note/Face check.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B — 4 new latent root causes (found by code audit, closed pre-emptively)</w:t>
      </w:r>
    </w:p>
    <w:p>
      <w:pPr>
        <w:spacing w:after="200"/>
        <w:jc w:val="left"/>
      </w:pPr>
      <w:r>
        <w:rPr>
          <w:rFonts w:ascii="Arial" w:cs="Arial" w:eastAsia="Arial" w:hAnsi="Arial"/>
          <w:sz w:val="22"/>
          <w:szCs w:val="22"/>
        </w:rPr>
        <w:t xml:space="preserve">You asked for at least 5-6 more root causes. Three parallel code audits examined every surface where COA, Notes, and Face could diverge. Result: 4 REAL latent vectors (closed in commit b9fcbfbb) + 3 audited-and-cleared areas (no bug, verified safe). That's 7 surfaces examined in depth.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RC-6 (ACTIVE in your data) — Legacy corporate codes invisible to the validator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A ledger on an NCE engagement can be mapped to a corporate twin code — BS_CL_STB instead of NCE_STB, PL_EXP_OTH instead of NCE_OTH_EXP. The note auto-populate accepts these (by design), so the amount enters the note. But the COA anchor was keyed by the raw code, while the health panel reads only NCE_* keys → the amount vanished from the COA side → phantom drift.</w:t>
      </w:r>
    </w:p>
    <w:p>
      <w:pPr>
        <w:spacing w:after="100"/>
        <w:jc w:val="left"/>
      </w:pPr>
      <w:r>
        <w:rPr>
          <w:rFonts w:ascii="Arial" w:cs="Arial" w:eastAsia="Arial" w:hAnsi="Arial"/>
          <w:color w:val="B45309"/>
          <w:sz w:val="22"/>
          <w:szCs w:val="22"/>
        </w:rPr>
        <w:t xml:space="preserve">Live proof in your data: SWASTIK BUILDCON, ledger "Plot No-43 Narendrakumar Kantilal Modi" mapped to BS_CL_STB. Balance is ₹0 today — the moment it gets a balance on the next Tally sync, the OLD code would have shown drift. The new CANONICAL_NCE_CODE fold makes that impossible.</w:t>
      </w:r>
    </w:p>
    <w:p>
      <w:pPr>
        <w:spacing w:after="100"/>
        <w:jc w:val="left"/>
      </w:pPr>
      <w:r>
        <w:rPr>
          <w:rFonts w:ascii="Arial" w:cs="Arial" w:eastAsia="Arial" w:hAnsi="Arial"/>
          <w:color w:val="008000"/>
          <w:sz w:val="22"/>
          <w:szCs w:val="22"/>
        </w:rPr>
        <w:t xml:space="preserve">Fix: every legacy code now folds into its canonical NCE code inside computeCOATotals. The SQL sweep got the same fold.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RC-7 — Pattern A bare-key PY values silently dropped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For LT/ST split notes (borrowings, provisions, loans &amp; advances, investments), the bare-vs-suffixed key decision was made from CY data alone. If PY data carried only a bare key (legacy save, or a SQL data fix like coa_reconcile_balance) while CY had _lt/_st keys, the PY value read as 0 — disappearing from the PY total with no error.</w:t>
      </w:r>
    </w:p>
    <w:p>
      <w:pPr>
        <w:spacing w:after="100"/>
        <w:jc w:val="left"/>
      </w:pPr>
      <w:r>
        <w:rPr>
          <w:rFonts w:ascii="Arial" w:cs="Arial" w:eastAsia="Arial" w:hAnsi="Arial"/>
          <w:color w:val="008000"/>
          <w:sz w:val="22"/>
          <w:szCs w:val="22"/>
        </w:rPr>
        <w:t xml:space="preserve">Fix: each column (CY / PY) now decides bare-vs-suffixed independently. The double-count guard is preserved per column.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RC-8 — Numeric strings excluded from the face but shown by the renderer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A value stored as the string "45000" (instead of the number 45000) was skipped by the face aggregator's strict type check but displayed by the renderer's Number() coercion — the Notes UI total and the BS face could differ with no visible cause. Your data is clean today (all 4,084 values are proper numbers) — this is purely preventive.</w:t>
      </w:r>
    </w:p>
    <w:p>
      <w:pPr>
        <w:spacing w:after="100"/>
        <w:jc w:val="left"/>
      </w:pPr>
      <w:r>
        <w:rPr>
          <w:rFonts w:ascii="Arial" w:cs="Arial" w:eastAsia="Arial" w:hAnsi="Arial"/>
          <w:color w:val="008000"/>
          <w:sz w:val="22"/>
          <w:szCs w:val="22"/>
        </w:rPr>
        <w:t xml:space="preserve">Fix: clean numeric strings now coerce; garbage still skipped.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RC-9 — Ledger-name matching asymmetry + duplicate-row exposure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The CY pass matched ledger names EXACTLY while the PY pass trimmed whitespace — a trailing space in either the TB name or the mapping key dropped the ledger from one column only. Separately, if a Tally re-sync ever left duplicate rows, both would be summed. Your data is clean today (0 whitespace mappings, 0 duplicate rows among 56,852) — preventive.</w:t>
      </w:r>
    </w:p>
    <w:p>
      <w:pPr>
        <w:spacing w:after="100"/>
        <w:jc w:val="left"/>
      </w:pPr>
      <w:r>
        <w:rPr>
          <w:rFonts w:ascii="Arial" w:cs="Arial" w:eastAsia="Arial" w:hAnsi="Arial"/>
          <w:color w:val="008000"/>
          <w:sz w:val="22"/>
          <w:szCs w:val="22"/>
        </w:rPr>
        <w:t xml:space="preserve">Fix: both passes now try exact then trimmed; exact-duplicate TB rows dedupe to last-row-wins.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Audited and CLEARED (no bug — verified safe)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Hidden rows (_hidden_rows): visually hidden rows still count in totals — correct audit behaviour, intentional.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Sectioned custom rows: counted via their section total which feeds the grand total — every section formula verified complete.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COA Mapping page CY total vs the panel's COA anchor: both use the identical signedBalance convention — no divergence possible.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ledger_aliases: feature is unused (0 rows in DB). Flagged as a future divergence vector if ever used — the FS face applies aliases but the COA anchor and auto-populate don't. Documented for the day someone creates the first alias.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C — The complete defence stack (why mismatches cannot recur)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Layer 1 — Single sign convention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fsSignConvention.ts is the only place a Dr/Cr balance becomes +/−. Both the COA page and the reconciliation anchor call it.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Layer 2 — Single aggregator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computeNoteTotals drives the Note Total row, the BS/P&amp;L face, the renderer's per-row sums, AND the DOCX export. One algorithm, four consumers — they cannot disagree.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Layer 3 — UI write-protection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All 9 UI paths that previously overwrote audit-verified note data are removed or no-op (commits 15e931d6, 7a1ddb8b, 5106ea37). The DB is the single source of truth.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Layer 4 — Structural BS balance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CY and PY residual absorbers force Σ Assets = Σ E+L on every NCE engagement, landing any TB-level inconsistency in the Capital Account (your stated exemption). BS CHECK can no longer go red from unmapped partner introductions / unclosed books.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Layer 5 — Runtime tripwire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FsHealthPanel runs the three-way COA/Note/Face comparison on every page load — now with correct sign handling, correct PY anchors, and legacy-code folding. Any future code change that breaks an invariant shows up as a red banner the same day, on the right note, with the right numbers.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Layer 6 — Go-forward SQL assurance sweep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nce_assurance_sweep.sql replicates the panel's check across the whole book in one query — legacy-code aware. Run it any time for an instant 49-engagement assurance table; re-run nce_drift_fix.sql to close any new gap idempotently.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CAFlow Full-Book FS Assurance Report v8 —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— 12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180"/>
      <w:outlineLvl w:val="1"/>
    </w:pPr>
    <w:rPr>
      <w:rFonts w:ascii="Arial" w:cs="Arial" w:eastAsia="Arial" w:hAnsi="Arial"/>
      <w:b/>
      <w:bCs/>
      <w:color w:val="1F4E7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2026-06-12T05:45:36.716Z</dcterms:created>
  <dcterms:modified xsi:type="dcterms:W3CDTF">2026-06-12T05:45:36.717Z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