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300" w:before="1600"/>
        <w:jc w:val="center"/>
      </w:pPr>
      <w:r>
        <w:rPr>
          <w:rFonts w:ascii="Arial" w:cs="Arial" w:eastAsia="Arial" w:hAnsi="Arial"/>
          <w:b/>
          <w:bCs/>
          <w:color w:val="1F4E79"/>
          <w:sz w:val="44"/>
          <w:szCs w:val="44"/>
        </w:rPr>
        <w:t xml:space="preserve">CAFlow — Full-Book FS Assurance Report</w:t>
      </w:r>
    </w:p>
    <w:p>
      <w:pPr>
        <w:spacing w:after="200"/>
        <w:jc w:val="center"/>
      </w:pPr>
      <w:r>
        <w:rPr>
          <w:rFonts w:ascii="Arial" w:cs="Arial" w:eastAsia="Arial" w:hAnsi="Arial"/>
          <w:b/>
          <w:bCs/>
          <w:color w:val="595959"/>
          <w:sz w:val="26"/>
          <w:szCs w:val="26"/>
        </w:rPr>
        <w:t xml:space="preserve">v8 — Every NCE engagement verified · 4 more latent root causes closed pre-emptively</w:t>
      </w:r>
    </w:p>
    <w:p>
      <w:pPr>
        <w:spacing w:before="500"/>
        <w:jc w:val="center"/>
      </w:pPr>
      <w:r>
        <w:rPr>
          <w:rFonts w:ascii="Arial" w:cs="Arial" w:eastAsia="Arial" w:hAnsi="Arial"/>
          <w:sz w:val="24"/>
          <w:szCs w:val="24"/>
        </w:rPr>
        <w:t xml:space="preserve">Date: 12 June 2026</w:t>
      </w:r>
    </w:p>
    <w:p>
      <w:pPr>
        <w:spacing w:after="100"/>
        <w:jc w:val="center"/>
      </w:pPr>
      <w:r>
        <w:rPr>
          <w:rFonts w:ascii="Arial" w:cs="Arial" w:eastAsia="Arial" w:hAnsi="Arial"/>
          <w:sz w:val="22"/>
          <w:szCs w:val="22"/>
        </w:rPr>
        <w:t xml:space="preserve">Scope: 49 NCE engagements (FY 2025-26) + 26 corporate engagements</w:t>
      </w:r>
    </w:p>
    <w:p>
      <w:pPr>
        <w:spacing w:before="400"/>
        <w:jc w:val="center"/>
      </w:pPr>
      <w:r>
        <w:rPr>
          <w:rFonts w:ascii="Arial" w:cs="Arial" w:eastAsia="Arial" w:hAnsi="Arial"/>
          <w:b/>
          <w:bCs/>
          <w:color w:val="1F4E79"/>
          <w:sz w:val="20"/>
          <w:szCs w:val="20"/>
        </w:rPr>
        <w:t xml:space="preserve">Commit deployed: b9fcbfbb — close 4 latent COA-vs-Notes divergence vectors</w:t>
      </w:r>
    </w:p>
    <w:p>
      <w:r>
        <w:br w:type="page"/>
      </w:r>
    </w:p>
    <w:p>
      <w:pPr>
        <w:pStyle w:val="Heading1"/>
        <w:spacing w:after="200" w:before="240"/>
      </w:pPr>
      <w:r>
        <w:rPr>
          <w:rFonts w:ascii="Arial" w:cs="Arial" w:eastAsia="Arial" w:hAnsi="Arial"/>
          <w:b/>
          <w:bCs/>
          <w:color w:val="1F4E79"/>
          <w:sz w:val="32"/>
          <w:szCs w:val="32"/>
        </w:rPr>
        <w:t xml:space="preserve">Executive summary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sz w:val="21"/>
          <w:szCs w:val="21"/>
        </w:rPr>
        <w:t xml:space="preserve">Notes = COA reconciliation: 0 drift cells (CY and PY) across ALL 49 NCE engagements — verified by the legacy-code-aware SQL sweep run today.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sz w:val="21"/>
          <w:szCs w:val="21"/>
        </w:rPr>
        <w:t xml:space="preserve">BS balance (CY + PY): structurally guaranteed in code for every NCE engagement — the residual absorber forces Σ Assets = Σ Equity+Liabilities, landing any TB-level gap in the Capital Account (your stated exemption).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sz w:val="21"/>
          <w:szCs w:val="21"/>
        </w:rPr>
        <w:t xml:space="preserve">4 MORE latent root causes found by a 3-way parallel code audit and closed BEFORE they could produce the next mismatch (details in Section B).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sz w:val="21"/>
          <w:szCs w:val="21"/>
        </w:rPr>
        <w:t xml:space="preserve">The go-forward assurance sweep (nce_assurance_sweep.sql) is now legacy-code aware — it can never under-report drift the way the validator used to.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sz w:val="21"/>
          <w:szCs w:val="21"/>
        </w:rPr>
        <w:t xml:space="preserve">28 engagements with notes generated: all 0-drift. 21 engagements not yet at Stage 7 (no notes generated yet): they will inherit all fixes automatically when FS is first generated.</w:t>
      </w:r>
    </w:p>
    <w:p>
      <w:r>
        <w:br w:type="page"/>
      </w:r>
    </w:p>
    <w:p>
      <w:pPr>
        <w:pStyle w:val="Heading1"/>
        <w:spacing w:after="200" w:before="240"/>
      </w:pPr>
      <w:r>
        <w:rPr>
          <w:rFonts w:ascii="Arial" w:cs="Arial" w:eastAsia="Arial" w:hAnsi="Arial"/>
          <w:b/>
          <w:bCs/>
          <w:color w:val="1F4E79"/>
          <w:sz w:val="32"/>
          <w:szCs w:val="32"/>
        </w:rPr>
        <w:t xml:space="preserve">Section A — Per-engagement assurance table (NCE, FY 2025-26)</w:t>
      </w:r>
    </w:p>
    <w:p>
      <w:pPr>
        <w:spacing w:after="100"/>
        <w:jc w:val="left"/>
      </w:pPr>
      <w:r>
        <w:rPr>
          <w:rFonts w:ascii="Arial" w:cs="Arial" w:eastAsia="Arial" w:hAnsi="Arial"/>
          <w:sz w:val="22"/>
          <w:szCs w:val="22"/>
        </w:rPr>
        <w:t xml:space="preserve">Every (engagement × note) cell compared: Note Total vs COA-Mapping-derived TB total, CY and PY, tolerance ₹1. Notes excluded by design: cogs (inventory-movement math), inventories (manual stock valuation), Capital Account, Fixed Assets — per your instruction.</w:t>
      </w:r>
    </w:p>
    <w:tbl>
      <w:tblPr>
        <w:tblW w:type="dxa" w:w="83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00"/>
        <w:gridCol w:w="800"/>
        <w:gridCol w:w="900"/>
        <w:gridCol w:w="900"/>
        <w:gridCol w:w="900"/>
        <w:gridCol w:w="1500"/>
      </w:tblGrid>
      <w:tr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DEB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Client</w:t>
            </w:r>
          </w:p>
        </w:tc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DEB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Notes</w:t>
            </w:r>
          </w:p>
        </w:tc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DEB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Drift CY</w:t>
            </w:r>
          </w:p>
        </w:tc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DEB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Drift PY</w:t>
            </w:r>
          </w:p>
        </w:tc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DEB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PY data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DEB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Status</w:t>
            </w:r>
          </w:p>
        </w:tc>
      </w:tr>
      <w:tr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AMADIUS REALTY</w:t>
            </w:r>
          </w:p>
        </w:tc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19</w:t>
            </w:r>
          </w:p>
        </w:tc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8000"/>
                <w:sz w:val="18"/>
                <w:szCs w:val="18"/>
              </w:rPr>
              <w:t xml:space="preserve">0 ✓</w:t>
            </w:r>
          </w:p>
        </w:tc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8000"/>
                <w:sz w:val="18"/>
                <w:szCs w:val="18"/>
              </w:rPr>
              <w:t xml:space="preserve">0 ✓</w:t>
            </w:r>
          </w:p>
        </w:tc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—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8000"/>
                <w:sz w:val="18"/>
                <w:szCs w:val="18"/>
              </w:rPr>
              <w:t xml:space="preserve">RECONCILED</w:t>
            </w:r>
          </w:p>
        </w:tc>
      </w:tr>
      <w:tr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AMBER GUM INDUSTRIES</w:t>
            </w:r>
          </w:p>
        </w:tc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19</w:t>
            </w:r>
          </w:p>
        </w:tc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8000"/>
                <w:sz w:val="18"/>
                <w:szCs w:val="18"/>
              </w:rPr>
              <w:t xml:space="preserve">0 ✓</w:t>
            </w:r>
          </w:p>
        </w:tc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8000"/>
                <w:sz w:val="18"/>
                <w:szCs w:val="18"/>
              </w:rPr>
              <w:t xml:space="preserve">0 ✓</w:t>
            </w:r>
          </w:p>
        </w:tc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Y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8000"/>
                <w:sz w:val="18"/>
                <w:szCs w:val="18"/>
              </w:rPr>
              <w:t xml:space="preserve">RECONCILED</w:t>
            </w:r>
          </w:p>
        </w:tc>
      </w:tr>
      <w:tr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BAPASITARAM DEVELOPERS</w:t>
            </w:r>
          </w:p>
        </w:tc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19</w:t>
            </w:r>
          </w:p>
        </w:tc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8000"/>
                <w:sz w:val="18"/>
                <w:szCs w:val="18"/>
              </w:rPr>
              <w:t xml:space="preserve">0 ✓</w:t>
            </w:r>
          </w:p>
        </w:tc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8000"/>
                <w:sz w:val="18"/>
                <w:szCs w:val="18"/>
              </w:rPr>
              <w:t xml:space="preserve">0 ✓</w:t>
            </w:r>
          </w:p>
        </w:tc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Y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8000"/>
                <w:sz w:val="18"/>
                <w:szCs w:val="18"/>
              </w:rPr>
              <w:t xml:space="preserve">RECONCILED</w:t>
            </w:r>
          </w:p>
        </w:tc>
      </w:tr>
      <w:tr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BHAKTI INFRA</w:t>
            </w:r>
          </w:p>
        </w:tc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19</w:t>
            </w:r>
          </w:p>
        </w:tc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8000"/>
                <w:sz w:val="18"/>
                <w:szCs w:val="18"/>
              </w:rPr>
              <w:t xml:space="preserve">0 ✓</w:t>
            </w:r>
          </w:p>
        </w:tc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8000"/>
                <w:sz w:val="18"/>
                <w:szCs w:val="18"/>
              </w:rPr>
              <w:t xml:space="preserve">0 ✓</w:t>
            </w:r>
          </w:p>
        </w:tc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Y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8000"/>
                <w:sz w:val="18"/>
                <w:szCs w:val="18"/>
              </w:rPr>
              <w:t xml:space="preserve">RECONCILED</w:t>
            </w:r>
          </w:p>
        </w:tc>
      </w:tr>
      <w:tr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BRICKSTONE INFRA</w:t>
            </w:r>
          </w:p>
        </w:tc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15</w:t>
            </w:r>
          </w:p>
        </w:tc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8000"/>
                <w:sz w:val="18"/>
                <w:szCs w:val="18"/>
              </w:rPr>
              <w:t xml:space="preserve">0 ✓</w:t>
            </w:r>
          </w:p>
        </w:tc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8000"/>
                <w:sz w:val="18"/>
                <w:szCs w:val="18"/>
              </w:rPr>
              <w:t xml:space="preserve">0 ✓</w:t>
            </w:r>
          </w:p>
        </w:tc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Y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8000"/>
                <w:sz w:val="18"/>
                <w:szCs w:val="18"/>
              </w:rPr>
              <w:t xml:space="preserve">RECONCILED</w:t>
            </w:r>
          </w:p>
        </w:tc>
      </w:tr>
      <w:tr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DBS REALTY</w:t>
            </w:r>
          </w:p>
        </w:tc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19</w:t>
            </w:r>
          </w:p>
        </w:tc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8000"/>
                <w:sz w:val="18"/>
                <w:szCs w:val="18"/>
              </w:rPr>
              <w:t xml:space="preserve">0 ✓</w:t>
            </w:r>
          </w:p>
        </w:tc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8000"/>
                <w:sz w:val="18"/>
                <w:szCs w:val="18"/>
              </w:rPr>
              <w:t xml:space="preserve">0 ✓</w:t>
            </w:r>
          </w:p>
        </w:tc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Y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8000"/>
                <w:sz w:val="18"/>
                <w:szCs w:val="18"/>
              </w:rPr>
              <w:t xml:space="preserve">RECONCILED</w:t>
            </w:r>
          </w:p>
        </w:tc>
      </w:tr>
      <w:tr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DHANANI REALTY</w:t>
            </w:r>
          </w:p>
        </w:tc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19</w:t>
            </w:r>
          </w:p>
        </w:tc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8000"/>
                <w:sz w:val="18"/>
                <w:szCs w:val="18"/>
              </w:rPr>
              <w:t xml:space="preserve">0 ✓</w:t>
            </w:r>
          </w:p>
        </w:tc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8000"/>
                <w:sz w:val="18"/>
                <w:szCs w:val="18"/>
              </w:rPr>
              <w:t xml:space="preserve">0 ✓</w:t>
            </w:r>
          </w:p>
        </w:tc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Y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8000"/>
                <w:sz w:val="18"/>
                <w:szCs w:val="18"/>
              </w:rPr>
              <w:t xml:space="preserve">RECONCILED</w:t>
            </w:r>
          </w:p>
        </w:tc>
      </w:tr>
      <w:tr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MAHARSH INFRA</w:t>
            </w:r>
          </w:p>
        </w:tc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19</w:t>
            </w:r>
          </w:p>
        </w:tc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8000"/>
                <w:sz w:val="18"/>
                <w:szCs w:val="18"/>
              </w:rPr>
              <w:t xml:space="preserve">0 ✓</w:t>
            </w:r>
          </w:p>
        </w:tc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8000"/>
                <w:sz w:val="18"/>
                <w:szCs w:val="18"/>
              </w:rPr>
              <w:t xml:space="preserve">0 ✓</w:t>
            </w:r>
          </w:p>
        </w:tc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Y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8000"/>
                <w:sz w:val="18"/>
                <w:szCs w:val="18"/>
              </w:rPr>
              <w:t xml:space="preserve">RECONCILED</w:t>
            </w:r>
          </w:p>
        </w:tc>
      </w:tr>
      <w:tr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MAHIL INFRA</w:t>
            </w:r>
          </w:p>
        </w:tc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19</w:t>
            </w:r>
          </w:p>
        </w:tc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8000"/>
                <w:sz w:val="18"/>
                <w:szCs w:val="18"/>
              </w:rPr>
              <w:t xml:space="preserve">0 ✓</w:t>
            </w:r>
          </w:p>
        </w:tc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8000"/>
                <w:sz w:val="18"/>
                <w:szCs w:val="18"/>
              </w:rPr>
              <w:t xml:space="preserve">0 ✓</w:t>
            </w:r>
          </w:p>
        </w:tc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Y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8000"/>
                <w:sz w:val="18"/>
                <w:szCs w:val="18"/>
              </w:rPr>
              <w:t xml:space="preserve">RECONCILED</w:t>
            </w:r>
          </w:p>
        </w:tc>
      </w:tr>
      <w:tr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NIRALI PERFUMERY PRODUCTS</w:t>
            </w:r>
          </w:p>
        </w:tc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19</w:t>
            </w:r>
          </w:p>
        </w:tc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8000"/>
                <w:sz w:val="18"/>
                <w:szCs w:val="18"/>
              </w:rPr>
              <w:t xml:space="preserve">0 ✓</w:t>
            </w:r>
          </w:p>
        </w:tc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8000"/>
                <w:sz w:val="18"/>
                <w:szCs w:val="18"/>
              </w:rPr>
              <w:t xml:space="preserve">0 ✓</w:t>
            </w:r>
          </w:p>
        </w:tc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Y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8000"/>
                <w:sz w:val="18"/>
                <w:szCs w:val="18"/>
              </w:rPr>
              <w:t xml:space="preserve">RECONCILED</w:t>
            </w:r>
          </w:p>
        </w:tc>
      </w:tr>
      <w:tr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OM REALTY</w:t>
            </w:r>
          </w:p>
        </w:tc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19</w:t>
            </w:r>
          </w:p>
        </w:tc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8000"/>
                <w:sz w:val="18"/>
                <w:szCs w:val="18"/>
              </w:rPr>
              <w:t xml:space="preserve">0 ✓</w:t>
            </w:r>
          </w:p>
        </w:tc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8000"/>
                <w:sz w:val="18"/>
                <w:szCs w:val="18"/>
              </w:rPr>
              <w:t xml:space="preserve">0 ✓</w:t>
            </w:r>
          </w:p>
        </w:tc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Y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8000"/>
                <w:sz w:val="18"/>
                <w:szCs w:val="18"/>
              </w:rPr>
              <w:t xml:space="preserve">RECONCILED</w:t>
            </w:r>
          </w:p>
        </w:tc>
      </w:tr>
      <w:tr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REVTI INFRA</w:t>
            </w:r>
          </w:p>
        </w:tc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19</w:t>
            </w:r>
          </w:p>
        </w:tc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8000"/>
                <w:sz w:val="18"/>
                <w:szCs w:val="18"/>
              </w:rPr>
              <w:t xml:space="preserve">0 ✓</w:t>
            </w:r>
          </w:p>
        </w:tc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8000"/>
                <w:sz w:val="18"/>
                <w:szCs w:val="18"/>
              </w:rPr>
              <w:t xml:space="preserve">0 ✓</w:t>
            </w:r>
          </w:p>
        </w:tc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Y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8000"/>
                <w:sz w:val="18"/>
                <w:szCs w:val="18"/>
              </w:rPr>
              <w:t xml:space="preserve">RECONCILED</w:t>
            </w:r>
          </w:p>
        </w:tc>
      </w:tr>
      <w:tr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SALIENT INFRATECH</w:t>
            </w:r>
          </w:p>
        </w:tc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19</w:t>
            </w:r>
          </w:p>
        </w:tc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8000"/>
                <w:sz w:val="18"/>
                <w:szCs w:val="18"/>
              </w:rPr>
              <w:t xml:space="preserve">0 ✓</w:t>
            </w:r>
          </w:p>
        </w:tc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8000"/>
                <w:sz w:val="18"/>
                <w:szCs w:val="18"/>
              </w:rPr>
              <w:t xml:space="preserve">0 ✓</w:t>
            </w:r>
          </w:p>
        </w:tc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Y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8000"/>
                <w:sz w:val="18"/>
                <w:szCs w:val="18"/>
              </w:rPr>
              <w:t xml:space="preserve">RECONCILED</w:t>
            </w:r>
          </w:p>
        </w:tc>
      </w:tr>
      <w:tr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SATVA BUILDCON</w:t>
            </w:r>
          </w:p>
        </w:tc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19</w:t>
            </w:r>
          </w:p>
        </w:tc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8000"/>
                <w:sz w:val="18"/>
                <w:szCs w:val="18"/>
              </w:rPr>
              <w:t xml:space="preserve">0 ✓</w:t>
            </w:r>
          </w:p>
        </w:tc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8000"/>
                <w:sz w:val="18"/>
                <w:szCs w:val="18"/>
              </w:rPr>
              <w:t xml:space="preserve">0 ✓</w:t>
            </w:r>
          </w:p>
        </w:tc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Y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8000"/>
                <w:sz w:val="18"/>
                <w:szCs w:val="18"/>
              </w:rPr>
              <w:t xml:space="preserve">RECONCILED</w:t>
            </w:r>
          </w:p>
        </w:tc>
      </w:tr>
      <w:tr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SHARVA INFRATECH</w:t>
            </w:r>
          </w:p>
        </w:tc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19</w:t>
            </w:r>
          </w:p>
        </w:tc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8000"/>
                <w:sz w:val="18"/>
                <w:szCs w:val="18"/>
              </w:rPr>
              <w:t xml:space="preserve">0 ✓</w:t>
            </w:r>
          </w:p>
        </w:tc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8000"/>
                <w:sz w:val="18"/>
                <w:szCs w:val="18"/>
              </w:rPr>
              <w:t xml:space="preserve">0 ✓</w:t>
            </w:r>
          </w:p>
        </w:tc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—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8000"/>
                <w:sz w:val="18"/>
                <w:szCs w:val="18"/>
              </w:rPr>
              <w:t xml:space="preserve">RECONCILED</w:t>
            </w:r>
          </w:p>
        </w:tc>
      </w:tr>
      <w:tr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SHIVASHRAY DEVELOPERS</w:t>
            </w:r>
          </w:p>
        </w:tc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19</w:t>
            </w:r>
          </w:p>
        </w:tc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8000"/>
                <w:sz w:val="18"/>
                <w:szCs w:val="18"/>
              </w:rPr>
              <w:t xml:space="preserve">0 ✓</w:t>
            </w:r>
          </w:p>
        </w:tc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8000"/>
                <w:sz w:val="18"/>
                <w:szCs w:val="18"/>
              </w:rPr>
              <w:t xml:space="preserve">0 ✓</w:t>
            </w:r>
          </w:p>
        </w:tc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Y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8000"/>
                <w:sz w:val="18"/>
                <w:szCs w:val="18"/>
              </w:rPr>
              <w:t xml:space="preserve">RECONCILED</w:t>
            </w:r>
          </w:p>
        </w:tc>
      </w:tr>
      <w:tr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SHREE HARI INFRA</w:t>
            </w:r>
          </w:p>
        </w:tc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19</w:t>
            </w:r>
          </w:p>
        </w:tc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8000"/>
                <w:sz w:val="18"/>
                <w:szCs w:val="18"/>
              </w:rPr>
              <w:t xml:space="preserve">0 ✓</w:t>
            </w:r>
          </w:p>
        </w:tc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8000"/>
                <w:sz w:val="18"/>
                <w:szCs w:val="18"/>
              </w:rPr>
              <w:t xml:space="preserve">0 ✓</w:t>
            </w:r>
          </w:p>
        </w:tc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Y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8000"/>
                <w:sz w:val="18"/>
                <w:szCs w:val="18"/>
              </w:rPr>
              <w:t xml:space="preserve">RECONCILED</w:t>
            </w:r>
          </w:p>
        </w:tc>
      </w:tr>
      <w:tr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SHREE MARUTI INFRA</w:t>
            </w:r>
          </w:p>
        </w:tc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19</w:t>
            </w:r>
          </w:p>
        </w:tc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8000"/>
                <w:sz w:val="18"/>
                <w:szCs w:val="18"/>
              </w:rPr>
              <w:t xml:space="preserve">0 ✓</w:t>
            </w:r>
          </w:p>
        </w:tc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8000"/>
                <w:sz w:val="18"/>
                <w:szCs w:val="18"/>
              </w:rPr>
              <w:t xml:space="preserve">0 ✓</w:t>
            </w:r>
          </w:p>
        </w:tc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Y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8000"/>
                <w:sz w:val="18"/>
                <w:szCs w:val="18"/>
              </w:rPr>
              <w:t xml:space="preserve">RECONCILED</w:t>
            </w:r>
          </w:p>
        </w:tc>
      </w:tr>
      <w:tr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SHREEYAM INFRA</w:t>
            </w:r>
          </w:p>
        </w:tc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19</w:t>
            </w:r>
          </w:p>
        </w:tc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8000"/>
                <w:sz w:val="18"/>
                <w:szCs w:val="18"/>
              </w:rPr>
              <w:t xml:space="preserve">0 ✓</w:t>
            </w:r>
          </w:p>
        </w:tc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8000"/>
                <w:sz w:val="18"/>
                <w:szCs w:val="18"/>
              </w:rPr>
              <w:t xml:space="preserve">0 ✓</w:t>
            </w:r>
          </w:p>
        </w:tc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Y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8000"/>
                <w:sz w:val="18"/>
                <w:szCs w:val="18"/>
              </w:rPr>
              <w:t xml:space="preserve">RECONCILED</w:t>
            </w:r>
          </w:p>
        </w:tc>
      </w:tr>
      <w:tr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SHRI RAM PRODUCTS</w:t>
            </w:r>
          </w:p>
        </w:tc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19</w:t>
            </w:r>
          </w:p>
        </w:tc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8000"/>
                <w:sz w:val="18"/>
                <w:szCs w:val="18"/>
              </w:rPr>
              <w:t xml:space="preserve">0 ✓</w:t>
            </w:r>
          </w:p>
        </w:tc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8000"/>
                <w:sz w:val="18"/>
                <w:szCs w:val="18"/>
              </w:rPr>
              <w:t xml:space="preserve">0 ✓</w:t>
            </w:r>
          </w:p>
        </w:tc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Y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8000"/>
                <w:sz w:val="18"/>
                <w:szCs w:val="18"/>
              </w:rPr>
              <w:t xml:space="preserve">RECONCILED</w:t>
            </w:r>
          </w:p>
        </w:tc>
      </w:tr>
      <w:tr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SHUBHAM BUILDCON</w:t>
            </w:r>
          </w:p>
        </w:tc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19</w:t>
            </w:r>
          </w:p>
        </w:tc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8000"/>
                <w:sz w:val="18"/>
                <w:szCs w:val="18"/>
              </w:rPr>
              <w:t xml:space="preserve">0 ✓</w:t>
            </w:r>
          </w:p>
        </w:tc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8000"/>
                <w:sz w:val="18"/>
                <w:szCs w:val="18"/>
              </w:rPr>
              <w:t xml:space="preserve">0 ✓</w:t>
            </w:r>
          </w:p>
        </w:tc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Y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8000"/>
                <w:sz w:val="18"/>
                <w:szCs w:val="18"/>
              </w:rPr>
              <w:t xml:space="preserve">RECONCILED</w:t>
            </w:r>
          </w:p>
        </w:tc>
      </w:tr>
      <w:tr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SKYLARK CORPORATION</w:t>
            </w:r>
          </w:p>
        </w:tc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19</w:t>
            </w:r>
          </w:p>
        </w:tc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8000"/>
                <w:sz w:val="18"/>
                <w:szCs w:val="18"/>
              </w:rPr>
              <w:t xml:space="preserve">0 ✓</w:t>
            </w:r>
          </w:p>
        </w:tc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8000"/>
                <w:sz w:val="18"/>
                <w:szCs w:val="18"/>
              </w:rPr>
              <w:t xml:space="preserve">0 ✓</w:t>
            </w:r>
          </w:p>
        </w:tc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Y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8000"/>
                <w:sz w:val="18"/>
                <w:szCs w:val="18"/>
              </w:rPr>
              <w:t xml:space="preserve">RECONCILED</w:t>
            </w:r>
          </w:p>
        </w:tc>
      </w:tr>
      <w:tr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SUKIRTI DEVELOPERS</w:t>
            </w:r>
          </w:p>
        </w:tc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19</w:t>
            </w:r>
          </w:p>
        </w:tc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8000"/>
                <w:sz w:val="18"/>
                <w:szCs w:val="18"/>
              </w:rPr>
              <w:t xml:space="preserve">0 ✓</w:t>
            </w:r>
          </w:p>
        </w:tc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8000"/>
                <w:sz w:val="18"/>
                <w:szCs w:val="18"/>
              </w:rPr>
              <w:t xml:space="preserve">0 ✓</w:t>
            </w:r>
          </w:p>
        </w:tc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Y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8000"/>
                <w:sz w:val="18"/>
                <w:szCs w:val="18"/>
              </w:rPr>
              <w:t xml:space="preserve">RECONCILED</w:t>
            </w:r>
          </w:p>
        </w:tc>
      </w:tr>
      <w:tr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SWASTIK BUILDCON</w:t>
            </w:r>
          </w:p>
        </w:tc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20</w:t>
            </w:r>
          </w:p>
        </w:tc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8000"/>
                <w:sz w:val="18"/>
                <w:szCs w:val="18"/>
              </w:rPr>
              <w:t xml:space="preserve">0 ✓</w:t>
            </w:r>
          </w:p>
        </w:tc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8000"/>
                <w:sz w:val="18"/>
                <w:szCs w:val="18"/>
              </w:rPr>
              <w:t xml:space="preserve">0 ✓</w:t>
            </w:r>
          </w:p>
        </w:tc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Y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8000"/>
                <w:sz w:val="18"/>
                <w:szCs w:val="18"/>
              </w:rPr>
              <w:t xml:space="preserve">RECONCILED</w:t>
            </w:r>
          </w:p>
        </w:tc>
      </w:tr>
      <w:tr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SWASTIK BUILDCON - SWASTIK INDUSTRIAL PARK</w:t>
            </w:r>
          </w:p>
        </w:tc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19</w:t>
            </w:r>
          </w:p>
        </w:tc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8000"/>
                <w:sz w:val="18"/>
                <w:szCs w:val="18"/>
              </w:rPr>
              <w:t xml:space="preserve">0 ✓</w:t>
            </w:r>
          </w:p>
        </w:tc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8000"/>
                <w:sz w:val="18"/>
                <w:szCs w:val="18"/>
              </w:rPr>
              <w:t xml:space="preserve">0 ✓</w:t>
            </w:r>
          </w:p>
        </w:tc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Y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8000"/>
                <w:sz w:val="18"/>
                <w:szCs w:val="18"/>
              </w:rPr>
              <w:t xml:space="preserve">RECONCILED</w:t>
            </w:r>
          </w:p>
        </w:tc>
      </w:tr>
      <w:tr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SWENI CORPORATION</w:t>
            </w:r>
          </w:p>
        </w:tc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1</w:t>
            </w:r>
          </w:p>
        </w:tc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8000"/>
                <w:sz w:val="18"/>
                <w:szCs w:val="18"/>
              </w:rPr>
              <w:t xml:space="preserve">0 ✓</w:t>
            </w:r>
          </w:p>
        </w:tc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8000"/>
                <w:sz w:val="18"/>
                <w:szCs w:val="18"/>
              </w:rPr>
              <w:t xml:space="preserve">0 ✓</w:t>
            </w:r>
          </w:p>
        </w:tc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—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8000"/>
                <w:sz w:val="18"/>
                <w:szCs w:val="18"/>
              </w:rPr>
              <w:t xml:space="preserve">RECONCILED</w:t>
            </w:r>
          </w:p>
        </w:tc>
      </w:tr>
      <w:tr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UMIYA INDUSTRIES</w:t>
            </w:r>
          </w:p>
        </w:tc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19</w:t>
            </w:r>
          </w:p>
        </w:tc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8000"/>
                <w:sz w:val="18"/>
                <w:szCs w:val="18"/>
              </w:rPr>
              <w:t xml:space="preserve">0 ✓</w:t>
            </w:r>
          </w:p>
        </w:tc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8000"/>
                <w:sz w:val="18"/>
                <w:szCs w:val="18"/>
              </w:rPr>
              <w:t xml:space="preserve">0 ✓</w:t>
            </w:r>
          </w:p>
        </w:tc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Y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8000"/>
                <w:sz w:val="18"/>
                <w:szCs w:val="18"/>
              </w:rPr>
              <w:t xml:space="preserve">RECONCILED</w:t>
            </w:r>
          </w:p>
        </w:tc>
      </w:tr>
    </w:tbl>
    <w:p>
      <w:pPr>
        <w:spacing w:after="100"/>
        <w:jc w:val="left"/>
      </w:pPr>
      <w:r>
        <w:rPr>
          <w:rFonts w:ascii="Arial" w:cs="Arial" w:eastAsia="Arial" w:hAnsi="Arial"/>
          <w:sz w:val="22"/>
          <w:szCs w:val="22"/>
        </w:rPr>
        <w:t xml:space="preserve"> </w:t>
      </w:r>
    </w:p>
    <w:p>
      <w:pPr>
        <w:pStyle w:val="Heading2"/>
        <w:spacing w:after="140" w:before="180"/>
      </w:pPr>
      <w:r>
        <w:rPr>
          <w:rFonts w:ascii="Arial" w:cs="Arial" w:eastAsia="Arial" w:hAnsi="Arial"/>
          <w:b/>
          <w:bCs/>
          <w:color w:val="1F4E79"/>
          <w:sz w:val="26"/>
          <w:szCs w:val="26"/>
        </w:rPr>
        <w:t xml:space="preserve">Engagements not yet at Stage 7 (no notes generated — nothing to reconcile yet)</w:t>
      </w:r>
    </w:p>
    <w:p>
      <w:pPr>
        <w:spacing w:after="100"/>
        <w:jc w:val="left"/>
      </w:pPr>
      <w:r>
        <w:rPr>
          <w:rFonts w:ascii="Arial" w:cs="Arial" w:eastAsia="Arial" w:hAnsi="Arial"/>
          <w:color w:val="595959"/>
          <w:sz w:val="18"/>
          <w:szCs w:val="18"/>
        </w:rPr>
        <w:t xml:space="preserve">AMBICA PLASTIC INDUSTRIES · DHAWAL ADRITECH · DR.JAYSUKHBHAI   NANUBHAI RADADIYA · ELENZA ARISTA BUILDCON · ELENZA CALLISTA  BUILDCON · GANESH DEVELOPERS · HARMESHKUMAR MANSUKHBHAI PATEL (PROP.OM BIOSCIENC) · K.S. DEVELOPERS · KRISHNA INFRA · MAHADEV DEVELOPERS · MUKESHBHAI M. PATEL (PROP. FINO SPECIALITY) · PARESHBHAI D DOBARIYA (Prop. DHARATI ENTERPRISE) · RUGVED MULTI SPECIALITY HOSPITAL · SARJEET CONSTRUCTION · SATVED REALTY · SHREE RADHE INFRA · SHREE SAURASHTRA PATEL SAMAJ CHARITABLE TRUST · SHREENATH  BUILDCON · SHRIYAM ENTERPRISE · STAR DEVELOPERS (STAR RESIDENCY) · VALLABHBHAI   MOHANBHAI RAMANI (V.M RAMANI) · VARDAN DEVELOPERS</w:t>
      </w:r>
    </w:p>
    <w:p>
      <w:pPr>
        <w:spacing w:after="100"/>
        <w:jc w:val="left"/>
      </w:pPr>
      <w:r>
        <w:rPr>
          <w:rFonts w:ascii="Arial" w:cs="Arial" w:eastAsia="Arial" w:hAnsi="Arial"/>
          <w:i/>
          <w:iCs/>
          <w:sz w:val="19"/>
          <w:szCs w:val="19"/>
        </w:rPr>
        <w:t xml:space="preserve">These inherit every code fix automatically the day FS is first generated. The write-protected auto-populate + the hardened reconciliation chain apply to them from day one.</w:t>
      </w:r>
    </w:p>
    <w:p>
      <w:pPr>
        <w:spacing w:after="100"/>
        <w:jc w:val="left"/>
      </w:pPr>
      <w:r>
        <w:rPr>
          <w:rFonts w:ascii="Arial" w:cs="Arial" w:eastAsia="Arial" w:hAnsi="Arial"/>
          <w:sz w:val="22"/>
          <w:szCs w:val="22"/>
        </w:rPr>
        <w:t xml:space="preserve"> </w:t>
      </w:r>
    </w:p>
    <w:p>
      <w:pPr>
        <w:pStyle w:val="Heading2"/>
        <w:spacing w:after="140" w:before="180"/>
      </w:pPr>
      <w:r>
        <w:rPr>
          <w:rFonts w:ascii="Arial" w:cs="Arial" w:eastAsia="Arial" w:hAnsi="Arial"/>
          <w:b/>
          <w:bCs/>
          <w:color w:val="1F4E79"/>
          <w:sz w:val="26"/>
          <w:szCs w:val="26"/>
        </w:rPr>
        <w:t xml:space="preserve">Corporate engagements (26)</w:t>
      </w:r>
    </w:p>
    <w:p>
      <w:pPr>
        <w:spacing w:after="100"/>
        <w:jc w:val="left"/>
      </w:pPr>
      <w:r>
        <w:rPr>
          <w:rFonts w:ascii="Arial" w:cs="Arial" w:eastAsia="Arial" w:hAnsi="Arial"/>
          <w:sz w:val="20"/>
          <w:szCs w:val="20"/>
        </w:rPr>
        <w:t xml:space="preserve">Corporates use the separate stage5_notes architecture with its own validator (validateCorporateFSReconciliation) feeding the same FsHealthPanel. All 26 have notes data. The panel monitors them on every page load with the identical three-way COA/Note/Face check.</w:t>
      </w:r>
    </w:p>
    <w:p>
      <w:r>
        <w:br w:type="page"/>
      </w:r>
    </w:p>
    <w:p>
      <w:pPr>
        <w:pStyle w:val="Heading1"/>
        <w:spacing w:after="200" w:before="240"/>
      </w:pPr>
      <w:r>
        <w:rPr>
          <w:rFonts w:ascii="Arial" w:cs="Arial" w:eastAsia="Arial" w:hAnsi="Arial"/>
          <w:b/>
          <w:bCs/>
          <w:color w:val="1F4E79"/>
          <w:sz w:val="32"/>
          <w:szCs w:val="32"/>
        </w:rPr>
        <w:t xml:space="preserve">Section B — 5 new root causes (1 caught by you, 4 by code audit) + 3 cleared</w:t>
      </w:r>
    </w:p>
    <w:p>
      <w:pPr>
        <w:spacing w:after="200"/>
        <w:jc w:val="left"/>
      </w:pPr>
      <w:r>
        <w:rPr>
          <w:rFonts w:ascii="Arial" w:cs="Arial" w:eastAsia="Arial" w:hAnsi="Arial"/>
          <w:sz w:val="22"/>
          <w:szCs w:val="22"/>
        </w:rPr>
        <w:t xml:space="preserve">You asked for at least 5-6 more root causes. Result: 5 REAL vectors closed (commits b9fcbfbb + c06c0a5c) + 3 audited-and-cleared areas. 8 surfaces examined in depth.</w:t>
      </w:r>
    </w:p>
    <w:p>
      <w:pPr>
        <w:pStyle w:val="Heading2"/>
        <w:spacing w:after="140" w:before="180"/>
      </w:pPr>
      <w:r>
        <w:rPr>
          <w:rFonts w:ascii="Arial" w:cs="Arial" w:eastAsia="Arial" w:hAnsi="Arial"/>
          <w:b/>
          <w:bCs/>
          <w:color w:val="1F4E79"/>
          <w:sz w:val="26"/>
          <w:szCs w:val="26"/>
        </w:rPr>
        <w:t xml:space="preserve">RC-10 (ACTIVE — the BHAKTI INFRA mismatch you screenshotted)</w:t>
      </w:r>
    </w:p>
    <w:p>
      <w:pPr>
        <w:spacing w:after="100"/>
        <w:jc w:val="left"/>
      </w:pPr>
      <w:r>
        <w:rPr>
          <w:rFonts w:ascii="Arial" w:cs="Arial" w:eastAsia="Arial" w:hAnsi="Arial"/>
          <w:sz w:val="22"/>
          <w:szCs w:val="22"/>
        </w:rPr>
        <w:t xml:space="preserve">Borrowings is a Long-Term/Short-Term split note (Pattern A): every row value is stored under _lt / _st suffixed keys, and the Notes UI renderer reads ONLY suffixed keys. The COA Reconciliation Adjustment was written as a BARE key — the canonical aggregator picked it up via a fallback (so the BS face and the health panel showed "reconciled"), but the renderer displayed the row blank and excluded it from the on-screen total. You saw ₹3,74,94,223 on the note vs ₹73,30,715 on the face — both "correct" by their own reader, disagreeing on screen.</w:t>
      </w:r>
    </w:p>
    <w:p>
      <w:pPr>
        <w:spacing w:after="100"/>
        <w:jc w:val="left"/>
      </w:pPr>
      <w:r>
        <w:rPr>
          <w:rFonts w:ascii="Arial" w:cs="Arial" w:eastAsia="Arial" w:hAnsi="Arial"/>
          <w:color w:val="008000"/>
          <w:sz w:val="22"/>
          <w:szCs w:val="22"/>
        </w:rPr>
        <w:t xml:space="preserve">Fix: one-time migration moved the value to coa_reconcile_balance_lt on all 4 affected notes (BHAKTI, MAHIL, AMBER GUM, SHRI RAM); the fix-SQL template now always writes suffixed keys for Pattern A note types. Verified live after the fix: BHAKTI Note 3 grand total reads ₹73,30,715 CY / ₹2,61,15,547 PY — identical to the BS face, with the adjustment row now visible.</w:t>
      </w:r>
    </w:p>
    <w:p>
      <w:pPr>
        <w:spacing w:after="100"/>
        <w:jc w:val="left"/>
      </w:pPr>
      <w:r>
        <w:rPr>
          <w:rFonts w:ascii="Arial" w:cs="Arial" w:eastAsia="Arial" w:hAnsi="Arial"/>
          <w:i/>
          <w:iCs/>
          <w:sz w:val="22"/>
          <w:szCs w:val="22"/>
        </w:rPr>
        <w:t xml:space="preserve">Lesson encoded: "reconciled" must mean ALL FOUR readers agree — canonical aggregator, BS face, health panel, AND the renderer the auditor actually looks at. The renderer was the missing fourth check.</w:t>
      </w:r>
    </w:p>
    <w:p>
      <w:pPr>
        <w:pStyle w:val="Heading2"/>
        <w:spacing w:after="140" w:before="180"/>
      </w:pPr>
      <w:r>
        <w:rPr>
          <w:rFonts w:ascii="Arial" w:cs="Arial" w:eastAsia="Arial" w:hAnsi="Arial"/>
          <w:b/>
          <w:bCs/>
          <w:color w:val="1F4E79"/>
          <w:sz w:val="26"/>
          <w:szCs w:val="26"/>
        </w:rPr>
        <w:t xml:space="preserve">RC-6 (ACTIVE in your data) — Legacy corporate codes invisible to the validator</w:t>
      </w:r>
    </w:p>
    <w:p>
      <w:pPr>
        <w:spacing w:after="100"/>
        <w:jc w:val="left"/>
      </w:pPr>
      <w:r>
        <w:rPr>
          <w:rFonts w:ascii="Arial" w:cs="Arial" w:eastAsia="Arial" w:hAnsi="Arial"/>
          <w:sz w:val="22"/>
          <w:szCs w:val="22"/>
        </w:rPr>
        <w:t xml:space="preserve">A ledger on an NCE engagement can be mapped to a corporate twin code — BS_CL_STB instead of NCE_STB, PL_EXP_OTH instead of NCE_OTH_EXP. The note auto-populate accepts these (by design), so the amount enters the note. But the COA anchor was keyed by the raw code, while the health panel reads only NCE_* keys → the amount vanished from the COA side → phantom drift.</w:t>
      </w:r>
    </w:p>
    <w:p>
      <w:pPr>
        <w:spacing w:after="100"/>
        <w:jc w:val="left"/>
      </w:pPr>
      <w:r>
        <w:rPr>
          <w:rFonts w:ascii="Arial" w:cs="Arial" w:eastAsia="Arial" w:hAnsi="Arial"/>
          <w:color w:val="B45309"/>
          <w:sz w:val="22"/>
          <w:szCs w:val="22"/>
        </w:rPr>
        <w:t xml:space="preserve">Live proof in your data: SWASTIK BUILDCON, ledger "Plot No-43 Narendrakumar Kantilal Modi" mapped to BS_CL_STB. Balance is ₹0 today — the moment it gets a balance on the next Tally sync, the OLD code would have shown drift. The new CANONICAL_NCE_CODE fold makes that impossible.</w:t>
      </w:r>
    </w:p>
    <w:p>
      <w:pPr>
        <w:spacing w:after="100"/>
        <w:jc w:val="left"/>
      </w:pPr>
      <w:r>
        <w:rPr>
          <w:rFonts w:ascii="Arial" w:cs="Arial" w:eastAsia="Arial" w:hAnsi="Arial"/>
          <w:color w:val="008000"/>
          <w:sz w:val="22"/>
          <w:szCs w:val="22"/>
        </w:rPr>
        <w:t xml:space="preserve">Fix: every legacy code now folds into its canonical NCE code inside computeCOATotals. The SQL sweep got the same fold.</w:t>
      </w:r>
    </w:p>
    <w:p>
      <w:pPr>
        <w:pStyle w:val="Heading2"/>
        <w:spacing w:after="140" w:before="180"/>
      </w:pPr>
      <w:r>
        <w:rPr>
          <w:rFonts w:ascii="Arial" w:cs="Arial" w:eastAsia="Arial" w:hAnsi="Arial"/>
          <w:b/>
          <w:bCs/>
          <w:color w:val="1F4E79"/>
          <w:sz w:val="26"/>
          <w:szCs w:val="26"/>
        </w:rPr>
        <w:t xml:space="preserve">RC-7 — Pattern A bare-key PY values silently dropped</w:t>
      </w:r>
    </w:p>
    <w:p>
      <w:pPr>
        <w:spacing w:after="100"/>
        <w:jc w:val="left"/>
      </w:pPr>
      <w:r>
        <w:rPr>
          <w:rFonts w:ascii="Arial" w:cs="Arial" w:eastAsia="Arial" w:hAnsi="Arial"/>
          <w:sz w:val="22"/>
          <w:szCs w:val="22"/>
        </w:rPr>
        <w:t xml:space="preserve">For LT/ST split notes (borrowings, provisions, loans &amp; advances, investments), the bare-vs-suffixed key decision was made from CY data alone. If PY data carried only a bare key (legacy save, or a SQL data fix like coa_reconcile_balance) while CY had _lt/_st keys, the PY value read as 0 — disappearing from the PY total with no error.</w:t>
      </w:r>
    </w:p>
    <w:p>
      <w:pPr>
        <w:spacing w:after="100"/>
        <w:jc w:val="left"/>
      </w:pPr>
      <w:r>
        <w:rPr>
          <w:rFonts w:ascii="Arial" w:cs="Arial" w:eastAsia="Arial" w:hAnsi="Arial"/>
          <w:color w:val="008000"/>
          <w:sz w:val="22"/>
          <w:szCs w:val="22"/>
        </w:rPr>
        <w:t xml:space="preserve">Fix: each column (CY / PY) now decides bare-vs-suffixed independently. The double-count guard is preserved per column.</w:t>
      </w:r>
    </w:p>
    <w:p>
      <w:pPr>
        <w:pStyle w:val="Heading2"/>
        <w:spacing w:after="140" w:before="180"/>
      </w:pPr>
      <w:r>
        <w:rPr>
          <w:rFonts w:ascii="Arial" w:cs="Arial" w:eastAsia="Arial" w:hAnsi="Arial"/>
          <w:b/>
          <w:bCs/>
          <w:color w:val="1F4E79"/>
          <w:sz w:val="26"/>
          <w:szCs w:val="26"/>
        </w:rPr>
        <w:t xml:space="preserve">RC-8 — Numeric strings excluded from the face but shown by the renderer</w:t>
      </w:r>
    </w:p>
    <w:p>
      <w:pPr>
        <w:spacing w:after="100"/>
        <w:jc w:val="left"/>
      </w:pPr>
      <w:r>
        <w:rPr>
          <w:rFonts w:ascii="Arial" w:cs="Arial" w:eastAsia="Arial" w:hAnsi="Arial"/>
          <w:sz w:val="22"/>
          <w:szCs w:val="22"/>
        </w:rPr>
        <w:t xml:space="preserve">A value stored as the string "45000" (instead of the number 45000) was skipped by the face aggregator's strict type check but displayed by the renderer's Number() coercion — the Notes UI total and the BS face could differ with no visible cause. Your data is clean today (all 4,084 values are proper numbers) — this is purely preventive.</w:t>
      </w:r>
    </w:p>
    <w:p>
      <w:pPr>
        <w:spacing w:after="100"/>
        <w:jc w:val="left"/>
      </w:pPr>
      <w:r>
        <w:rPr>
          <w:rFonts w:ascii="Arial" w:cs="Arial" w:eastAsia="Arial" w:hAnsi="Arial"/>
          <w:color w:val="008000"/>
          <w:sz w:val="22"/>
          <w:szCs w:val="22"/>
        </w:rPr>
        <w:t xml:space="preserve">Fix: clean numeric strings now coerce; garbage still skipped.</w:t>
      </w:r>
    </w:p>
    <w:p>
      <w:pPr>
        <w:pStyle w:val="Heading2"/>
        <w:spacing w:after="140" w:before="180"/>
      </w:pPr>
      <w:r>
        <w:rPr>
          <w:rFonts w:ascii="Arial" w:cs="Arial" w:eastAsia="Arial" w:hAnsi="Arial"/>
          <w:b/>
          <w:bCs/>
          <w:color w:val="1F4E79"/>
          <w:sz w:val="26"/>
          <w:szCs w:val="26"/>
        </w:rPr>
        <w:t xml:space="preserve">RC-9 — Ledger-name matching asymmetry + duplicate-row exposure</w:t>
      </w:r>
    </w:p>
    <w:p>
      <w:pPr>
        <w:spacing w:after="100"/>
        <w:jc w:val="left"/>
      </w:pPr>
      <w:r>
        <w:rPr>
          <w:rFonts w:ascii="Arial" w:cs="Arial" w:eastAsia="Arial" w:hAnsi="Arial"/>
          <w:sz w:val="22"/>
          <w:szCs w:val="22"/>
        </w:rPr>
        <w:t xml:space="preserve">The CY pass matched ledger names EXACTLY while the PY pass trimmed whitespace — a trailing space in either the TB name or the mapping key dropped the ledger from one column only. Separately, if a Tally re-sync ever left duplicate rows, both would be summed. Your data is clean today (0 whitespace mappings, 0 duplicate rows among 56,852) — preventive.</w:t>
      </w:r>
    </w:p>
    <w:p>
      <w:pPr>
        <w:spacing w:after="100"/>
        <w:jc w:val="left"/>
      </w:pPr>
      <w:r>
        <w:rPr>
          <w:rFonts w:ascii="Arial" w:cs="Arial" w:eastAsia="Arial" w:hAnsi="Arial"/>
          <w:color w:val="008000"/>
          <w:sz w:val="22"/>
          <w:szCs w:val="22"/>
        </w:rPr>
        <w:t xml:space="preserve">Fix: both passes now try exact then trimmed; exact-duplicate TB rows dedupe to last-row-wins.</w:t>
      </w:r>
    </w:p>
    <w:p>
      <w:pPr>
        <w:pStyle w:val="Heading2"/>
        <w:spacing w:after="140" w:before="180"/>
      </w:pPr>
      <w:r>
        <w:rPr>
          <w:rFonts w:ascii="Arial" w:cs="Arial" w:eastAsia="Arial" w:hAnsi="Arial"/>
          <w:b/>
          <w:bCs/>
          <w:color w:val="1F4E79"/>
          <w:sz w:val="26"/>
          <w:szCs w:val="26"/>
        </w:rPr>
        <w:t xml:space="preserve">Audited and CLEARED (no bug — verified safe)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sz w:val="21"/>
          <w:szCs w:val="21"/>
        </w:rPr>
        <w:t xml:space="preserve">Hidden rows (_hidden_rows): visually hidden rows still count in totals — correct audit behaviour, intentional.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sz w:val="21"/>
          <w:szCs w:val="21"/>
        </w:rPr>
        <w:t xml:space="preserve">Sectioned custom rows: counted via their section total which feeds the grand total — every section formula verified complete.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sz w:val="21"/>
          <w:szCs w:val="21"/>
        </w:rPr>
        <w:t xml:space="preserve">COA Mapping page CY total vs the panel's COA anchor: both use the identical signedBalance convention — no divergence possible.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sz w:val="21"/>
          <w:szCs w:val="21"/>
        </w:rPr>
        <w:t xml:space="preserve">ledger_aliases: feature is unused (0 rows in DB). Flagged as a future divergence vector if ever used — the FS face applies aliases but the COA anchor and auto-populate don't. Documented for the day someone creates the first alias.</w:t>
      </w:r>
    </w:p>
    <w:p>
      <w:r>
        <w:br w:type="page"/>
      </w:r>
    </w:p>
    <w:p>
      <w:pPr>
        <w:pStyle w:val="Heading1"/>
        <w:spacing w:after="200" w:before="240"/>
      </w:pPr>
      <w:r>
        <w:rPr>
          <w:rFonts w:ascii="Arial" w:cs="Arial" w:eastAsia="Arial" w:hAnsi="Arial"/>
          <w:b/>
          <w:bCs/>
          <w:color w:val="1F4E79"/>
          <w:sz w:val="32"/>
          <w:szCs w:val="32"/>
        </w:rPr>
        <w:t xml:space="preserve">Section C — The complete defence stack (why mismatches cannot recur)</w:t>
      </w:r>
    </w:p>
    <w:p>
      <w:pPr>
        <w:pStyle w:val="Heading2"/>
        <w:spacing w:after="140" w:before="180"/>
      </w:pPr>
      <w:r>
        <w:rPr>
          <w:rFonts w:ascii="Arial" w:cs="Arial" w:eastAsia="Arial" w:hAnsi="Arial"/>
          <w:b/>
          <w:bCs/>
          <w:color w:val="1F4E79"/>
          <w:sz w:val="26"/>
          <w:szCs w:val="26"/>
        </w:rPr>
        <w:t xml:space="preserve">Layer 1 — Single sign convention</w:t>
      </w:r>
    </w:p>
    <w:p>
      <w:pPr>
        <w:spacing w:after="100"/>
        <w:jc w:val="left"/>
      </w:pPr>
      <w:r>
        <w:rPr>
          <w:rFonts w:ascii="Arial" w:cs="Arial" w:eastAsia="Arial" w:hAnsi="Arial"/>
          <w:sz w:val="22"/>
          <w:szCs w:val="22"/>
        </w:rPr>
        <w:t xml:space="preserve">fsSignConvention.ts is the only place a Dr/Cr balance becomes +/−. Both the COA page and the reconciliation anchor call it.</w:t>
      </w:r>
    </w:p>
    <w:p>
      <w:pPr>
        <w:pStyle w:val="Heading2"/>
        <w:spacing w:after="140" w:before="180"/>
      </w:pPr>
      <w:r>
        <w:rPr>
          <w:rFonts w:ascii="Arial" w:cs="Arial" w:eastAsia="Arial" w:hAnsi="Arial"/>
          <w:b/>
          <w:bCs/>
          <w:color w:val="1F4E79"/>
          <w:sz w:val="26"/>
          <w:szCs w:val="26"/>
        </w:rPr>
        <w:t xml:space="preserve">Layer 2 — Single aggregator</w:t>
      </w:r>
    </w:p>
    <w:p>
      <w:pPr>
        <w:spacing w:after="100"/>
        <w:jc w:val="left"/>
      </w:pPr>
      <w:r>
        <w:rPr>
          <w:rFonts w:ascii="Arial" w:cs="Arial" w:eastAsia="Arial" w:hAnsi="Arial"/>
          <w:sz w:val="22"/>
          <w:szCs w:val="22"/>
        </w:rPr>
        <w:t xml:space="preserve">computeNoteTotals drives the Note Total row, the BS/P&amp;L face, the renderer's per-row sums, AND the DOCX export. One algorithm, four consumers — they cannot disagree.</w:t>
      </w:r>
    </w:p>
    <w:p>
      <w:pPr>
        <w:pStyle w:val="Heading2"/>
        <w:spacing w:after="140" w:before="180"/>
      </w:pPr>
      <w:r>
        <w:rPr>
          <w:rFonts w:ascii="Arial" w:cs="Arial" w:eastAsia="Arial" w:hAnsi="Arial"/>
          <w:b/>
          <w:bCs/>
          <w:color w:val="1F4E79"/>
          <w:sz w:val="26"/>
          <w:szCs w:val="26"/>
        </w:rPr>
        <w:t xml:space="preserve">Layer 3 — UI write-protection</w:t>
      </w:r>
    </w:p>
    <w:p>
      <w:pPr>
        <w:spacing w:after="100"/>
        <w:jc w:val="left"/>
      </w:pPr>
      <w:r>
        <w:rPr>
          <w:rFonts w:ascii="Arial" w:cs="Arial" w:eastAsia="Arial" w:hAnsi="Arial"/>
          <w:sz w:val="22"/>
          <w:szCs w:val="22"/>
        </w:rPr>
        <w:t xml:space="preserve">All 9 UI paths that previously overwrote audit-verified note data are removed or no-op (commits 15e931d6, 7a1ddb8b, 5106ea37). The DB is the single source of truth.</w:t>
      </w:r>
    </w:p>
    <w:p>
      <w:pPr>
        <w:pStyle w:val="Heading2"/>
        <w:spacing w:after="140" w:before="180"/>
      </w:pPr>
      <w:r>
        <w:rPr>
          <w:rFonts w:ascii="Arial" w:cs="Arial" w:eastAsia="Arial" w:hAnsi="Arial"/>
          <w:b/>
          <w:bCs/>
          <w:color w:val="1F4E79"/>
          <w:sz w:val="26"/>
          <w:szCs w:val="26"/>
        </w:rPr>
        <w:t xml:space="preserve">Layer 4 — Structural BS balance</w:t>
      </w:r>
    </w:p>
    <w:p>
      <w:pPr>
        <w:spacing w:after="100"/>
        <w:jc w:val="left"/>
      </w:pPr>
      <w:r>
        <w:rPr>
          <w:rFonts w:ascii="Arial" w:cs="Arial" w:eastAsia="Arial" w:hAnsi="Arial"/>
          <w:sz w:val="22"/>
          <w:szCs w:val="22"/>
        </w:rPr>
        <w:t xml:space="preserve">CY and PY residual absorbers force Σ Assets = Σ E+L on every NCE engagement, landing any TB-level inconsistency in the Capital Account (your stated exemption). BS CHECK can no longer go red from unmapped partner introductions / unclosed books.</w:t>
      </w:r>
    </w:p>
    <w:p>
      <w:pPr>
        <w:pStyle w:val="Heading2"/>
        <w:spacing w:after="140" w:before="180"/>
      </w:pPr>
      <w:r>
        <w:rPr>
          <w:rFonts w:ascii="Arial" w:cs="Arial" w:eastAsia="Arial" w:hAnsi="Arial"/>
          <w:b/>
          <w:bCs/>
          <w:color w:val="1F4E79"/>
          <w:sz w:val="26"/>
          <w:szCs w:val="26"/>
        </w:rPr>
        <w:t xml:space="preserve">Layer 5 — Runtime tripwire</w:t>
      </w:r>
    </w:p>
    <w:p>
      <w:pPr>
        <w:spacing w:after="100"/>
        <w:jc w:val="left"/>
      </w:pPr>
      <w:r>
        <w:rPr>
          <w:rFonts w:ascii="Arial" w:cs="Arial" w:eastAsia="Arial" w:hAnsi="Arial"/>
          <w:sz w:val="22"/>
          <w:szCs w:val="22"/>
        </w:rPr>
        <w:t xml:space="preserve">FsHealthPanel runs the three-way COA/Note/Face comparison on every page load — now with correct sign handling, correct PY anchors, and legacy-code folding. Any future code change that breaks an invariant shows up as a red banner the same day, on the right note, with the right numbers.</w:t>
      </w:r>
    </w:p>
    <w:p>
      <w:pPr>
        <w:pStyle w:val="Heading2"/>
        <w:spacing w:after="140" w:before="180"/>
      </w:pPr>
      <w:r>
        <w:rPr>
          <w:rFonts w:ascii="Arial" w:cs="Arial" w:eastAsia="Arial" w:hAnsi="Arial"/>
          <w:b/>
          <w:bCs/>
          <w:color w:val="1F4E79"/>
          <w:sz w:val="26"/>
          <w:szCs w:val="26"/>
        </w:rPr>
        <w:t xml:space="preserve">Layer 6 — Go-forward SQL assurance sweep</w:t>
      </w:r>
    </w:p>
    <w:p>
      <w:pPr>
        <w:spacing w:after="100"/>
        <w:jc w:val="left"/>
      </w:pPr>
      <w:r>
        <w:rPr>
          <w:rFonts w:ascii="Arial" w:cs="Arial" w:eastAsia="Arial" w:hAnsi="Arial"/>
          <w:sz w:val="22"/>
          <w:szCs w:val="22"/>
        </w:rPr>
        <w:t xml:space="preserve">nce_assurance_sweep.sql replicates the panel's check across the whole book in one query — legacy-code aware. Run it any time for an instant 49-engagement assurance table; re-run nce_drift_fix.sql to close any new gap idempotently.</w:t>
      </w:r>
    </w:p>
    <w:sectPr>
      <w:footerReference w:type="default" r:id="rId7"/>
      <w:pgSz w:w="12240" w:h="15840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cs="Arial" w:eastAsia="Arial" w:hAnsi="Arial"/>
        <w:color w:val="808080"/>
        <w:sz w:val="18"/>
        <w:szCs w:val="18"/>
      </w:rPr>
      <w:t xml:space="preserve">CAFlow Full-Book FS Assurance Report v8 — Page </w:t>
    </w:r>
    <w:r>
      <w:rPr>
        <w:rFonts w:ascii="Arial" w:cs="Arial" w:eastAsia="Arial" w:hAnsi="Arial"/>
        <w:color w:val="808080"/>
        <w:sz w:val="18"/>
        <w:szCs w:val="18"/>
      </w:rPr>
      <w:fldChar w:fldCharType="begin"/>
      <w:instrText xml:space="preserve">PAGE</w:instrText>
      <w:fldChar w:fldCharType="separate"/>
      <w:fldChar w:fldCharType="end"/>
    </w:r>
    <w:r>
      <w:rPr>
        <w:rFonts w:ascii="Arial" w:cs="Arial" w:eastAsia="Arial" w:hAnsi="Arial"/>
        <w:color w:val="808080"/>
        <w:sz w:val="18"/>
        <w:szCs w:val="18"/>
      </w:rPr>
      <w:t xml:space="preserve"> — 12 June 2026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00" w:before="240"/>
      <w:outlineLvl w:val="0"/>
    </w:pPr>
    <w:rPr>
      <w:rFonts w:ascii="Arial" w:cs="Arial" w:eastAsia="Arial" w:hAnsi="Arial"/>
      <w:b/>
      <w:bCs/>
      <w:color w:val="1F4E79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40" w:before="180"/>
      <w:outlineLvl w:val="1"/>
    </w:pPr>
    <w:rPr>
      <w:rFonts w:ascii="Arial" w:cs="Arial" w:eastAsia="Arial" w:hAnsi="Arial"/>
      <w:b/>
      <w:bCs/>
      <w:color w:val="1F4E79"/>
      <w:sz w:val="25"/>
      <w:szCs w:val="25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2026-06-12T06:23:03.648Z</dcterms:created>
  <dcterms:modified xsi:type="dcterms:W3CDTF">2026-06-12T06:23:03.649Z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