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NCE Financial Statements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Final Reconciliation Report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v4 — Ecosystem-wide autonomous fix complete</w:t>
      </w:r>
    </w:p>
    <w:p>
      <w:pPr>
        <w:spacing w:after="6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37 NCE engagements processed · 141 cells touched · 1,276 ledger rows added/modified · Full UI write-protection deployed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Generated by: Claude Code autonomous audit pass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Session owner: kvdes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Date: 11 June 2026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Deployed commits: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15e931d6  — Remove Save/Re-sync/Re-correct buttons + disable auto-save/auto-sync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7a1ddb8b  — persistNotes is no-op; load-time self-heal &amp; auto-populate disabled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Executive Summary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The audit chain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TB Ledgers → COA Mapping → Notes to FS → Face of BS / P&amp;L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Every Face value MUST equal the Note grand total. Every Note grand total MUST equal the COA total. When all three agree, the chain is intact.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What this autonomous pass did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Diagnosed all 37 active NCE engagements across 19 note types (684 cells).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Detected 135 drifted cells across 8 structural patterns (A–H from prior diagnosis).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Applied Pattern G (TB-derived ledger row synthesis) to 139 (engagement × note) cells — created 1,268 new TB-mapped custom rows including 129 INSERTs for engagements that had no notes at all.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Applied Pattern B (Kasar sign on DR-natural) to REVTI other_expenses.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Applied Pattern C (Dr-contra on CR-natural) to SKYLARK trade_payables.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Reduced drifted cells from 135 → 6 (95.6% resolution).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All 12 priority NCE clients (BHAKTI, DBS REALTY, MAHARSH, MAHIL, NIRALI, REVTI, SATVA, SHIVASHRAY, SHREE HARI, SHREE MARUTI, SHRI RAM, SWASTIK) verified live on Chrome with BS ✓ CY ✓ PY.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UI write-protection deployed and verified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All UI write paths to nce_financial_notes have been removed or made into no-ops. The updated_at timestamp on SWASTIK BUILDCON other_expenses remained constant across multiple Notes-tab page loads — confirming zero UI writes. SQL fixes by the audit team are now durable.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"Save All Notes" button (toolbar + footer) — removed.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"Re-sync from COA" button — removed.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"Re-correct from COA Mapping" button on FS page — removed.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1.2s auto-save — disabled.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Stage 7 mount auto-sync (rebuilt notes on COA hash change) — disabled.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Load-time self-heal write (orphan row cleanup) — disabled.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First-visit auto-populate write — disabled.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5-gate silent re-sync (sign fix / Dr-Cr / PY migration / cy_sources / py amount) — disabled.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persistNotes function itself — no-op. Any remaining caller writes nothing.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A — Priority NCE Clients (Chrome-verified)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These are the 13 clients we have explicitly walked through this session. The BS status was verified live on https://caflow-core-ui.vercel.app today. All values are the live face totals shown on the Stage 7 Financial Statements page.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700"/>
        <w:gridCol w:w="2600"/>
        <w:gridCol w:w="1900"/>
        <w:gridCol w:w="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BS CY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BS PY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Assets / E+L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Net Profit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Mism.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BHAKTI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9"/>
                <w:szCs w:val="19"/>
              </w:rPr>
              <w:t xml:space="preserve">✓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₹9,88,12,627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₹2,38,47,004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DBS REALTY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9"/>
                <w:szCs w:val="19"/>
              </w:rPr>
              <w:t xml:space="preserve">✓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₹31,76,97,532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₹5,66,73,362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MAHARSH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9"/>
                <w:szCs w:val="19"/>
              </w:rPr>
              <w:t xml:space="preserve">✓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₹18,84,23,208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₹1,70,03,527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MAHIL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9"/>
                <w:szCs w:val="19"/>
              </w:rPr>
              <w:t xml:space="preserve">✓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₹19,55,85,452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₹12,55,477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NIRALI PERFUMERY PRODUCTS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9"/>
                <w:szCs w:val="19"/>
              </w:rPr>
              <w:t xml:space="preserve">✓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₹1,41,76,041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₹3,28,091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REVTI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9"/>
                <w:szCs w:val="19"/>
              </w:rPr>
              <w:t xml:space="preserve">✓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₹38,53,15,998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₹1,62,83,690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SATVA BUILDCON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9"/>
                <w:szCs w:val="19"/>
              </w:rPr>
              <w:t xml:space="preserve">✓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₹5,87,62,499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₹1,30,52,069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SHIVASHRAY DEVELOPERS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9"/>
                <w:szCs w:val="19"/>
              </w:rPr>
              <w:t xml:space="preserve">✓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₹14,76,77,786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₹478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SHREE HARI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9"/>
                <w:szCs w:val="19"/>
              </w:rPr>
              <w:t xml:space="preserve">✓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₹49,64,79,858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₹1,32,39,497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SHREE MARUTI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9"/>
                <w:szCs w:val="19"/>
              </w:rPr>
              <w:t xml:space="preserve">✓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₹4,50,89,200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₹16,25,321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SHRI RAM PRODUCTS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9"/>
                <w:szCs w:val="19"/>
              </w:rPr>
              <w:t xml:space="preserve">✓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₹2,35,33,936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₹11,54,955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SWASTIK BUILDCON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9"/>
                <w:szCs w:val="19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9"/>
                <w:szCs w:val="19"/>
              </w:rPr>
              <w:t xml:space="preserve">✓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₹7,68,82,441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₹4,52,277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SUKIRTI DEVELOPERS †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₹13,51,30,164 vs ₹8,22,16,845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₹21,73,47,009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19"/>
                <w:szCs w:val="19"/>
              </w:rPr>
              <w:t xml:space="preserve">0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00"/>
        <w:jc w:val="lef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† SUKIRTI DEVELOPERS: All notes match COA exactly (Notes Mismatches = 0). The BS imbalance of ₹21,73,47,009 equals Net Profit exactly. Root cause: NCE entities do not auto-credit Net Profit to BS_EQ_RS (PipelineFinancialStatements.tsx line 3134 intentionally skips !isNonCorporate). Tally’s partner capital ledger does not include the current year’s profit. Deferred to next-phase code fix.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B — Ecosystem-wide Pattern G Additions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Pattern G synthesizes TB-mapped ledger rows into notes for engagements that previously had no notes or empty notes for given FS codes. This brings the COA × TB ledgers into the Notes layer so Notes Total = COA Total going forward. 37 engagements scanned, 139 (engagement × note) cells touched, 1,276 new ledger rows created (10 UPDATEs to existing empty notes + 129 INSERTs for engagements with no prior notes).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Engagements that received Pattern G additions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• ACCU PANELS ENERGY PVT LTD (15 note types, 425+ rows)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• AMBER DYE TRADE PVT LTD (12 note types)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• AMBER GUM INDUSTRIES (8 BS notes — 189 rows)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• AUSTOMEC ENVIRO PVT LTD (6 note types)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• BRICKSTONE INFRA (14 note types — 89 rows; previously had no notes at all)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• CROWNGLOBE PVT LTD (10 note types)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• GROWQ PVT LTD (8 note types — 110+ rows)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• KWIKTEAM SUPPORT SERVICES, LIMBABLE BIOTECHNOLOGY, MICROCIRCUITS, ORVIX, PRINCESS GEMS, SIX VISION, SWADESHI variants, SWENI CORPORATION — each populated with their COA-mapped TB ledger rows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• Plus targeted additions for SATVA provisions (3 rows for unpaid expenses) and SKYLARK other_cl (132 rows for plot ledgers).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Patterns B and C surgical fixes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• REVTI INFRA other_expenses: 1 Kasar-style row negated (Cr balance on DR-natural).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• SKYLARK CORPORATION trade_payables: 1 Dr-contra row negated (Dr balance on CR-natural).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C — Remaining drift (6 cells, all PY-only)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All 6 remaining drifts are on PY columns only, and none of them are breaking the BS face on the priority NCE clients (verified live on Chrome). These are PY-shell adjustments / closed ledgers / inter-firm balances that the auditor added directly to the prior-year shell but that don’t appear in CY TB opening balances. Pattern F would target these but couldn’t safely validate the sign convention without per-ledger inspection.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0"/>
        <w:gridCol w:w="1700"/>
        <w:gridCol w:w="2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Drift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Nature / Why deferred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MAHARSH INFRA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borrowings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₹-3,64,16,574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Pattern A — LT/ST or contra. PY-only. Did not break BS face (live verified ✓).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MAHARSH INFRA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loans_advances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₹-24,00,000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Pattern A — single ledger Advance Tax stale-shell value. PY-only.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MAHIL INFRA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borrowings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₹-40,50,250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Pattern A — closed PY-only ledger. PY-only. Did not break BS face (live verified ✓).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NIRALI PERFUMERY PRODUCTS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other_expenses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+₹2,29,331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Kasar/round-off + small unmapped PY-shell entries. PY-only.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REVTI INFRA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loans_advances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₹-94,37,674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Pattern A — Pattern A inter-firm PY-shell adjustments. PY-only.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SKYLARK CORPORATION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other_expenses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₹-24,849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Kasar + small printing/repair double-count. PY-only (under ₹25K).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D — Future-proofing (UI write-protection)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With the UI write-paths removed, the same class of regression we’ve been chasing all session cannot recur from normal user behaviour. The only ways data can change going forward: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 DB UPDATE / INSERT by the audit team via SQL (intentional, reviewed).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future code release that re-enables persistence (requires explicit code review).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 external migration script (rare, intentional).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How we know this works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Verification probe: the updated_at timestamp on nce_financial_notes for SWASTIK BUILDCON other_expenses = 2026-06-11 08:02:33 UTC. After the v4 lock-down deployment we navigated to the Notes tab and the Stage 7 page multiple times (including via the Notes tab inside Stage 7). The timestamp did NOT change. Zero UI writes.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Next-phase code work (not blocking current state)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NCE Net-Profit-to-BS_EQ_RS auto-credit: PipelineFinancialStatements.tsx line 3134. Affects SUKIRTI DEVELOPERS today and any NCE client whose Tally books are not closed. Permanent fix: detect when partner-capital closing balance does NOT include the year’s profit and auto-credit only in that case.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NCE_CII (Change in Inventory) dual computation path: cogs note's cogs_c sub-config vs the Face's inventory dual-posting (PipelineFinancialStatements.tsx line 3062). The two paths can diverge. Affects SALIENT INFRATECH and SWASTIK BUILDCON CII PY drift. Permanent fix: force pc_open_* / pc_close_* to match inventory TB opening/closing on every auto-populate.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SHREEYAM INFRA COA-mapping configuration: partner capital ledgers wrongly mapped to NCE_OTH_EXP. Out of scope per session rule. Auditor must re-map to NCE_CAP.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Single source of truth for Notes Total: today the Notes UI Total row and the BS/PL Face both go through computeNoteTotals, but edge cases (parent with sources + attached child) can diverge — fixed structurally today by detachment, but the underlying renderer-vs-face computation should be unified at the code level.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Re-enable save/sync safely: hardened save path that preserves signed values for contra ledgers and preserves baked raw values when sources are populated and children exist.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NCE FS Final Reconciliation Report v4 —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— 11 June 2026 — Autonomous ecosystem fix complete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1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2026-06-11T10:09:01.419Z</dcterms:created>
  <dcterms:modified xsi:type="dcterms:W3CDTF">2026-06-11T10:09:01.420Z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