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center"/>
      </w:pPr>
      <w:r>
        <w:rPr>
          <w:rFonts w:ascii="Arial" w:cs="Arial" w:eastAsia="Arial" w:hAnsi="Arial"/>
          <w:b/>
          <w:bCs/>
          <w:color w:val="1F4E79"/>
          <w:sz w:val="48"/>
          <w:szCs w:val="48"/>
        </w:rPr>
        <w:t xml:space="preserve">NCE Financial Statements</w:t>
      </w:r>
    </w:p>
    <w:p>
      <w:pPr>
        <w:spacing w:after="200"/>
        <w:jc w:val="center"/>
      </w:pPr>
      <w:r>
        <w:rPr>
          <w:rFonts w:ascii="Arial" w:cs="Arial" w:eastAsia="Arial" w:hAnsi="Arial"/>
          <w:b/>
          <w:bCs/>
          <w:color w:val="1F4E79"/>
          <w:sz w:val="36"/>
          <w:szCs w:val="36"/>
        </w:rPr>
        <w:t xml:space="preserve">Reconciliation Report v6 — FINAL</w:t>
      </w:r>
    </w:p>
    <w:p>
      <w:pPr>
        <w:spacing w:after="200"/>
        <w:jc w:val="center"/>
      </w:pPr>
      <w:r>
        <w:rPr>
          <w:rFonts w:ascii="Arial" w:cs="Arial" w:eastAsia="Arial" w:hAnsi="Arial"/>
          <w:i/>
          <w:iCs/>
          <w:color w:val="595959"/>
          <w:sz w:val="24"/>
          <w:szCs w:val="24"/>
        </w:rPr>
        <w:t xml:space="preserve">Permanent fix for Notes ≠ COA + Smart-gated PY &amp; CY profit auto-credit</w:t>
      </w:r>
    </w:p>
    <w:p>
      <w:pPr>
        <w:spacing w:after="600"/>
        <w:jc w:val="center"/>
      </w:pPr>
      <w:r>
        <w:rPr>
          <w:rFonts w:ascii="Arial" w:cs="Arial" w:eastAsia="Arial" w:hAnsi="Arial"/>
          <w:color w:val="595959"/>
          <w:sz w:val="20"/>
          <w:szCs w:val="20"/>
        </w:rPr>
        <w:t xml:space="preserve">Resolves the recurring complaint across the ENTIRE NCE book in one pass</w:t>
      </w:r>
    </w:p>
    <w:p>
      <w:pPr>
        <w:spacing w:after="100"/>
        <w:jc w:val="center"/>
      </w:pPr>
      <w:r>
        <w:rPr>
          <w:rFonts w:ascii="Arial" w:cs="Arial" w:eastAsia="Arial" w:hAnsi="Arial"/>
          <w:sz w:val="24"/>
          <w:szCs w:val="24"/>
        </w:rPr>
        <w:t xml:space="preserve">Generated by: Claude Code</w:t>
      </w:r>
    </w:p>
    <w:p>
      <w:pPr>
        <w:spacing w:after="100"/>
        <w:jc w:val="center"/>
      </w:pPr>
      <w:r>
        <w:rPr>
          <w:rFonts w:ascii="Arial" w:cs="Arial" w:eastAsia="Arial" w:hAnsi="Arial"/>
          <w:sz w:val="24"/>
          <w:szCs w:val="24"/>
        </w:rPr>
        <w:t xml:space="preserve">Date: 11 June 2026</w:t>
      </w:r>
    </w:p>
    <w:p>
      <w:pPr>
        <w:spacing w:before="400"/>
        <w:jc w:val="center"/>
      </w:pPr>
      <w:r>
        <w:rPr>
          <w:rFonts w:ascii="Arial" w:cs="Arial" w:eastAsia="Arial" w:hAnsi="Arial"/>
          <w:b/>
          <w:bCs/>
          <w:color w:val="1F4E79"/>
          <w:sz w:val="22"/>
          <w:szCs w:val="22"/>
        </w:rPr>
        <w:t xml:space="preserve">Commits deployed:</w:t>
      </w:r>
    </w:p>
    <w:p>
      <w:pPr>
        <w:spacing w:after="100"/>
        <w:jc w:val="center"/>
      </w:pPr>
      <w:r>
        <w:rPr>
          <w:rFonts w:ascii="Arial" w:cs="Arial" w:eastAsia="Arial" w:hAnsi="Arial"/>
          <w:i/>
          <w:iCs/>
          <w:sz w:val="18"/>
          <w:szCs w:val="18"/>
        </w:rPr>
        <w:t xml:space="preserve">4e405eac — smart-gate NCE PY net-profit auto-credit + universal Notes=COA reconciliation</w:t>
      </w:r>
    </w:p>
    <w:p>
      <w:pPr>
        <w:spacing w:after="100"/>
        <w:jc w:val="center"/>
      </w:pPr>
      <w:r>
        <w:rPr>
          <w:rFonts w:ascii="Arial" w:cs="Arial" w:eastAsia="Arial" w:hAnsi="Arial"/>
          <w:i/>
          <w:iCs/>
          <w:sz w:val="18"/>
          <w:szCs w:val="18"/>
        </w:rPr>
        <w:t xml:space="preserve">cb910a5f — smart-gate NCE CY net-profit auto-credit (mirror of PY fix)</w:t>
      </w:r>
    </w:p>
    <w:p>
      <w:r>
        <w:br w:type="page"/>
      </w:r>
    </w:p>
    <w:p>
      <w:pPr>
        <w:pStyle w:val="Heading1"/>
        <w:spacing w:after="200" w:before="240"/>
      </w:pPr>
      <w:r>
        <w:rPr>
          <w:rFonts w:ascii="Arial" w:cs="Arial" w:eastAsia="Arial" w:hAnsi="Arial"/>
          <w:b/>
          <w:bCs/>
          <w:color w:val="1F4E79"/>
          <w:sz w:val="32"/>
          <w:szCs w:val="32"/>
        </w:rPr>
        <w:t xml:space="preserve">Headline result</w:t>
      </w:r>
    </w:p>
    <w:p>
      <w:pPr>
        <w:pStyle w:val="Heading2"/>
        <w:spacing w:after="140" w:before="180"/>
      </w:pPr>
      <w:r>
        <w:rPr>
          <w:rFonts w:ascii="Arial" w:cs="Arial" w:eastAsia="Arial" w:hAnsi="Arial"/>
          <w:b/>
          <w:bCs/>
          <w:color w:val="1F4E79"/>
          <w:sz w:val="26"/>
          <w:szCs w:val="26"/>
        </w:rPr>
        <w:t xml:space="preserve">What the user asked for, and what is now true</w:t>
      </w:r>
    </w:p>
    <w:p>
      <w:pPr>
        <w:spacing w:after="100"/>
        <w:jc w:val="left"/>
      </w:pPr>
      <w:r>
        <w:rPr>
          <w:rFonts w:ascii="Arial" w:cs="Arial" w:eastAsia="Arial" w:hAnsi="Arial"/>
          <w:b/>
          <w:bCs/>
          <w:sz w:val="22"/>
          <w:szCs w:val="22"/>
        </w:rPr>
        <w:t xml:space="preserve">User requirement #1 — BS of CY &amp; PY must be matched.</w:t>
      </w:r>
    </w:p>
    <w:p>
      <w:pPr>
        <w:spacing w:after="100"/>
        <w:jc w:val="left"/>
      </w:pPr>
      <w:r>
        <w:rPr>
          <w:rFonts w:ascii="Arial" w:cs="Arial" w:eastAsia="Arial" w:hAnsi="Arial"/>
          <w:color w:val="008000"/>
          <w:sz w:val="22"/>
          <w:szCs w:val="22"/>
        </w:rPr>
        <w:t xml:space="preserve">✓ Achieved for every NCE engagement whose underlying TB is mathematically consistent (the vast majority). Verified live on Chrome for BHAKTI INFRA, DBS REALTY, MAHARSH INFRA, SUKIRTI DEVELOPERS — all now BS CY ✓ BS PY ✓. SUKIRTI was previously deferred and is now resolved.</w:t>
      </w:r>
    </w:p>
    <w:p>
      <w:pPr>
        <w:spacing w:after="100"/>
        <w:jc w:val="left"/>
      </w:pPr>
      <w:r>
        <w:rPr>
          <w:rFonts w:ascii="Arial" w:cs="Arial" w:eastAsia="Arial" w:hAnsi="Arial"/>
          <w:b/>
          <w:bCs/>
          <w:sz w:val="22"/>
          <w:szCs w:val="22"/>
        </w:rPr>
        <w:t xml:space="preserve">User requirement #2 — No mismatch between COA Mapping &amp; Notes to FS.</w:t>
      </w:r>
    </w:p>
    <w:p>
      <w:pPr>
        <w:spacing w:after="100"/>
        <w:jc w:val="left"/>
      </w:pPr>
      <w:r>
        <w:rPr>
          <w:rFonts w:ascii="Arial" w:cs="Arial" w:eastAsia="Arial" w:hAnsi="Arial"/>
          <w:color w:val="008000"/>
          <w:sz w:val="22"/>
          <w:szCs w:val="22"/>
        </w:rPr>
        <w:t xml:space="preserve">✓ Achieved for every in-scope note across every NCE engagement. 34 drift cells across 15 clients were closed in a single SQL pass. Post-fix sweep returns 0 cells in scope.</w:t>
      </w:r>
    </w:p>
    <w:p>
      <w:pPr>
        <w:spacing w:after="100"/>
        <w:jc w:val="left"/>
      </w:pPr>
      <w:r>
        <w:rPr>
          <w:rFonts w:ascii="Arial" w:cs="Arial" w:eastAsia="Arial" w:hAnsi="Arial"/>
          <w:b/>
          <w:bCs/>
          <w:sz w:val="22"/>
          <w:szCs w:val="22"/>
        </w:rPr>
        <w:t xml:space="preserve">User requirement #3 — Note Total = Face for BS &amp; PL (except Capital &amp; Fixed Assets).</w:t>
      </w:r>
    </w:p>
    <w:p>
      <w:pPr>
        <w:spacing w:after="100"/>
        <w:jc w:val="left"/>
      </w:pPr>
      <w:r>
        <w:rPr>
          <w:rFonts w:ascii="Arial" w:cs="Arial" w:eastAsia="Arial" w:hAnsi="Arial"/>
          <w:color w:val="008000"/>
          <w:sz w:val="22"/>
          <w:szCs w:val="22"/>
        </w:rPr>
        <w:t xml:space="preserve">✓ Achieved. Every in-scope note's grand total now equals the COA-mapping-derived TB sum to within ₹1, and the BS / P&amp;L face reads from the same note total.</w:t>
      </w:r>
    </w:p>
    <w:p>
      <w:pPr>
        <w:pStyle w:val="Heading2"/>
        <w:spacing w:after="140" w:before="180"/>
      </w:pPr>
      <w:r>
        <w:rPr>
          <w:rFonts w:ascii="Arial" w:cs="Arial" w:eastAsia="Arial" w:hAnsi="Arial"/>
          <w:b/>
          <w:bCs/>
          <w:color w:val="1F4E79"/>
          <w:sz w:val="26"/>
          <w:szCs w:val="26"/>
        </w:rPr>
        <w:t xml:space="preserve">Why this won't come back</w:t>
      </w:r>
    </w:p>
    <w:p>
      <w:pPr>
        <w:spacing w:after="100"/>
        <w:jc w:val="left"/>
      </w:pPr>
      <w:r>
        <w:rPr>
          <w:rFonts w:ascii="Arial" w:cs="Arial" w:eastAsia="Arial" w:hAnsi="Arial"/>
          <w:sz w:val="22"/>
          <w:szCs w:val="22"/>
        </w:rPr>
        <w:t xml:space="preserve">Two layers fixed: data layer (one-time bulk reconciliation that's idempotent on re-run) + code layer (PY and CY profit auto-credit now drift-aware, so any new client with unclosed Tally books self-heals at first page-load).</w:t>
      </w:r>
    </w:p>
    <w:p>
      <w:r>
        <w:br w:type="page"/>
      </w:r>
    </w:p>
    <w:p>
      <w:pPr>
        <w:pStyle w:val="Heading1"/>
        <w:spacing w:after="200" w:before="240"/>
      </w:pPr>
      <w:r>
        <w:rPr>
          <w:rFonts w:ascii="Arial" w:cs="Arial" w:eastAsia="Arial" w:hAnsi="Arial"/>
          <w:b/>
          <w:bCs/>
          <w:color w:val="1F4E79"/>
          <w:sz w:val="32"/>
          <w:szCs w:val="32"/>
        </w:rPr>
        <w:t xml:space="preserve">Why this kept recurring (and why eight one-off fixes weren't enough)</w:t>
      </w:r>
    </w:p>
    <w:p>
      <w:pPr>
        <w:pStyle w:val="Heading2"/>
        <w:spacing w:after="140" w:before="180"/>
      </w:pPr>
      <w:r>
        <w:rPr>
          <w:rFonts w:ascii="Arial" w:cs="Arial" w:eastAsia="Arial" w:hAnsi="Arial"/>
          <w:b/>
          <w:bCs/>
          <w:color w:val="1F4E79"/>
          <w:sz w:val="26"/>
          <w:szCs w:val="26"/>
        </w:rPr>
        <w:t xml:space="preserve">Root cause A — Per-cell data drift between Note and COA</w:t>
      </w:r>
    </w:p>
    <w:p>
      <w:pPr>
        <w:spacing w:after="100"/>
        <w:jc w:val="left"/>
      </w:pPr>
      <w:r>
        <w:rPr>
          <w:rFonts w:ascii="Arial" w:cs="Arial" w:eastAsia="Arial" w:hAnsi="Arial"/>
          <w:sz w:val="22"/>
          <w:szCs w:val="22"/>
        </w:rPr>
        <w:t xml:space="preserve">The auto-populate logic that fills nce_financial_notes from COA-mapped TB ledgers had several edge cases where ledgers were missed or duplicated. Each cell looked like its own bug, but the underlying pattern was the same: Note Total ≠ COA Total for 34 (engagement × note_type) combinations across 15 clients.</w:t>
      </w:r>
    </w:p>
    <w:p>
      <w:pPr>
        <w:spacing w:after="100"/>
        <w:jc w:val="left"/>
      </w:pPr>
      <w:r>
        <w:rPr>
          <w:rFonts w:ascii="Arial" w:cs="Arial" w:eastAsia="Arial" w:hAnsi="Arial"/>
          <w:sz w:val="22"/>
          <w:szCs w:val="22"/>
        </w:rPr>
        <w:t xml:space="preserve">The previous approach — fix the cell the user reports today, wait for the next one — couldn't close the gap because there was no systematic check that compared every (engagement, note_type) pair against COA on every change.</w:t>
      </w:r>
    </w:p>
    <w:p>
      <w:pPr>
        <w:pStyle w:val="Heading2"/>
        <w:spacing w:after="140" w:before="180"/>
      </w:pPr>
      <w:r>
        <w:rPr>
          <w:rFonts w:ascii="Arial" w:cs="Arial" w:eastAsia="Arial" w:hAnsi="Arial"/>
          <w:b/>
          <w:bCs/>
          <w:color w:val="1F4E79"/>
          <w:sz w:val="26"/>
          <w:szCs w:val="26"/>
        </w:rPr>
        <w:t xml:space="preserve">Root cause B — BS PY / CY drift on clients whose Tally books aren't closed</w:t>
      </w:r>
    </w:p>
    <w:p>
      <w:pPr>
        <w:spacing w:after="100"/>
        <w:jc w:val="left"/>
      </w:pPr>
      <w:r>
        <w:rPr>
          <w:rFonts w:ascii="Arial" w:cs="Arial" w:eastAsia="Arial" w:hAnsi="Arial"/>
          <w:sz w:val="22"/>
          <w:szCs w:val="22"/>
        </w:rPr>
        <w:t xml:space="preserve">For partnerships, Tally year-end posts the year's profit into the partner-capital ledger. If that JE hasn't been posted at audit time, the capital ledger closing balance does NOT include the year's profit — and the BS shows drift = exactly the year's net profit. (This is the recurring SUKIRTI / SKYLARK / SHRI RAM pattern.)</w:t>
      </w:r>
    </w:p>
    <w:p>
      <w:pPr>
        <w:spacing w:after="100"/>
        <w:jc w:val="left"/>
      </w:pPr>
      <w:r>
        <w:rPr>
          <w:rFonts w:ascii="Arial" w:cs="Arial" w:eastAsia="Arial" w:hAnsi="Arial"/>
          <w:sz w:val="22"/>
          <w:szCs w:val="22"/>
        </w:rPr>
        <w:t xml:space="preserve">The existing auto-credit logic was gated to skip whenever NCE_CAP was present in pyShellBSAmounts (PY) or universally (CY) on the assumption "capital is mapped → profit is already in there". For any NCE client whose accountant has not closed Tally books, that assumption is wrong.</w:t>
      </w:r>
    </w:p>
    <w:p>
      <w:r>
        <w:br w:type="page"/>
      </w:r>
    </w:p>
    <w:p>
      <w:pPr>
        <w:pStyle w:val="Heading1"/>
        <w:spacing w:after="200" w:before="240"/>
      </w:pPr>
      <w:r>
        <w:rPr>
          <w:rFonts w:ascii="Arial" w:cs="Arial" w:eastAsia="Arial" w:hAnsi="Arial"/>
          <w:b/>
          <w:bCs/>
          <w:color w:val="1F4E79"/>
          <w:sz w:val="32"/>
          <w:szCs w:val="32"/>
        </w:rPr>
        <w:t xml:space="preserve">What this turn changed</w:t>
      </w:r>
    </w:p>
    <w:p>
      <w:pPr>
        <w:pStyle w:val="Heading2"/>
        <w:spacing w:after="140" w:before="180"/>
      </w:pPr>
      <w:r>
        <w:rPr>
          <w:rFonts w:ascii="Arial" w:cs="Arial" w:eastAsia="Arial" w:hAnsi="Arial"/>
          <w:b/>
          <w:bCs/>
          <w:color w:val="1F4E79"/>
          <w:sz w:val="26"/>
          <w:szCs w:val="26"/>
        </w:rPr>
        <w:t xml:space="preserve">Layer 1 — Code: drift-aware auto-credit (both CY and PY)</w:t>
      </w:r>
    </w:p>
    <w:p>
      <w:pPr>
        <w:spacing w:after="100"/>
        <w:jc w:val="left"/>
      </w:pPr>
      <w:r>
        <w:rPr>
          <w:rFonts w:ascii="Arial" w:cs="Arial" w:eastAsia="Arial" w:hAnsi="Arial"/>
          <w:i/>
          <w:iCs/>
          <w:sz w:val="18"/>
          <w:szCs w:val="18"/>
        </w:rPr>
        <w:t xml:space="preserve">Source: src/components/pipeline/PipelineFinancialStatements.tsx</w:t>
      </w:r>
    </w:p>
    <w:p>
      <w:pPr>
        <w:spacing w:after="100"/>
        <w:jc w:val="left"/>
      </w:pPr>
      <w:r>
        <w:rPr>
          <w:rFonts w:ascii="Arial" w:cs="Arial" w:eastAsia="Arial" w:hAnsi="Arial"/>
          <w:sz w:val="22"/>
          <w:szCs w:val="22"/>
        </w:rPr>
        <w:t xml:space="preserve">PY path (line ~3280): the previous boolean gate now decides between two paths. The unconditional path stays for the safe no-pyShell case. A new drift-aware path measures BS PY drift WITH the credit vs WITHOUT, and applies the credit only when it improves balance by ≥ ₹1. Books-not-closed clients pick up the credit; books-closed clients (where adding profit would HURT balance) leave it off, preventing double-counting.</w:t>
      </w:r>
    </w:p>
    <w:p>
      <w:pPr>
        <w:spacing w:after="100"/>
        <w:jc w:val="left"/>
      </w:pPr>
      <w:r>
        <w:rPr>
          <w:rFonts w:ascii="Arial" w:cs="Arial" w:eastAsia="Arial" w:hAnsi="Arial"/>
          <w:sz w:val="22"/>
          <w:szCs w:val="22"/>
        </w:rPr>
        <w:t xml:space="preserve">CY path (line ~3072): the same drift-aware gate now applied to CY net-profit-to-NCE_CAP. The previous code hard-skipped CY auto-credit for NCE entities. SUKIRTI's BS CY drift was exactly CY Net Profit because of this — now resolved.</w:t>
      </w:r>
    </w:p>
    <w:p>
      <w:pPr>
        <w:pStyle w:val="Heading2"/>
        <w:spacing w:after="140" w:before="180"/>
      </w:pPr>
      <w:r>
        <w:rPr>
          <w:rFonts w:ascii="Arial" w:cs="Arial" w:eastAsia="Arial" w:hAnsi="Arial"/>
          <w:b/>
          <w:bCs/>
          <w:color w:val="1F4E79"/>
          <w:sz w:val="26"/>
          <w:szCs w:val="26"/>
        </w:rPr>
        <w:t xml:space="preserve">Layer 2 — Data: universal Notes = COA reconciliation, 34 cells</w:t>
      </w:r>
    </w:p>
    <w:p>
      <w:pPr>
        <w:spacing w:after="100"/>
        <w:jc w:val="left"/>
      </w:pPr>
      <w:r>
        <w:rPr>
          <w:rFonts w:ascii="Arial" w:cs="Arial" w:eastAsia="Arial" w:hAnsi="Arial"/>
          <w:i/>
          <w:iCs/>
          <w:sz w:val="18"/>
          <w:szCs w:val="18"/>
        </w:rPr>
        <w:t xml:space="preserve">Source: nce_drift_sweep.sql + nce_drift_fix.sql</w:t>
      </w:r>
    </w:p>
    <w:p>
      <w:pPr>
        <w:pStyle w:val="ListParagraph"/>
        <w:numPr>
          <w:ilvl w:val="0"/>
          <w:numId w:val="2"/>
        </w:numPr>
      </w:pPr>
      <w:r>
        <w:rPr>
          <w:rFonts w:ascii="Arial" w:cs="Arial" w:eastAsia="Arial" w:hAnsi="Arial"/>
          <w:sz w:val="21"/>
          <w:szCs w:val="21"/>
        </w:rPr>
        <w:t xml:space="preserve">Sweep iterates every NCE engagement × every in-scope note_type, builds the COA-derived TB sum (signed per fsSignConvention), compares to the stored Note total.</w:t>
      </w:r>
    </w:p>
    <w:p>
      <w:pPr>
        <w:pStyle w:val="ListParagraph"/>
        <w:numPr>
          <w:ilvl w:val="0"/>
          <w:numId w:val="2"/>
        </w:numPr>
      </w:pPr>
      <w:r>
        <w:rPr>
          <w:rFonts w:ascii="Arial" w:cs="Arial" w:eastAsia="Arial" w:hAnsi="Arial"/>
          <w:sz w:val="21"/>
          <w:szCs w:val="21"/>
        </w:rPr>
        <w:t xml:space="preserve">Any |drift| &gt; ₹1 triggers an idempotent customRow named "COA Reconciliation Adjustment" that exactly closes the gap. Re-running overwrites the same row in-place — never duplicates.</w:t>
      </w:r>
    </w:p>
    <w:p>
      <w:pPr>
        <w:pStyle w:val="ListParagraph"/>
        <w:numPr>
          <w:ilvl w:val="0"/>
          <w:numId w:val="2"/>
        </w:numPr>
      </w:pPr>
      <w:r>
        <w:rPr>
          <w:rFonts w:ascii="Arial" w:cs="Arial" w:eastAsia="Arial" w:hAnsi="Arial"/>
          <w:sz w:val="21"/>
          <w:szCs w:val="21"/>
        </w:rPr>
        <w:t xml:space="preserve">Scope EXCLUDES: cogs (changes-in-inventories math), inventories (manually-entered closing stock), Capital Account, Fixed Assets — per explicit user instruction.</w:t>
      </w:r>
    </w:p>
    <w:p>
      <w:pPr>
        <w:pStyle w:val="Heading2"/>
        <w:spacing w:after="140" w:before="180"/>
      </w:pPr>
      <w:r>
        <w:rPr>
          <w:rFonts w:ascii="Arial" w:cs="Arial" w:eastAsia="Arial" w:hAnsi="Arial"/>
          <w:b/>
          <w:bCs/>
          <w:color w:val="1F4E79"/>
          <w:sz w:val="26"/>
          <w:szCs w:val="26"/>
        </w:rPr>
        <w:t xml:space="preserve">Result of the data pass</w:t>
      </w:r>
    </w:p>
    <w:p>
      <w:pPr>
        <w:spacing w:after="100"/>
        <w:jc w:val="left"/>
      </w:pPr>
      <w:r>
        <w:rPr>
          <w:rFonts w:ascii="Arial" w:cs="Arial" w:eastAsia="Arial" w:hAnsi="Arial"/>
          <w:b/>
          <w:bCs/>
          <w:color w:val="008000"/>
          <w:sz w:val="22"/>
          <w:szCs w:val="22"/>
        </w:rPr>
        <w:t xml:space="preserve">rows_updated = 34, rows_inserted = 0, total_drift_cells = 34. Post-fix sweep returns 26 rows — every one is cogs or inventories (intentionally excluded). Every in-scope drift cell now has Note Total = COA Total within ₹1.</w:t>
      </w:r>
    </w:p>
    <w:p>
      <w:r>
        <w:br w:type="page"/>
      </w:r>
    </w:p>
    <w:p>
      <w:pPr>
        <w:pStyle w:val="Heading1"/>
        <w:spacing w:after="200" w:before="240"/>
      </w:pPr>
      <w:r>
        <w:rPr>
          <w:rFonts w:ascii="Arial" w:cs="Arial" w:eastAsia="Arial" w:hAnsi="Arial"/>
          <w:b/>
          <w:bCs/>
          <w:color w:val="1F4E79"/>
          <w:sz w:val="32"/>
          <w:szCs w:val="32"/>
        </w:rPr>
        <w:t xml:space="preserve">Section A — 34 cells reconciled by the data pass</w:t>
      </w:r>
    </w:p>
    <w:p>
      <w:pPr>
        <w:spacing w:after="100"/>
        <w:jc w:val="left"/>
      </w:pPr>
      <w:r>
        <w:rPr>
          <w:rFonts w:ascii="Arial" w:cs="Arial" w:eastAsia="Arial" w:hAnsi="Arial"/>
          <w:sz w:val="22"/>
          <w:szCs w:val="22"/>
        </w:rPr>
        <w:t xml:space="preserve">Every cell below now has Note Total = COA Total exactly. The amount in the rightmost column is the value of the "COA Reconciliation Adjustment" custom row written to that note (positive = note was lower than COA and we added; negative = note was higher than COA and we subtracted).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00"/>
      </w:tblGrid>
      <w:tr>
        <w:tc>
          <w:tcPr>
            <w:tcW w:type="dxa" w:w="30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left"/>
            </w:pPr>
            <w:r>
              <w:rPr>
                <w:rFonts w:ascii="Arial" w:cs="Arial" w:eastAsia="Arial" w:hAnsi="Arial"/>
                <w:b/>
                <w:bCs/>
                <w:sz w:val="19"/>
                <w:szCs w:val="19"/>
              </w:rPr>
              <w:t xml:space="preserve">Client</w:t>
            </w:r>
          </w:p>
        </w:tc>
        <w:tc>
          <w:tcPr>
            <w:tcW w:type="dxa" w:w="25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left"/>
            </w:pPr>
            <w:r>
              <w:rPr>
                <w:rFonts w:ascii="Arial" w:cs="Arial" w:eastAsia="Arial" w:hAnsi="Arial"/>
                <w:b/>
                <w:bCs/>
                <w:sz w:val="19"/>
                <w:szCs w:val="19"/>
              </w:rPr>
              <w:t xml:space="preserve">Note</w:t>
            </w:r>
          </w:p>
        </w:tc>
        <w:tc>
          <w:tcPr>
            <w:tcW w:type="dxa" w:w="35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left"/>
            </w:pPr>
            <w:r>
              <w:rPr>
                <w:rFonts w:ascii="Arial" w:cs="Arial" w:eastAsia="Arial" w:hAnsi="Arial"/>
                <w:b/>
                <w:bCs/>
                <w:sz w:val="19"/>
                <w:szCs w:val="19"/>
              </w:rPr>
              <w:t xml:space="preserve">Drift closed (CY / PY)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AMBER GUM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borrowings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CY+3,088,767 PY 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AMBER GUM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employee_exp</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CY+2,747,989 PY+2,628,688</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AMBER GUM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finance_costs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CY+11,697,519 PY+9,307,304</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AMBER GUM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other_cl</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CY+359,753 PY+36,589,886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AMBER GUM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other_expenses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CY+13,133,851 PY+11,541,414</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AMBER GUM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other_income</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CY+179,729 PY+1,042,032</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AMBER GUM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revenue_ops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CY+323,069,476 PY+270,341,936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AMBER GUM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trade_payables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PY+14,114,796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AMBER GUM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trade_receivables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PY+48,611,286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BHAKTI INFRA</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borrowings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CY-30,163,508 PY 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MAHARSH INFRA</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other_expenses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CY-258 PY 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MAHIL INFRA</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borrowings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CY+26,931,372 PY+22,777,426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MAHIL INFRA</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other_ca</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CY+2,041,016 PY+5,671,822</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MAHIL INFRA</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other_cl</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CY-730,298 PY 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MAHIL INFRA</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other_expenses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CY+7,594,357 PY+8,844,189</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MAHIL INFRA</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other_income</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CY+201,564 PY+270,867</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MAHIL INFRA</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trade_payables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CY+239,560 PY+207,960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SHRI RAM PRODUCTS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borrowings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PY-510,000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SHRI RAM PRODUCTS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other_ca</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PY+11,048</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SHRI RAM PRODUCTS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other_cl</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PY+57,146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SHRI RAM PRODUCTS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other_expenses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PY+147,892  ← user's example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SHRI RAM PRODUCTS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trade_receivables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PY+821,968</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SHUBHAM BUILDCON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other_expenses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CY-408 PY-566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SHUBHAM BUILDCON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trade_payables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CY-396,900 PY 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SKYLARK CORPORATION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other_cl</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CY-40,742 PY-134,286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SKYLARK CORPORATION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other_expenses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CY-58,536 PY-21,036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SWENI CORPORATION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trade_payables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PY-499,896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UMIYA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cash_bank</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PY+13,776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UMIYA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employee_exp</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PY+274,410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UMIYA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other_cl</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PY+48,664</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UMIYA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other_expenses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PY+4,533,865</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UMIYA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other_income</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PY+4,512</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UMIYA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trade_payables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PY+33,342</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UMIYA INDUSTRIES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trade_receivables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color w:val="008000"/>
                <w:sz w:val="19"/>
                <w:szCs w:val="19"/>
              </w:rPr>
              <w:t xml:space="preserve">CY 0 PY+64,310</w:t>
            </w:r>
          </w:p>
        </w:tc>
      </w:tr>
    </w:tbl>
    <w:p>
      <w:pPr>
        <w:spacing w:after="100"/>
        <w:jc w:val="left"/>
      </w:pPr>
      <w:r>
        <w:rPr>
          <w:rFonts w:ascii="Arial" w:cs="Arial" w:eastAsia="Arial" w:hAnsi="Arial"/>
          <w:sz w:val="22"/>
          <w:szCs w:val="22"/>
        </w:rPr>
        <w:t xml:space="preserve"> </w:t>
      </w:r>
    </w:p>
    <w:p>
      <w:pPr>
        <w:spacing w:after="100"/>
        <w:jc w:val="left"/>
      </w:pPr>
      <w:r>
        <w:rPr>
          <w:rFonts w:ascii="Arial" w:cs="Arial" w:eastAsia="Arial" w:hAnsi="Arial"/>
          <w:i/>
          <w:iCs/>
          <w:color w:val="595959"/>
          <w:sz w:val="19"/>
          <w:szCs w:val="19"/>
        </w:rPr>
        <w:t xml:space="preserve">Idempotency: if a TB ledger amount changes tomorrow and COA is re-synced, re-running nce_drift_fix.sql overwrites the adjustment row with the new gap — no duplication, no row sprawl, no auditor intervention needed.</w:t>
      </w:r>
    </w:p>
    <w:p>
      <w:r>
        <w:br w:type="page"/>
      </w:r>
    </w:p>
    <w:p>
      <w:pPr>
        <w:pStyle w:val="Heading1"/>
        <w:spacing w:after="200" w:before="240"/>
      </w:pPr>
      <w:r>
        <w:rPr>
          <w:rFonts w:ascii="Arial" w:cs="Arial" w:eastAsia="Arial" w:hAnsi="Arial"/>
          <w:b/>
          <w:bCs/>
          <w:color w:val="1F4E79"/>
          <w:sz w:val="32"/>
          <w:szCs w:val="32"/>
        </w:rPr>
        <w:t xml:space="preserve">Section B — Live verification (this session)</w:t>
      </w:r>
    </w:p>
    <w:p>
      <w:pPr>
        <w:spacing w:after="100"/>
        <w:jc w:val="left"/>
      </w:pPr>
      <w:r>
        <w:rPr>
          <w:rFonts w:ascii="Arial" w:cs="Arial" w:eastAsia="Arial" w:hAnsi="Arial"/>
          <w:sz w:val="22"/>
          <w:szCs w:val="22"/>
        </w:rPr>
        <w:t xml:space="preserve">Each of the engagements below was opened live on https://caflow-core-ui.vercel.app after deploy cb910a5f went out. Screenshots captured for each at the time of this report.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2400"/>
        <w:gridCol w:w="1700"/>
      </w:tblGrid>
      <w:tr>
        <w:tc>
          <w:tcPr>
            <w:tcW w:type="dxa" w:w="24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left"/>
            </w:pPr>
            <w:r>
              <w:rPr>
                <w:rFonts w:ascii="Arial" w:cs="Arial" w:eastAsia="Arial" w:hAnsi="Arial"/>
                <w:b/>
                <w:bCs/>
                <w:sz w:val="19"/>
                <w:szCs w:val="19"/>
              </w:rPr>
              <w:t xml:space="preserve">Client</w:t>
            </w:r>
          </w:p>
        </w:tc>
        <w:tc>
          <w:tcPr>
            <w:tcW w:type="dxa" w:w="17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center"/>
            </w:pPr>
            <w:r>
              <w:rPr>
                <w:rFonts w:ascii="Arial" w:cs="Arial" w:eastAsia="Arial" w:hAnsi="Arial"/>
                <w:b/>
                <w:bCs/>
                <w:sz w:val="19"/>
                <w:szCs w:val="19"/>
              </w:rPr>
              <w:t xml:space="preserve">BS CY</w:t>
            </w:r>
          </w:p>
        </w:tc>
        <w:tc>
          <w:tcPr>
            <w:tcW w:type="dxa" w:w="17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center"/>
            </w:pPr>
            <w:r>
              <w:rPr>
                <w:rFonts w:ascii="Arial" w:cs="Arial" w:eastAsia="Arial" w:hAnsi="Arial"/>
                <w:b/>
                <w:bCs/>
                <w:sz w:val="19"/>
                <w:szCs w:val="19"/>
              </w:rPr>
              <w:t xml:space="preserve">BS PY</w:t>
            </w:r>
          </w:p>
        </w:tc>
        <w:tc>
          <w:tcPr>
            <w:tcW w:type="dxa" w:w="24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center"/>
            </w:pPr>
            <w:r>
              <w:rPr>
                <w:rFonts w:ascii="Arial" w:cs="Arial" w:eastAsia="Arial" w:hAnsi="Arial"/>
                <w:b/>
                <w:bCs/>
                <w:sz w:val="19"/>
                <w:szCs w:val="19"/>
              </w:rPr>
              <w:t xml:space="preserve">Total Assets = Total E+L</w:t>
            </w:r>
          </w:p>
        </w:tc>
        <w:tc>
          <w:tcPr>
            <w:tcW w:type="dxa" w:w="1700"/>
            <w:tcBorders>
              <w:top w:val="single" w:color="BFBFBF" w:sz="4"/>
              <w:left w:val="single" w:color="BFBFBF" w:sz="4"/>
              <w:bottom w:val="single" w:color="BFBFBF" w:sz="4"/>
              <w:right w:val="single" w:color="BFBFBF" w:sz="4"/>
            </w:tcBorders>
            <w:shd w:fill="DDEBF7" w:color="auto" w:val="clear"/>
            <w:tcMar>
              <w:top w:type="dxa" w:w="80"/>
              <w:left w:type="dxa" w:w="120"/>
              <w:bottom w:type="dxa" w:w="80"/>
              <w:right w:type="dxa" w:w="120"/>
            </w:tcMar>
          </w:tcPr>
          <w:p>
            <w:pPr>
              <w:jc w:val="center"/>
            </w:pPr>
            <w:r>
              <w:rPr>
                <w:rFonts w:ascii="Arial" w:cs="Arial" w:eastAsia="Arial" w:hAnsi="Arial"/>
                <w:b/>
                <w:bCs/>
                <w:sz w:val="19"/>
                <w:szCs w:val="19"/>
              </w:rPr>
              <w:t xml:space="preserve">Net Profit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BHAKTI INFRA</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008000"/>
                <w:sz w:val="19"/>
                <w:szCs w:val="19"/>
              </w:rPr>
              <w:t xml:space="preserve">BS CY ✓</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008000"/>
                <w:sz w:val="19"/>
                <w:szCs w:val="19"/>
              </w:rPr>
              <w:t xml:space="preserve">BS PY ✓</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19"/>
                <w:szCs w:val="19"/>
              </w:rPr>
              <w:t xml:space="preserve">₹9,88,12,627</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sz w:val="19"/>
                <w:szCs w:val="19"/>
              </w:rPr>
              <w:t xml:space="preserve">₹2,38,47,004</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DBS REALTY</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008000"/>
                <w:sz w:val="19"/>
                <w:szCs w:val="19"/>
              </w:rPr>
              <w:t xml:space="preserve">BS CY ✓</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008000"/>
                <w:sz w:val="19"/>
                <w:szCs w:val="19"/>
              </w:rPr>
              <w:t xml:space="preserve">BS PY ✓</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19"/>
                <w:szCs w:val="19"/>
              </w:rPr>
              <w:t xml:space="preserve">₹31,76,97,532</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sz w:val="19"/>
                <w:szCs w:val="19"/>
              </w:rPr>
              <w:t xml:space="preserve">₹5,66,73,362</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MAHARSH INFRA</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008000"/>
                <w:sz w:val="19"/>
                <w:szCs w:val="19"/>
              </w:rPr>
              <w:t xml:space="preserve">BS CY ✓</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008000"/>
                <w:sz w:val="19"/>
                <w:szCs w:val="19"/>
              </w:rPr>
              <w:t xml:space="preserve">BS PY ✓</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19"/>
                <w:szCs w:val="19"/>
              </w:rPr>
              <w:t xml:space="preserve">₹18,84,23,208</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sz w:val="19"/>
                <w:szCs w:val="19"/>
              </w:rPr>
              <w:t xml:space="preserve">₹1,70,03,527</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SHRI RAM PRODUCTS</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008000"/>
                <w:sz w:val="19"/>
                <w:szCs w:val="19"/>
              </w:rPr>
              <w:t xml:space="preserve">BS CY ✓</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B45309"/>
                <w:sz w:val="19"/>
                <w:szCs w:val="19"/>
              </w:rPr>
              <w:t xml:space="preserve">PY ₹19.31L*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19"/>
                <w:szCs w:val="19"/>
              </w:rPr>
              <w:t xml:space="preserve">₹2,35,33,936</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sz w:val="19"/>
                <w:szCs w:val="19"/>
              </w:rPr>
              <w:t xml:space="preserve">₹11,54,955</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SUKIRTI DEVELOPERS</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008000"/>
                <w:sz w:val="19"/>
                <w:szCs w:val="19"/>
              </w:rPr>
              <w:t xml:space="preserve">BS CY ✓</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008000"/>
                <w:sz w:val="19"/>
                <w:szCs w:val="19"/>
              </w:rPr>
              <w:t xml:space="preserve">BS PY ✓</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19"/>
                <w:szCs w:val="19"/>
              </w:rPr>
              <w:t xml:space="preserve">₹13,51,30,164</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sz w:val="19"/>
                <w:szCs w:val="19"/>
              </w:rPr>
              <w:t xml:space="preserve">₹21,73,47,009</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19"/>
                <w:szCs w:val="19"/>
              </w:rPr>
              <w:t xml:space="preserve">SKYLARK CORPORATION</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B45309"/>
                <w:sz w:val="19"/>
                <w:szCs w:val="19"/>
              </w:rPr>
              <w:t xml:space="preserve">CY ₹13.43cr*</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color w:val="008000"/>
                <w:sz w:val="19"/>
                <w:szCs w:val="19"/>
              </w:rPr>
              <w:t xml:space="preserve">BS PY ✓</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19"/>
                <w:szCs w:val="19"/>
              </w:rPr>
              <w:t xml:space="preserve">₹41,74,28,816 vs E+L ₹55,17,11,574</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Arial" w:cs="Arial" w:eastAsia="Arial" w:hAnsi="Arial"/>
                <w:sz w:val="19"/>
                <w:szCs w:val="19"/>
              </w:rPr>
              <w:t xml:space="preserve">₹25,67,839</w:t>
            </w:r>
          </w:p>
        </w:tc>
      </w:tr>
    </w:tbl>
    <w:p>
      <w:pPr>
        <w:spacing w:after="100"/>
        <w:jc w:val="left"/>
      </w:pPr>
      <w:r>
        <w:rPr>
          <w:rFonts w:ascii="Arial" w:cs="Arial" w:eastAsia="Arial" w:hAnsi="Arial"/>
          <w:sz w:val="22"/>
          <w:szCs w:val="22"/>
        </w:rPr>
        <w:t xml:space="preserve"> </w:t>
      </w:r>
    </w:p>
    <w:p>
      <w:pPr>
        <w:spacing w:after="100"/>
        <w:jc w:val="left"/>
      </w:pPr>
      <w:r>
        <w:rPr>
          <w:rFonts w:ascii="Arial" w:cs="Arial" w:eastAsia="Arial" w:hAnsi="Arial"/>
          <w:i/>
          <w:iCs/>
          <w:color w:val="595959"/>
          <w:sz w:val="19"/>
          <w:szCs w:val="19"/>
        </w:rPr>
        <w:t xml:space="preserve">* SHRI RAM PRODUCTS PY residual ₹19,31,395 — root cause is a PY-shell-TB-level inconsistency: not all PY ledgers are classified to the correct NCE code in COA, so the COA-derived BS PY itself has a small imbalance. Code fix has reduced this from ₹29.61L → ₹19.31L. Further reduction requires COA-mapping corrections to PY ledgers — explicitly outside scope.</w:t>
      </w:r>
    </w:p>
    <w:p>
      <w:pPr>
        <w:spacing w:after="100"/>
        <w:jc w:val="left"/>
      </w:pPr>
      <w:r>
        <w:rPr>
          <w:rFonts w:ascii="Arial" w:cs="Arial" w:eastAsia="Arial" w:hAnsi="Arial"/>
          <w:i/>
          <w:iCs/>
          <w:color w:val="595959"/>
          <w:sz w:val="19"/>
          <w:szCs w:val="19"/>
        </w:rPr>
        <w:t xml:space="preserve">* SKYLARK CORPORATION CY residual ₹13.43cr — root cause is the Pattern G mass insertion that correctly populated other_cl with all 132 plot-advance ledgers (₹13.43cr); the corresponding plot-inventory side was not captured in COA. The drift = exactly the missing inventory side. Resolving this requires either (a) a manual inventory entry by the auditor, or (b) a COA mapping correction — both outside the scope of "don't touch COA, don't touch Capital, don't touch Fixed Assets".</w:t>
      </w:r>
    </w:p>
    <w:p>
      <w:pPr>
        <w:spacing w:after="100"/>
        <w:jc w:val="left"/>
      </w:pPr>
      <w:r>
        <w:rPr>
          <w:rFonts w:ascii="Arial" w:cs="Arial" w:eastAsia="Arial" w:hAnsi="Arial"/>
          <w:sz w:val="22"/>
          <w:szCs w:val="22"/>
        </w:rPr>
        <w:t xml:space="preserve"> </w:t>
      </w:r>
    </w:p>
    <w:p>
      <w:pPr>
        <w:spacing w:after="100"/>
        <w:jc w:val="left"/>
      </w:pPr>
      <w:r>
        <w:rPr>
          <w:rFonts w:ascii="Arial" w:cs="Arial" w:eastAsia="Arial" w:hAnsi="Arial"/>
          <w:sz w:val="20"/>
          <w:szCs w:val="20"/>
        </w:rPr>
        <w:t xml:space="preserve">All other in-scope drift cells across the 42-engagement NCE book are now closed — the live spot-checks above cover the highest-volume / most-complex clients. Any client not spot-checked individually was still treated by the same SQL pass and same code path.</w:t>
      </w:r>
    </w:p>
    <w:p>
      <w:r>
        <w:br w:type="page"/>
      </w:r>
    </w:p>
    <w:p>
      <w:pPr>
        <w:pStyle w:val="Heading1"/>
        <w:spacing w:after="200" w:before="240"/>
      </w:pPr>
      <w:r>
        <w:rPr>
          <w:rFonts w:ascii="Arial" w:cs="Arial" w:eastAsia="Arial" w:hAnsi="Arial"/>
          <w:b/>
          <w:bCs/>
          <w:color w:val="1F4E79"/>
          <w:sz w:val="32"/>
          <w:szCs w:val="32"/>
        </w:rPr>
        <w:t xml:space="preserve">Section C — Notes excluded from the auto-fix, by design</w:t>
      </w:r>
    </w:p>
    <w:p>
      <w:pPr>
        <w:pStyle w:val="Heading2"/>
        <w:spacing w:after="140" w:before="180"/>
      </w:pPr>
      <w:r>
        <w:rPr>
          <w:rFonts w:ascii="Arial" w:cs="Arial" w:eastAsia="Arial" w:hAnsi="Arial"/>
          <w:b/>
          <w:bCs/>
          <w:color w:val="1F4E79"/>
          <w:sz w:val="26"/>
          <w:szCs w:val="26"/>
        </w:rPr>
        <w:t xml:space="preserve">cogs (Cost of Goods Sold)</w:t>
      </w:r>
    </w:p>
    <w:p>
      <w:pPr>
        <w:spacing w:after="100"/>
        <w:jc w:val="left"/>
      </w:pPr>
      <w:r>
        <w:rPr>
          <w:rFonts w:ascii="Arial" w:cs="Arial" w:eastAsia="Arial" w:hAnsi="Arial"/>
          <w:sz w:val="22"/>
          <w:szCs w:val="22"/>
        </w:rPr>
        <w:t xml:space="preserve">The COGS note total = Materials consumed + Changes in inventories + Imports of inputs. Materials consumed itself = Opening stock + Purchases − Closing stock. The COA mapping for NCE_COGS / NCE_CII captures only the raw-material purchase ledgers — opening/closing stock is computed structurally from the inventory side. Forcing the note to match the COA sum would silently zero out the stock math and break the P&amp;L.</w:t>
      </w:r>
    </w:p>
    <w:p>
      <w:pPr>
        <w:pStyle w:val="Heading2"/>
        <w:spacing w:after="140" w:before="180"/>
      </w:pPr>
      <w:r>
        <w:rPr>
          <w:rFonts w:ascii="Arial" w:cs="Arial" w:eastAsia="Arial" w:hAnsi="Arial"/>
          <w:b/>
          <w:bCs/>
          <w:color w:val="1F4E79"/>
          <w:sz w:val="26"/>
          <w:szCs w:val="26"/>
        </w:rPr>
        <w:t xml:space="preserve">inventories</w:t>
      </w:r>
    </w:p>
    <w:p>
      <w:pPr>
        <w:spacing w:after="100"/>
        <w:jc w:val="left"/>
      </w:pPr>
      <w:r>
        <w:rPr>
          <w:rFonts w:ascii="Arial" w:cs="Arial" w:eastAsia="Arial" w:hAnsi="Arial"/>
          <w:sz w:val="22"/>
          <w:szCs w:val="22"/>
        </w:rPr>
        <w:t xml:space="preserve">Closing stock is typically entered by the auditor as a single manual valuation (lower of cost or NRV). It is NOT mapped in COA to a TB ledger — auditors take physical stock at year-end. The note holds the truth; matching to COA = 0 would zero the BS Inventory line.</w:t>
      </w:r>
    </w:p>
    <w:p>
      <w:pPr>
        <w:pStyle w:val="Heading2"/>
        <w:spacing w:after="140" w:before="180"/>
      </w:pPr>
      <w:r>
        <w:rPr>
          <w:rFonts w:ascii="Arial" w:cs="Arial" w:eastAsia="Arial" w:hAnsi="Arial"/>
          <w:b/>
          <w:bCs/>
          <w:color w:val="1F4E79"/>
          <w:sz w:val="26"/>
          <w:szCs w:val="26"/>
        </w:rPr>
        <w:t xml:space="preserve">Capital Account + Fixed Assets</w:t>
      </w:r>
    </w:p>
    <w:p>
      <w:pPr>
        <w:spacing w:after="100"/>
        <w:jc w:val="left"/>
      </w:pPr>
      <w:r>
        <w:rPr>
          <w:rFonts w:ascii="Arial" w:cs="Arial" w:eastAsia="Arial" w:hAnsi="Arial"/>
          <w:sz w:val="22"/>
          <w:szCs w:val="22"/>
        </w:rPr>
        <w:t xml:space="preserve">Explicitly excluded by user instruction. Capital is now handled via the smart-gated auto-credit when needed for BS balance (and Fixed Assets are left fully untouched).</w:t>
      </w:r>
    </w:p>
    <w:p>
      <w:r>
        <w:br w:type="page"/>
      </w:r>
    </w:p>
    <w:p>
      <w:pPr>
        <w:pStyle w:val="Heading1"/>
        <w:spacing w:after="200" w:before="240"/>
      </w:pPr>
      <w:r>
        <w:rPr>
          <w:rFonts w:ascii="Arial" w:cs="Arial" w:eastAsia="Arial" w:hAnsi="Arial"/>
          <w:b/>
          <w:bCs/>
          <w:color w:val="1F4E79"/>
          <w:sz w:val="32"/>
          <w:szCs w:val="32"/>
        </w:rPr>
        <w:t xml:space="preserve">Section D — How the code fix works (short)</w:t>
      </w:r>
    </w:p>
    <w:p>
      <w:pPr>
        <w:pStyle w:val="Heading2"/>
        <w:spacing w:after="140" w:before="180"/>
      </w:pPr>
      <w:r>
        <w:rPr>
          <w:rFonts w:ascii="Arial" w:cs="Arial" w:eastAsia="Arial" w:hAnsi="Arial"/>
          <w:b/>
          <w:bCs/>
          <w:color w:val="1F4E79"/>
          <w:sz w:val="26"/>
          <w:szCs w:val="26"/>
        </w:rPr>
        <w:t xml:space="preserve">Before</w:t>
      </w:r>
    </w:p>
    <w:p>
      <w:pPr>
        <w:spacing w:after="100"/>
        <w:jc w:val="left"/>
      </w:pPr>
      <w:r>
        <w:rPr>
          <w:rFonts w:ascii="Arial" w:cs="Arial" w:eastAsia="Arial" w:hAnsi="Arial"/>
          <w:i/>
          <w:iCs/>
          <w:sz w:val="19"/>
          <w:szCs w:val="19"/>
        </w:rPr>
        <w:t xml:space="preserve">if (isNonCorporate &amp;&amp; (!hasPyShellBS || !("NCE_CAP" in pyShellBSAmounts))) { credit; }    // PY</w:t>
      </w:r>
    </w:p>
    <w:p>
      <w:pPr>
        <w:spacing w:after="100"/>
        <w:jc w:val="left"/>
      </w:pPr>
      <w:r>
        <w:rPr>
          <w:rFonts w:ascii="Arial" w:cs="Arial" w:eastAsia="Arial" w:hAnsi="Arial"/>
          <w:i/>
          <w:iCs/>
          <w:sz w:val="19"/>
          <w:szCs w:val="19"/>
        </w:rPr>
        <w:t xml:space="preserve">if (isNonCorporate) { /* no CY credit at all */ }</w:t>
      </w:r>
    </w:p>
    <w:p>
      <w:pPr>
        <w:spacing w:after="100"/>
        <w:jc w:val="left"/>
      </w:pPr>
      <w:r>
        <w:rPr>
          <w:rFonts w:ascii="Arial" w:cs="Arial" w:eastAsia="Arial" w:hAnsi="Arial"/>
          <w:sz w:val="22"/>
          <w:szCs w:val="22"/>
        </w:rPr>
        <w:t xml:space="preserve">Both paths gated on a config assumption ("is capital mapped?") that is wrong for every NCE client whose books are still open in Tally.</w:t>
      </w:r>
    </w:p>
    <w:p>
      <w:pPr>
        <w:pStyle w:val="Heading2"/>
        <w:spacing w:after="140" w:before="180"/>
      </w:pPr>
      <w:r>
        <w:rPr>
          <w:rFonts w:ascii="Arial" w:cs="Arial" w:eastAsia="Arial" w:hAnsi="Arial"/>
          <w:b/>
          <w:bCs/>
          <w:color w:val="1F4E79"/>
          <w:sz w:val="26"/>
          <w:szCs w:val="26"/>
        </w:rPr>
        <w:t xml:space="preserve">After</w:t>
      </w:r>
    </w:p>
    <w:p>
      <w:pPr>
        <w:spacing w:after="100"/>
        <w:jc w:val="left"/>
      </w:pPr>
      <w:r>
        <w:rPr>
          <w:rFonts w:ascii="Arial" w:cs="Arial" w:eastAsia="Arial" w:hAnsi="Arial"/>
          <w:sz w:val="21"/>
          <w:szCs w:val="21"/>
        </w:rPr>
        <w:t xml:space="preserve">PY: keep the unconditional path for the safe no-pyShell case; add a drift-aware fall-through that measures BS PY drift WITH the credit vs WITHOUT, applies only when it improves balance by ≥ ₹1.</w:t>
      </w:r>
    </w:p>
    <w:p>
      <w:pPr>
        <w:spacing w:after="100"/>
        <w:jc w:val="left"/>
      </w:pPr>
      <w:r>
        <w:rPr>
          <w:rFonts w:ascii="Arial" w:cs="Arial" w:eastAsia="Arial" w:hAnsi="Arial"/>
          <w:sz w:val="21"/>
          <w:szCs w:val="21"/>
        </w:rPr>
        <w:t xml:space="preserve">CY: replace the hard-skip with a drift-aware credit using the same measure-then-apply rule, on the BS_EQ_RS intermediate slot (which nceCyAmounts folds into NCE_CAP downstream).</w:t>
      </w:r>
    </w:p>
    <w:p>
      <w:pPr>
        <w:pStyle w:val="Heading2"/>
        <w:spacing w:after="140" w:before="180"/>
      </w:pPr>
      <w:r>
        <w:rPr>
          <w:rFonts w:ascii="Arial" w:cs="Arial" w:eastAsia="Arial" w:hAnsi="Arial"/>
          <w:b/>
          <w:bCs/>
          <w:color w:val="1F4E79"/>
          <w:sz w:val="26"/>
          <w:szCs w:val="26"/>
        </w:rPr>
        <w:t xml:space="preserve">Why this is a permanent fix</w:t>
      </w:r>
    </w:p>
    <w:p>
      <w:pPr>
        <w:spacing w:after="100"/>
        <w:jc w:val="left"/>
      </w:pPr>
      <w:r>
        <w:rPr>
          <w:rFonts w:ascii="Arial" w:cs="Arial" w:eastAsia="Arial" w:hAnsi="Arial"/>
          <w:sz w:val="22"/>
          <w:szCs w:val="22"/>
        </w:rPr>
        <w:t xml:space="preserve">The decision is data-driven ("does crediting balance the books better?"), not config-driven ("is this engagement in the safe-list?"). Every future NCE client whose Tally is unclosed at audit time will balance automatically on first page load. Every client whose books are closed remains protected from double-counting because the drift-aware check refuses to apply when it would worsen balance.</w:t>
      </w:r>
    </w:p>
    <w:p>
      <w:r>
        <w:br w:type="page"/>
      </w:r>
    </w:p>
    <w:p>
      <w:pPr>
        <w:pStyle w:val="Heading1"/>
        <w:spacing w:after="200" w:before="240"/>
      </w:pPr>
      <w:r>
        <w:rPr>
          <w:rFonts w:ascii="Arial" w:cs="Arial" w:eastAsia="Arial" w:hAnsi="Arial"/>
          <w:b/>
          <w:bCs/>
          <w:color w:val="1F4E79"/>
          <w:sz w:val="32"/>
          <w:szCs w:val="32"/>
        </w:rPr>
        <w:t xml:space="preserve">Section E — Why the regression class is now closed</w:t>
      </w:r>
    </w:p>
    <w:p>
      <w:pPr>
        <w:pStyle w:val="Heading2"/>
        <w:spacing w:after="140" w:before="180"/>
      </w:pPr>
      <w:r>
        <w:rPr>
          <w:rFonts w:ascii="Arial" w:cs="Arial" w:eastAsia="Arial" w:hAnsi="Arial"/>
          <w:b/>
          <w:bCs/>
          <w:color w:val="1F4E79"/>
          <w:sz w:val="26"/>
          <w:szCs w:val="26"/>
        </w:rPr>
        <w:t xml:space="preserve">Five UI write paths removed in prior sessions (15e931d6, 7a1ddb8b, 5106ea37)</w:t>
      </w:r>
    </w:p>
    <w:p>
      <w:pPr>
        <w:pStyle w:val="ListParagraph"/>
        <w:numPr>
          <w:ilvl w:val="0"/>
          <w:numId w:val="2"/>
        </w:numPr>
      </w:pPr>
      <w:r>
        <w:rPr>
          <w:rFonts w:ascii="Arial" w:cs="Arial" w:eastAsia="Arial" w:hAnsi="Arial"/>
          <w:sz w:val="21"/>
          <w:szCs w:val="21"/>
        </w:rPr>
        <w:t xml:space="preserve">Notes tab "Save All Notes" button → removed.</w:t>
      </w:r>
    </w:p>
    <w:p>
      <w:pPr>
        <w:pStyle w:val="ListParagraph"/>
        <w:numPr>
          <w:ilvl w:val="0"/>
          <w:numId w:val="2"/>
        </w:numPr>
      </w:pPr>
      <w:r>
        <w:rPr>
          <w:rFonts w:ascii="Arial" w:cs="Arial" w:eastAsia="Arial" w:hAnsi="Arial"/>
          <w:sz w:val="21"/>
          <w:szCs w:val="21"/>
        </w:rPr>
        <w:t xml:space="preserve">Notes tab "Re-sync from COA" button → removed.</w:t>
      </w:r>
    </w:p>
    <w:p>
      <w:pPr>
        <w:pStyle w:val="ListParagraph"/>
        <w:numPr>
          <w:ilvl w:val="0"/>
          <w:numId w:val="2"/>
        </w:numPr>
      </w:pPr>
      <w:r>
        <w:rPr>
          <w:rFonts w:ascii="Arial" w:cs="Arial" w:eastAsia="Arial" w:hAnsi="Arial"/>
          <w:sz w:val="21"/>
          <w:szCs w:val="21"/>
        </w:rPr>
        <w:t xml:space="preserve">FS page "Re-correct from COA Mapping" function → early-returns with toast.</w:t>
      </w:r>
    </w:p>
    <w:p>
      <w:pPr>
        <w:pStyle w:val="ListParagraph"/>
        <w:numPr>
          <w:ilvl w:val="0"/>
          <w:numId w:val="2"/>
        </w:numPr>
      </w:pPr>
      <w:r>
        <w:rPr>
          <w:rFonts w:ascii="Arial" w:cs="Arial" w:eastAsia="Arial" w:hAnsi="Arial"/>
          <w:sz w:val="21"/>
          <w:szCs w:val="21"/>
        </w:rPr>
        <w:t xml:space="preserve">Stage 3 generateFS NCE auto-populate block → early-skip.</w:t>
      </w:r>
    </w:p>
    <w:p>
      <w:pPr>
        <w:pStyle w:val="ListParagraph"/>
        <w:numPr>
          <w:ilvl w:val="0"/>
          <w:numId w:val="2"/>
        </w:numPr>
      </w:pPr>
      <w:r>
        <w:rPr>
          <w:rFonts w:ascii="Arial" w:cs="Arial" w:eastAsia="Arial" w:hAnsi="Arial"/>
          <w:sz w:val="21"/>
          <w:szCs w:val="21"/>
        </w:rPr>
        <w:t xml:space="preserve">1.2 s auto-save + COA-hash auto-sync + load-time self-heal + first-visit auto-populate + 5-gate silent re-sync → all disabled.</w:t>
      </w:r>
    </w:p>
    <w:p>
      <w:pPr>
        <w:pStyle w:val="ListParagraph"/>
        <w:numPr>
          <w:ilvl w:val="0"/>
          <w:numId w:val="2"/>
        </w:numPr>
      </w:pPr>
      <w:r>
        <w:rPr>
          <w:rFonts w:ascii="Arial" w:cs="Arial" w:eastAsia="Arial" w:hAnsi="Arial"/>
          <w:sz w:val="21"/>
          <w:szCs w:val="21"/>
        </w:rPr>
        <w:t xml:space="preserve">persistNotes function → no-op. Any straggler caller writes nothing.</w:t>
      </w:r>
    </w:p>
    <w:p>
      <w:pPr>
        <w:pStyle w:val="Heading2"/>
        <w:spacing w:after="140" w:before="180"/>
      </w:pPr>
      <w:r>
        <w:rPr>
          <w:rFonts w:ascii="Arial" w:cs="Arial" w:eastAsia="Arial" w:hAnsi="Arial"/>
          <w:b/>
          <w:bCs/>
          <w:color w:val="1F4E79"/>
          <w:sz w:val="26"/>
          <w:szCs w:val="26"/>
        </w:rPr>
        <w:t xml:space="preserve">Permanent reconciliation contract</w:t>
      </w:r>
    </w:p>
    <w:p>
      <w:pPr>
        <w:spacing w:after="100"/>
        <w:jc w:val="left"/>
      </w:pPr>
      <w:r>
        <w:rPr>
          <w:rFonts w:ascii="Arial" w:cs="Arial" w:eastAsia="Arial" w:hAnsi="Arial"/>
          <w:sz w:val="22"/>
          <w:szCs w:val="22"/>
        </w:rPr>
        <w:t xml:space="preserve">With UI writes locked, the data layer reconciled to COA via an idempotent SQL pass, and the code layer auto-balancing PY + CY profit to Capital where needed, the three states (TB → COA → Notes → Face) are now strictly chained. Any new TB ledger that flows into COA mapping shows up in the COA total. The Note Total can only match COA via the adjustment row mechanism. There is no UI path that can silently overwrite the adjustment row.</w:t>
      </w:r>
    </w:p>
    <w:p>
      <w:pPr>
        <w:pStyle w:val="Heading2"/>
        <w:spacing w:after="140" w:before="180"/>
      </w:pPr>
      <w:r>
        <w:rPr>
          <w:rFonts w:ascii="Arial" w:cs="Arial" w:eastAsia="Arial" w:hAnsi="Arial"/>
          <w:b/>
          <w:bCs/>
          <w:color w:val="1F4E79"/>
          <w:sz w:val="26"/>
          <w:szCs w:val="26"/>
        </w:rPr>
        <w:t xml:space="preserve">If the auditor changes a TB ledger amount tomorrow</w:t>
      </w:r>
    </w:p>
    <w:p>
      <w:pPr>
        <w:spacing w:after="100"/>
        <w:jc w:val="left"/>
      </w:pPr>
      <w:r>
        <w:rPr>
          <w:rFonts w:ascii="Arial" w:cs="Arial" w:eastAsia="Arial" w:hAnsi="Arial"/>
          <w:sz w:val="22"/>
          <w:szCs w:val="22"/>
        </w:rPr>
        <w:t xml:space="preserve">Re-run nce_drift_fix.sql. Idempotent — only the affected adjustment rows update. The auditor can also leave it alone: the BS face will simply show the new gap because the adjustment row carries the OLD diff. Either way the chain is self-describing.</w:t>
      </w:r>
    </w:p>
    <w:p>
      <w:pPr>
        <w:pStyle w:val="Heading2"/>
        <w:spacing w:after="140" w:before="180"/>
      </w:pPr>
      <w:r>
        <w:rPr>
          <w:rFonts w:ascii="Arial" w:cs="Arial" w:eastAsia="Arial" w:hAnsi="Arial"/>
          <w:b/>
          <w:bCs/>
          <w:color w:val="1F4E79"/>
          <w:sz w:val="26"/>
          <w:szCs w:val="26"/>
        </w:rPr>
        <w:t xml:space="preserve">Files</w:t>
      </w:r>
    </w:p>
    <w:p>
      <w:pPr>
        <w:spacing w:after="100"/>
        <w:jc w:val="left"/>
      </w:pPr>
      <w:r>
        <w:rPr>
          <w:rFonts w:ascii="Arial" w:cs="Arial" w:eastAsia="Arial" w:hAnsi="Arial"/>
          <w:sz w:val="20"/>
          <w:szCs w:val="20"/>
        </w:rPr>
        <w:t xml:space="preserve">nce_drift_sweep.sql — diagnostic; lists every (engagement, note_type) drift cell.</w:t>
      </w:r>
    </w:p>
    <w:p>
      <w:pPr>
        <w:spacing w:after="100"/>
        <w:jc w:val="left"/>
      </w:pPr>
      <w:r>
        <w:rPr>
          <w:rFonts w:ascii="Arial" w:cs="Arial" w:eastAsia="Arial" w:hAnsi="Arial"/>
          <w:sz w:val="20"/>
          <w:szCs w:val="20"/>
        </w:rPr>
        <w:t xml:space="preserve">nce_drift_fix.sql — fix; idempotent UPDATE/INSERT closing every in-scope drift.</w:t>
      </w:r>
    </w:p>
    <w:p>
      <w:pPr>
        <w:spacing w:after="100"/>
        <w:jc w:val="left"/>
      </w:pPr>
      <w:r>
        <w:rPr>
          <w:rFonts w:ascii="Arial" w:cs="Arial" w:eastAsia="Arial" w:hAnsi="Arial"/>
          <w:sz w:val="20"/>
          <w:szCs w:val="20"/>
        </w:rPr>
        <w:t xml:space="preserve">PipelineFinancialStatements.tsx (~line 3072 CY, ~line 3280 PY) — smart-gated auto-credit.</w:t>
      </w:r>
    </w:p>
    <w:p>
      <w:pPr>
        <w:spacing w:after="100"/>
        <w:jc w:val="left"/>
      </w:pPr>
      <w:r>
        <w:rPr>
          <w:rFonts w:ascii="Arial" w:cs="Arial" w:eastAsia="Arial" w:hAnsi="Arial"/>
          <w:sz w:val="20"/>
          <w:szCs w:val="20"/>
        </w:rPr>
        <w:t xml:space="preserve">NCE_FS_Final_Reconciliation_Report_v6.docx — this document.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8"/>
        <w:szCs w:val="18"/>
      </w:rPr>
      <w:t xml:space="preserve">NCE FS Reconciliation Report v6 — Page </w:t>
    </w:r>
    <w:r>
      <w:rPr>
        <w:rFonts w:ascii="Arial" w:cs="Arial" w:eastAsia="Arial" w:hAnsi="Arial"/>
        <w:color w:val="808080"/>
        <w:sz w:val="18"/>
        <w:szCs w:val="18"/>
      </w:rPr>
      <w:fldChar w:fldCharType="begin"/>
      <w:instrText xml:space="preserve">PAGE</w:instrText>
      <w:fldChar w:fldCharType="separate"/>
      <w:fldChar w:fldCharType="end"/>
    </w:r>
    <w:r>
      <w:rPr>
        <w:rFonts w:ascii="Arial" w:cs="Arial" w:eastAsia="Arial" w:hAnsi="Arial"/>
        <w:color w:val="808080"/>
        <w:sz w:val="18"/>
        <w:szCs w:val="18"/>
      </w:rPr>
      <w:t xml:space="preserve"> — 11 June 2026 — Universal Notes=COA + Smart CY/PY auto-credit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18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2026-06-11T13:01:09.833Z</dcterms:created>
  <dcterms:modified xsi:type="dcterms:W3CDTF">2026-06-11T13:01:09.834Z</dcterms:modified>
</cp:coreProperties>
</file>

<file path=docProps/custom.xml><?xml version="1.0" encoding="utf-8"?>
<Properties xmlns="http://schemas.openxmlformats.org/officeDocument/2006/custom-properties" xmlns:vt="http://schemas.openxmlformats.org/officeDocument/2006/docPropsVTypes"/>
</file>