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non_amount_differences_between_th_39e749"/>
      <w:r>
        <w:rPr>
          <w:rFonts w:eastAsia="georgia" w:cs="georgia" w:ascii="georgia" w:hAnsi="georgia"/>
          <w:b/>
          <w:color w:val="000000"/>
          <w:sz w:val="39"/>
        </w:rPr>
        <w:t xml:space="preserve">Non-Amount Differences Between the Two Audit Report PDFs</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document lists only the differences between the two PDFs other than amount or figure changes. The comparison is based on the extracted text content of the attached PDFs. [cite:1][cite:2]</w:t>
      </w:r>
    </w:p>
    <w:p>
      <w:pPr>
        <w:spacing w:line="360" w:before="315" w:after="105" w:lineRule="auto"/>
        <w:ind w:left="-30"/>
        <w:jc w:val="left"/>
      </w:pPr>
      <w:bookmarkStart w:id="2" w:name="entity_and_placeholder_differences"/>
      <w:r>
        <w:rPr>
          <w:rFonts w:eastAsia="georgia" w:cs="georgia" w:ascii="georgia" w:hAnsi="georgia"/>
          <w:b/>
          <w:color w:val="000000"/>
          <w:sz w:val="24"/>
        </w:rPr>
        <w:t xml:space="preserve">Entity and placeholder differences</w:t>
      </w:r>
      <w:bookmarkEnd w:id="2"/>
    </w:p>
    <w:p>
      <w:pPr>
        <w:numPr>
          <w:ilvl w:val="0"/>
          <w:numId w:val="1"/>
        </w:numPr>
        <w:spacing w:line="360" w:before="105" w:after="105" w:lineRule="auto"/>
      </w:pPr>
      <w:r>
        <w:rPr>
          <w:rFonts w:eastAsia="georgia" w:cs="georgia" w:ascii="georgia" w:hAnsi="georgia"/>
          <w:color w:val="000000"/>
          <w:sz w:val="21"/>
        </w:rPr>
        <w:t xml:space="preserve">The first PDF is a template and uses placeholders such as </w:t>
      </w:r>
      <w:r>
        <w:rPr>
          <w:rStyle w:val="VerbatimChar"/>
          <w:rFonts w:eastAsia="menlo" w:cs="menlo" w:ascii="menlo" w:hAnsi="menlo"/>
          <w:color w:val="000000"/>
          <w:sz w:val="18"/>
          <w:shd w:val="clear" w:color="auto" w:fill="F8F8FA"/>
        </w:rPr>
        <w:t xml:space="preserve">[NAME OF THE COMPANY]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[STATUTORY AUDITOR 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[PLACE]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20XX</w:t>
      </w:r>
      <w:r>
        <w:rPr>
          <w:rFonts w:eastAsia="georgia" w:cs="georgia" w:ascii="georgia" w:hAnsi="georgia"/>
          <w:color w:val="000000"/>
          <w:sz w:val="21"/>
        </w:rPr>
        <w:t xml:space="preserve">, and repeated </w:t>
      </w:r>
      <w:r>
        <w:rPr>
          <w:rStyle w:val="VerbatimChar"/>
          <w:rFonts w:eastAsia="menlo" w:cs="menlo" w:ascii="menlo" w:hAnsi="menlo"/>
          <w:color w:val="000000"/>
          <w:sz w:val="18"/>
          <w:shd w:val="clear" w:color="auto" w:fill="F8F8FA"/>
        </w:rPr>
        <w:t xml:space="preserve">AUTO</w:t>
      </w:r>
      <w:r>
        <w:rPr>
          <w:rFonts w:eastAsia="georgia" w:cs="georgia" w:ascii="georgia" w:hAnsi="georgia"/>
          <w:color w:val="000000"/>
          <w:sz w:val="21"/>
        </w:rPr>
        <w:t xml:space="preserve"> labels. [cite:1]</w:t>
      </w:r>
    </w:p>
    <w:p>
      <w:pPr>
        <w:numPr>
          <w:ilvl w:val="0"/>
          <w:numId w:val="1"/>
        </w:numPr>
        <w:spacing w:line="360" w:before="105" w:after="105" w:lineRule="auto"/>
      </w:pPr>
      <w:r>
        <w:rPr>
          <w:rFonts w:eastAsia="georgia" w:cs="georgia" w:ascii="georgia" w:hAnsi="georgia"/>
          <w:color w:val="000000"/>
          <w:sz w:val="21"/>
        </w:rPr>
        <w:t xml:space="preserve">The second PDF replaces those placeholders with specific entity details such as </w:t>
      </w:r>
      <w:r>
        <w:rPr>
          <w:rStyle w:val="VerbatimChar"/>
          <w:rFonts w:eastAsia="menlo" w:cs="menlo" w:ascii="menlo" w:hAnsi="menlo"/>
          <w:color w:val="000000"/>
          <w:sz w:val="18"/>
          <w:shd w:val="clear" w:color="auto" w:fill="F8F8FA"/>
        </w:rPr>
        <w:t xml:space="preserve">KWIKTEAM SUPPORT SERVICES PVT LTD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 J Desai &amp; Co. LLP</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Kunal V Desai</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Hiren Patoliya</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Pravin Kapopara</w:t>
      </w:r>
      <w:r>
        <w:rPr>
          <w:rFonts w:eastAsia="georgia" w:cs="georgia" w:ascii="georgia" w:hAnsi="georgia"/>
          <w:color w:val="000000"/>
          <w:sz w:val="21"/>
        </w:rPr>
        <w:t xml:space="preserve">. [cite:2]</w:t>
      </w:r>
    </w:p>
    <w:p>
      <w:pPr>
        <w:numPr>
          <w:ilvl w:val="0"/>
          <w:numId w:val="1"/>
        </w:numPr>
        <w:spacing w:line="360" w:before="105" w:after="105" w:lineRule="auto"/>
      </w:pPr>
      <w:r>
        <w:rPr>
          <w:rFonts w:eastAsia="georgia" w:cs="georgia" w:ascii="georgia" w:hAnsi="georgia"/>
          <w:color w:val="000000"/>
          <w:sz w:val="21"/>
        </w:rPr>
        <w:t xml:space="preserve">The first PDF leaves director and auditor identification fields generic, while the second PDF contains actual partner name, membership number, director names, and DIN details. [cite:1][cite:2]</w:t>
      </w:r>
    </w:p>
    <w:p>
      <w:pPr>
        <w:numPr>
          <w:ilvl w:val="0"/>
          <w:numId w:val="1"/>
        </w:numPr>
        <w:spacing w:line="360" w:before="105" w:after="105" w:lineRule="auto"/>
      </w:pPr>
      <w:r>
        <w:rPr>
          <w:rFonts w:eastAsia="georgia" w:cs="georgia" w:ascii="georgia" w:hAnsi="georgia"/>
          <w:color w:val="000000"/>
          <w:sz w:val="21"/>
        </w:rPr>
        <w:t xml:space="preserve">The first PDF uses incomplete date placeholders, while the second PDF uses completed reporting periods such as 31st March, 2026 and 31st March, 2025. [cite:1][cite:2]</w:t>
      </w:r>
    </w:p>
    <w:p>
      <w:pPr>
        <w:spacing w:line="360" w:before="315" w:after="105" w:lineRule="auto"/>
        <w:ind w:left="-30"/>
        <w:jc w:val="left"/>
      </w:pPr>
      <w:bookmarkStart w:id="3" w:name="structural_differences"/>
      <w:r>
        <w:rPr>
          <w:rFonts w:eastAsia="georgia" w:cs="georgia" w:ascii="georgia" w:hAnsi="georgia"/>
          <w:b/>
          <w:color w:val="000000"/>
          <w:sz w:val="24"/>
        </w:rPr>
        <w:t xml:space="preserve">Structural differences</w:t>
      </w:r>
      <w:bookmarkEnd w:id="3"/>
    </w:p>
    <w:p>
      <w:pPr>
        <w:numPr>
          <w:ilvl w:val="0"/>
          <w:numId w:val="2"/>
        </w:numPr>
        <w:spacing w:line="360" w:before="105" w:after="105" w:lineRule="auto"/>
      </w:pPr>
      <w:r>
        <w:rPr>
          <w:rFonts w:eastAsia="georgia" w:cs="georgia" w:ascii="georgia" w:hAnsi="georgia"/>
          <w:color w:val="000000"/>
          <w:sz w:val="21"/>
        </w:rPr>
        <w:t xml:space="preserve">The first PDF is a longer master template covering balance sheet, profit and loss, cash flow, schedules, ratio note, independent auditor’s report, and annexures. [cite:1]</w:t>
      </w:r>
    </w:p>
    <w:p>
      <w:pPr>
        <w:numPr>
          <w:ilvl w:val="0"/>
          <w:numId w:val="2"/>
        </w:numPr>
        <w:spacing w:line="360" w:before="105" w:after="105" w:lineRule="auto"/>
      </w:pPr>
      <w:r>
        <w:rPr>
          <w:rFonts w:eastAsia="georgia" w:cs="georgia" w:ascii="georgia" w:hAnsi="georgia"/>
          <w:color w:val="000000"/>
          <w:sz w:val="21"/>
        </w:rPr>
        <w:t xml:space="preserve">The second PDF, in the extracted text reviewed, mainly contains the populated financial statements, schedules, PPE note, and ratio note. [cite:2]</w:t>
      </w:r>
    </w:p>
    <w:p>
      <w:pPr>
        <w:numPr>
          <w:ilvl w:val="0"/>
          <w:numId w:val="2"/>
        </w:numPr>
        <w:spacing w:line="360" w:before="105" w:after="105" w:lineRule="auto"/>
      </w:pPr>
      <w:r>
        <w:rPr>
          <w:rFonts w:eastAsia="georgia" w:cs="georgia" w:ascii="georgia" w:hAnsi="georgia"/>
          <w:color w:val="000000"/>
          <w:sz w:val="21"/>
        </w:rPr>
        <w:t xml:space="preserve">The first PDF includes extracted sections titled </w:t>
      </w:r>
      <w:r>
        <w:rPr>
          <w:rStyle w:val="VerbatimChar"/>
          <w:rFonts w:eastAsia="menlo" w:cs="menlo" w:ascii="menlo" w:hAnsi="menlo"/>
          <w:color w:val="000000"/>
          <w:sz w:val="18"/>
          <w:shd w:val="clear" w:color="auto" w:fill="F8F8FA"/>
        </w:rPr>
        <w:t xml:space="preserve">INDEPENDENT AUDITOR’S REPORT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Annexure - A</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Annexure- B to the Auditor’s Report</w:t>
      </w:r>
      <w:r>
        <w:rPr>
          <w:rFonts w:eastAsia="georgia" w:cs="georgia" w:ascii="georgia" w:hAnsi="georgia"/>
          <w:color w:val="000000"/>
          <w:sz w:val="21"/>
        </w:rPr>
        <w:t xml:space="preserve">. [cite:1]</w:t>
      </w:r>
    </w:p>
    <w:p>
      <w:pPr>
        <w:numPr>
          <w:ilvl w:val="0"/>
          <w:numId w:val="2"/>
        </w:numPr>
        <w:spacing w:line="360" w:before="105" w:after="105" w:lineRule="auto"/>
      </w:pPr>
      <w:r>
        <w:rPr>
          <w:rFonts w:eastAsia="georgia" w:cs="georgia" w:ascii="georgia" w:hAnsi="georgia"/>
          <w:color w:val="000000"/>
          <w:sz w:val="21"/>
        </w:rPr>
        <w:t xml:space="preserve">Those sections are not visible in the extracted content reviewed for the second PDF. [cite:2]</w:t>
      </w:r>
    </w:p>
    <w:p>
      <w:pPr>
        <w:numPr>
          <w:ilvl w:val="0"/>
          <w:numId w:val="2"/>
        </w:numPr>
        <w:spacing w:line="360" w:before="105" w:after="105" w:lineRule="auto"/>
      </w:pPr>
      <w:r>
        <w:rPr>
          <w:rFonts w:eastAsia="georgia" w:cs="georgia" w:ascii="georgia" w:hAnsi="georgia"/>
          <w:color w:val="000000"/>
          <w:sz w:val="21"/>
        </w:rPr>
        <w:t xml:space="preserve">Pagination and page distribution differ materially between the two PDFs. The first PDF runs across a longer template structure, while the second PDF appears as a shorter populated set of statement pages in the extracted text. [cite:1][cite:2]</w:t>
      </w:r>
    </w:p>
    <w:p>
      <w:pPr>
        <w:spacing w:line="360" w:before="315" w:after="105" w:lineRule="auto"/>
        <w:ind w:left="-30"/>
        <w:jc w:val="left"/>
      </w:pPr>
      <w:bookmarkStart w:id="4" w:name="wording_differences"/>
      <w:r>
        <w:rPr>
          <w:rFonts w:eastAsia="georgia" w:cs="georgia" w:ascii="georgia" w:hAnsi="georgia"/>
          <w:b/>
          <w:color w:val="000000"/>
          <w:sz w:val="24"/>
        </w:rPr>
        <w:t xml:space="preserve">Wording differences</w:t>
      </w:r>
      <w:bookmarkEnd w:id="4"/>
    </w:p>
    <w:p>
      <w:pPr>
        <w:numPr>
          <w:ilvl w:val="0"/>
          <w:numId w:val="3"/>
        </w:numPr>
        <w:spacing w:line="360" w:before="105" w:after="105" w:lineRule="auto"/>
      </w:pPr>
      <w:r>
        <w:rPr>
          <w:rFonts w:eastAsia="georgia" w:cs="georgia" w:ascii="georgia" w:hAnsi="georgia"/>
          <w:color w:val="000000"/>
          <w:sz w:val="21"/>
        </w:rPr>
        <w:t xml:space="preserve">In long-term loans and advances, the first PDF uses the phrase </w:t>
      </w:r>
      <w:r>
        <w:rPr>
          <w:rStyle w:val="VerbatimChar"/>
          <w:rFonts w:eastAsia="menlo" w:cs="menlo" w:ascii="menlo" w:hAnsi="menlo"/>
          <w:color w:val="000000"/>
          <w:sz w:val="18"/>
          <w:shd w:val="clear" w:color="auto" w:fill="F8F8FA"/>
        </w:rPr>
        <w:t xml:space="preserve">giving details thereof</w:t>
      </w:r>
      <w:r>
        <w:rPr>
          <w:rFonts w:eastAsia="georgia" w:cs="georgia" w:ascii="georgia" w:hAnsi="georgia"/>
          <w:color w:val="000000"/>
          <w:sz w:val="21"/>
        </w:rPr>
        <w:t xml:space="preserve">, while the second PDF uses </w:t>
      </w:r>
      <w:r>
        <w:rPr>
          <w:rStyle w:val="VerbatimChar"/>
          <w:rFonts w:eastAsia="menlo" w:cs="menlo" w:ascii="menlo" w:hAnsi="menlo"/>
          <w:color w:val="000000"/>
          <w:sz w:val="18"/>
          <w:shd w:val="clear" w:color="auto" w:fill="F8F8FA"/>
        </w:rPr>
        <w:t xml:space="preserve">giving particulars</w:t>
      </w:r>
      <w:r>
        <w:rPr>
          <w:rFonts w:eastAsia="georgia" w:cs="georgia" w:ascii="georgia" w:hAnsi="georgia"/>
          <w:color w:val="000000"/>
          <w:sz w:val="21"/>
        </w:rPr>
        <w:t xml:space="preserve">. [cite:1][cite:2]</w:t>
      </w:r>
    </w:p>
    <w:p>
      <w:pPr>
        <w:numPr>
          <w:ilvl w:val="0"/>
          <w:numId w:val="3"/>
        </w:numPr>
        <w:spacing w:line="360" w:before="105" w:after="105" w:lineRule="auto"/>
      </w:pPr>
      <w:r>
        <w:rPr>
          <w:rFonts w:eastAsia="georgia" w:cs="georgia" w:ascii="georgia" w:hAnsi="georgia"/>
          <w:color w:val="000000"/>
          <w:sz w:val="21"/>
        </w:rPr>
        <w:t xml:space="preserve">In trade payable note wording, the first PDF states that ageing requirement shall not apply to trade payables </w:t>
      </w:r>
      <w:r>
        <w:rPr>
          <w:rStyle w:val="VerbatimChar"/>
          <w:rFonts w:eastAsia="menlo" w:cs="menlo" w:ascii="menlo" w:hAnsi="menlo"/>
          <w:color w:val="000000"/>
          <w:sz w:val="18"/>
          <w:shd w:val="clear" w:color="auto" w:fill="F8F8FA"/>
        </w:rPr>
        <w:t xml:space="preserve">which are not due for payment</w:t>
      </w:r>
      <w:r>
        <w:rPr>
          <w:rFonts w:eastAsia="georgia" w:cs="georgia" w:ascii="georgia" w:hAnsi="georgia"/>
          <w:color w:val="000000"/>
          <w:sz w:val="21"/>
        </w:rPr>
        <w:t xml:space="preserve">, while the second PDF changes that note and instead states there are no unbilled and not due trade payables and adds a different MSME-related management note. [cite:1][cite:2]</w:t>
      </w:r>
    </w:p>
    <w:p>
      <w:pPr>
        <w:numPr>
          <w:ilvl w:val="0"/>
          <w:numId w:val="3"/>
        </w:numPr>
        <w:spacing w:line="360" w:before="105" w:after="105" w:lineRule="auto"/>
      </w:pPr>
      <w:r>
        <w:rPr>
          <w:rFonts w:eastAsia="georgia" w:cs="georgia" w:ascii="georgia" w:hAnsi="georgia"/>
          <w:color w:val="000000"/>
          <w:sz w:val="21"/>
        </w:rPr>
        <w:t xml:space="preserve">In the cash and bank equivalents note, the first PDF refers to deposits with original maturity period of </w:t>
      </w:r>
      <w:r>
        <w:rPr>
          <w:rStyle w:val="VerbatimChar"/>
          <w:rFonts w:eastAsia="menlo" w:cs="menlo" w:ascii="menlo" w:hAnsi="menlo"/>
          <w:color w:val="000000"/>
          <w:sz w:val="18"/>
          <w:shd w:val="clear" w:color="auto" w:fill="F8F8FA"/>
        </w:rPr>
        <w:t xml:space="preserve">more than 3 months but less than 12 months</w:t>
      </w:r>
      <w:r>
        <w:rPr>
          <w:rFonts w:eastAsia="georgia" w:cs="georgia" w:ascii="georgia" w:hAnsi="georgia"/>
          <w:color w:val="000000"/>
          <w:sz w:val="21"/>
        </w:rPr>
        <w:t xml:space="preserve">, whereas the second PDF refers to deposits with original maturity period of </w:t>
      </w:r>
      <w:r>
        <w:rPr>
          <w:rStyle w:val="VerbatimChar"/>
          <w:rFonts w:eastAsia="menlo" w:cs="menlo" w:ascii="menlo" w:hAnsi="menlo"/>
          <w:color w:val="000000"/>
          <w:sz w:val="18"/>
          <w:shd w:val="clear" w:color="auto" w:fill="F8F8FA"/>
        </w:rPr>
        <w:t xml:space="preserve">more than 12 months</w:t>
      </w:r>
      <w:r>
        <w:rPr>
          <w:rFonts w:eastAsia="georgia" w:cs="georgia" w:ascii="georgia" w:hAnsi="georgia"/>
          <w:color w:val="000000"/>
          <w:sz w:val="21"/>
        </w:rPr>
        <w:t xml:space="preserve">. [cite:1][cite:2]</w:t>
      </w:r>
    </w:p>
    <w:p>
      <w:pPr>
        <w:numPr>
          <w:ilvl w:val="0"/>
          <w:numId w:val="3"/>
        </w:numPr>
        <w:spacing w:line="360" w:before="105" w:after="105" w:lineRule="auto"/>
      </w:pPr>
      <w:r>
        <w:rPr>
          <w:rFonts w:eastAsia="georgia" w:cs="georgia" w:ascii="georgia" w:hAnsi="georgia"/>
          <w:color w:val="000000"/>
          <w:sz w:val="21"/>
        </w:rPr>
        <w:t xml:space="preserve">In the other expenses schedule, the first PDF uses </w:t>
      </w:r>
      <w:r>
        <w:rPr>
          <w:rStyle w:val="VerbatimChar"/>
          <w:rFonts w:eastAsia="menlo" w:cs="menlo" w:ascii="menlo" w:hAnsi="menlo"/>
          <w:color w:val="000000"/>
          <w:sz w:val="18"/>
          <w:shd w:val="clear" w:color="auto" w:fill="F8F8FA"/>
        </w:rPr>
        <w:t xml:space="preserve">Other Membership, Licence/Certification and Subscription Fees</w:t>
      </w:r>
      <w:r>
        <w:rPr>
          <w:rFonts w:eastAsia="georgia" w:cs="georgia" w:ascii="georgia" w:hAnsi="georgia"/>
          <w:color w:val="000000"/>
          <w:sz w:val="21"/>
        </w:rPr>
        <w:t xml:space="preserve">, while the second PDF uses </w:t>
      </w:r>
      <w:r>
        <w:rPr>
          <w:rStyle w:val="VerbatimChar"/>
          <w:rFonts w:eastAsia="menlo" w:cs="menlo" w:ascii="menlo" w:hAnsi="menlo"/>
          <w:color w:val="000000"/>
          <w:sz w:val="18"/>
          <w:shd w:val="clear" w:color="auto" w:fill="F8F8FA"/>
        </w:rPr>
        <w:t xml:space="preserve">Other Membership, Licence/Certification and Subscription</w:t>
      </w:r>
      <w:r>
        <w:rPr>
          <w:rFonts w:eastAsia="georgia" w:cs="georgia" w:ascii="georgia" w:hAnsi="georgia"/>
          <w:color w:val="000000"/>
          <w:sz w:val="21"/>
        </w:rPr>
        <w:t xml:space="preserve">. [cite:1][cite:2]</w:t>
      </w:r>
    </w:p>
    <w:p>
      <w:pPr>
        <w:numPr>
          <w:ilvl w:val="0"/>
          <w:numId w:val="3"/>
        </w:numPr>
        <w:spacing w:line="360" w:before="105" w:after="105" w:lineRule="auto"/>
      </w:pPr>
      <w:r>
        <w:rPr>
          <w:rFonts w:eastAsia="georgia" w:cs="georgia" w:ascii="georgia" w:hAnsi="georgia"/>
          <w:color w:val="000000"/>
          <w:sz w:val="21"/>
        </w:rPr>
        <w:t xml:space="preserve">In deferred tax note wording, the first PDF states </w:t>
      </w:r>
      <w:r>
        <w:rPr>
          <w:rStyle w:val="VerbatimChar"/>
          <w:rFonts w:eastAsia="menlo" w:cs="menlo" w:ascii="menlo" w:hAnsi="menlo"/>
          <w:color w:val="000000"/>
          <w:sz w:val="18"/>
          <w:shd w:val="clear" w:color="auto" w:fill="F8F8FA"/>
        </w:rPr>
        <w:t xml:space="preserve">depreciation as per Income Tax Act, 1961</w:t>
      </w:r>
      <w:r>
        <w:rPr>
          <w:rFonts w:eastAsia="georgia" w:cs="georgia" w:ascii="georgia" w:hAnsi="georgia"/>
          <w:color w:val="000000"/>
          <w:sz w:val="21"/>
        </w:rPr>
        <w:t xml:space="preserve">, while the second PDF uses the shorter expression </w:t>
      </w:r>
      <w:r>
        <w:rPr>
          <w:rStyle w:val="VerbatimChar"/>
          <w:rFonts w:eastAsia="menlo" w:cs="menlo" w:ascii="menlo" w:hAnsi="menlo"/>
          <w:color w:val="000000"/>
          <w:sz w:val="18"/>
          <w:shd w:val="clear" w:color="auto" w:fill="F8F8FA"/>
        </w:rPr>
        <w:t xml:space="preserve">under IT Act</w:t>
      </w:r>
      <w:r>
        <w:rPr>
          <w:rFonts w:eastAsia="georgia" w:cs="georgia" w:ascii="georgia" w:hAnsi="georgia"/>
          <w:color w:val="000000"/>
          <w:sz w:val="21"/>
        </w:rPr>
        <w:t xml:space="preserve"> in another related disclosure. [cite:1][cite:2]</w:t>
      </w:r>
    </w:p>
    <w:p>
      <w:pPr>
        <w:spacing w:line="360" w:before="315" w:after="105" w:lineRule="auto"/>
        <w:ind w:left="-30"/>
        <w:jc w:val="left"/>
      </w:pPr>
      <w:bookmarkStart w:id="5" w:name="content_description_differences"/>
      <w:r>
        <w:rPr>
          <w:rFonts w:eastAsia="georgia" w:cs="georgia" w:ascii="georgia" w:hAnsi="georgia"/>
          <w:b/>
          <w:color w:val="000000"/>
          <w:sz w:val="24"/>
        </w:rPr>
        <w:t xml:space="preserve">Content-description differences</w:t>
      </w:r>
      <w:bookmarkEnd w:id="5"/>
    </w:p>
    <w:p>
      <w:pPr>
        <w:numPr>
          <w:ilvl w:val="0"/>
          <w:numId w:val="4"/>
        </w:numPr>
        <w:spacing w:line="360" w:before="105" w:after="105" w:lineRule="auto"/>
      </w:pPr>
      <w:r>
        <w:rPr>
          <w:rFonts w:eastAsia="georgia" w:cs="georgia" w:ascii="georgia" w:hAnsi="georgia"/>
          <w:color w:val="000000"/>
          <w:sz w:val="21"/>
        </w:rPr>
        <w:t xml:space="preserve">The PPE schedule in the first PDF lists broad template asset classes such as Land, Factory Building, Plant &amp; Machinery, Furniture and fixtures, Vehicles, and Software. [cite:1]</w:t>
      </w:r>
    </w:p>
    <w:p>
      <w:pPr>
        <w:numPr>
          <w:ilvl w:val="0"/>
          <w:numId w:val="4"/>
        </w:numPr>
        <w:spacing w:line="360" w:before="105" w:after="105" w:lineRule="auto"/>
      </w:pPr>
      <w:r>
        <w:rPr>
          <w:rFonts w:eastAsia="georgia" w:cs="georgia" w:ascii="georgia" w:hAnsi="georgia"/>
          <w:color w:val="000000"/>
          <w:sz w:val="21"/>
        </w:rPr>
        <w:t xml:space="preserve">The second PDF lists company-specific asset descriptions such as AIR CONDITIONER, CAMERA, Computer and Laptop, FAN, MICROWAVE OVAN, Mobile, MOBILE LOCKER, PROJECTOR, and WATER MACHINE. [cite:2]</w:t>
      </w:r>
    </w:p>
    <w:p>
      <w:pPr>
        <w:numPr>
          <w:ilvl w:val="0"/>
          <w:numId w:val="4"/>
        </w:numPr>
        <w:spacing w:line="360" w:before="105" w:after="105" w:lineRule="auto"/>
      </w:pPr>
      <w:r>
        <w:rPr>
          <w:rFonts w:eastAsia="georgia" w:cs="georgia" w:ascii="georgia" w:hAnsi="georgia"/>
          <w:color w:val="000000"/>
          <w:sz w:val="21"/>
        </w:rPr>
        <w:t xml:space="preserve">The first PDF presents several headings and schedules with </w:t>
      </w:r>
      <w:r>
        <w:rPr>
          <w:rStyle w:val="VerbatimChar"/>
          <w:rFonts w:eastAsia="menlo" w:cs="menlo" w:ascii="menlo" w:hAnsi="menlo"/>
          <w:color w:val="000000"/>
          <w:sz w:val="18"/>
          <w:shd w:val="clear" w:color="auto" w:fill="F8F8FA"/>
        </w:rPr>
        <w:t xml:space="preserve">AUTO</w:t>
      </w:r>
      <w:r>
        <w:rPr>
          <w:rFonts w:eastAsia="georgia" w:cs="georgia" w:ascii="georgia" w:hAnsi="georgia"/>
          <w:color w:val="000000"/>
          <w:sz w:val="21"/>
        </w:rPr>
        <w:t xml:space="preserve"> note references, while the second PDF replaces them with finalized note numbers such as 2, 3, 5, 6, 7, 8, 9, 10, 11, 12, 13, 14, 15, 16, and 18. [cite:1][cite:2]</w:t>
      </w:r>
    </w:p>
    <w:p>
      <w:pPr>
        <w:numPr>
          <w:ilvl w:val="0"/>
          <w:numId w:val="4"/>
        </w:numPr>
        <w:spacing w:line="360" w:before="105" w:after="105" w:lineRule="auto"/>
      </w:pPr>
      <w:r>
        <w:rPr>
          <w:rFonts w:eastAsia="georgia" w:cs="georgia" w:ascii="georgia" w:hAnsi="georgia"/>
          <w:color w:val="000000"/>
          <w:sz w:val="21"/>
        </w:rPr>
        <w:t xml:space="preserve">The first PDF uses instructional or template-style wording in multiple places, while the second PDF reads as a finalized company-specific report. [cite:1][cite:2]</w:t>
      </w:r>
    </w:p>
    <w:p>
      <w:pPr>
        <w:spacing w:line="360" w:before="315" w:after="105" w:lineRule="auto"/>
        <w:ind w:left="-30"/>
        <w:jc w:val="left"/>
      </w:pPr>
      <w:bookmarkStart w:id="6" w:name="comparison_table"/>
      <w:r>
        <w:rPr>
          <w:rFonts w:eastAsia="georgia" w:cs="georgia" w:ascii="georgia" w:hAnsi="georgia"/>
          <w:b/>
          <w:color w:val="000000"/>
          <w:sz w:val="24"/>
        </w:rPr>
        <w:t xml:space="preserve">Comparison table</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PDF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Second 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Nature of document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Generic template with placeholders and </w:t>
            </w:r>
            <w:r>
              <w:rPr>
                <w:rStyle w:val="VerbatimChar"/>
                <w:rFonts w:eastAsia="menlo" w:cs="menlo" w:ascii="menlo" w:hAnsi="menlo"/>
                <w:color w:val="000000"/>
                <w:sz w:val="18"/>
                <w:shd w:val="clear" w:color="auto" w:fill="F8F8FA"/>
              </w:rPr>
              <w:t xml:space="preserve">AUTO</w:t>
            </w:r>
            <w:r>
              <w:rPr>
                <w:rFonts w:eastAsia="helvetica neue" w:cs="helvetica neue" w:ascii="helvetica neue" w:hAnsi="helvetica neue"/>
                <w:color w:val="000000"/>
                <w:sz w:val="17"/>
              </w:rPr>
              <w:t xml:space="preserve"> tags [cite:1]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Populated company-specific report [cite:2]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Company identification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Placeholder company name [cite:1]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KWIKTEAM SUPPORT SERVICES PVT LTD [cite:2]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Auditor details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Placeholder auditor fields [cite:1]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Actual auditor and partner details [cite:2]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Director details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Placeholder director names and DIN fields [cite:1]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Actual director names and DINs [cite:2]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Report coverage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Includes auditor’s report and annexures in extracted text [cite:1]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text shows statement schedules and notes only [cite:2]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Asset descriptions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Generic asset classes [cite:1]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Specific asset item names [cite:2]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Drafting style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Template / instructional [cite:1]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Finalized / entity-specific [cite:2]</w:t>
            </w:r>
          </w:p>
        </w:tc>
      </w:tr>
    </w:tbl>
    <w:p>
      <w:pPr>
        <w:spacing w:lineRule="auto"/>
      </w:pPr>
    </w:p>
    <w:p>
      <w:pPr>
        <w:spacing w:line="360" w:before="315" w:after="105" w:lineRule="auto"/>
        <w:ind w:left="-30"/>
        <w:jc w:val="left"/>
      </w:pPr>
      <w:bookmarkStart w:id="7" w:name="interpretation"/>
      <w:r>
        <w:rPr>
          <w:rFonts w:eastAsia="georgia" w:cs="georgia" w:ascii="georgia" w:hAnsi="georgia"/>
          <w:b/>
          <w:color w:val="000000"/>
          <w:sz w:val="24"/>
        </w:rPr>
        <w:t xml:space="preserve">Interpretation</w:t>
      </w:r>
      <w:bookmarkEnd w:id="7"/>
    </w:p>
    <w:p>
      <w:pPr>
        <w:spacing w:line="360" w:after="210" w:lineRule="auto"/>
      </w:pPr>
      <w:r>
        <w:rPr>
          <w:rFonts w:eastAsia="georgia" w:cs="georgia" w:ascii="georgia" w:hAnsi="georgia"/>
          <w:color w:val="000000"/>
        </w:rPr>
        <w:t xml:space="preserve">Even after excluding all amount differences, the two PDFs remain materially different in identity fields, wording, note language, section coverage, template markers, and asset descriptions. The second PDF is not merely the first PDF with updated figures; it is a populated and partially reworded report with different document structure and finalized party-specific content. [cite:1][cite:2]</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2026-05-04T08:35:34.441Z</dcterms:created>
  <dcterms:modified xsi:type="dcterms:W3CDTF">2026-05-04T08:35:34.441Z</dcterms:modified>
</cp:coreProperties>
</file>