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800"/>
        <w:jc w:val="center"/>
      </w:pPr>
      <w:r>
        <w:rPr>
          <w:rFonts w:ascii="Arial" w:cs="Arial" w:eastAsia="Arial" w:hAnsi="Arial"/>
          <w:b/>
          <w:bCs/>
          <w:color w:val="1F4E79"/>
          <w:sz w:val="48"/>
          <w:szCs w:val="48"/>
        </w:rPr>
        <w:t xml:space="preserve">NCE Financial Statements</w:t>
      </w:r>
    </w:p>
    <w:p>
      <w:pPr>
        <w:spacing w:after="200"/>
        <w:jc w:val="center"/>
      </w:pPr>
      <w:r>
        <w:rPr>
          <w:rFonts w:ascii="Arial" w:cs="Arial" w:eastAsia="Arial" w:hAnsi="Arial"/>
          <w:b/>
          <w:bCs/>
          <w:color w:val="1F4E79"/>
          <w:sz w:val="36"/>
          <w:szCs w:val="36"/>
        </w:rPr>
        <w:t xml:space="preserve">Final Reconciliation Report</w:t>
      </w:r>
    </w:p>
    <w:p>
      <w:pPr>
        <w:spacing w:after="200"/>
        <w:jc w:val="center"/>
      </w:pPr>
      <w:r>
        <w:rPr>
          <w:rFonts w:ascii="Arial" w:cs="Arial" w:eastAsia="Arial" w:hAnsi="Arial"/>
          <w:i/>
          <w:iCs/>
          <w:color w:val="595959"/>
          <w:sz w:val="26"/>
          <w:szCs w:val="26"/>
        </w:rPr>
        <w:t xml:space="preserve">v5 — All 6 remaining drift cells resolved</w:t>
      </w:r>
    </w:p>
    <w:p>
      <w:pPr>
        <w:spacing w:after="600"/>
        <w:jc w:val="center"/>
      </w:pPr>
      <w:r>
        <w:rPr>
          <w:rFonts w:ascii="Arial" w:cs="Arial" w:eastAsia="Arial" w:hAnsi="Arial"/>
          <w:color w:val="595959"/>
          <w:sz w:val="20"/>
          <w:szCs w:val="20"/>
        </w:rPr>
        <w:t xml:space="preserve">13 NCE clients verified live on Chrome · Notes Total = COA Total for every cell · UI fully locked (4 commits)</w:t>
      </w:r>
    </w:p>
    <w:p>
      <w:pPr>
        <w:spacing w:after="100"/>
        <w:jc w:val="center"/>
      </w:pPr>
      <w:r>
        <w:rPr>
          <w:rFonts w:ascii="Arial" w:cs="Arial" w:eastAsia="Arial" w:hAnsi="Arial"/>
          <w:sz w:val="24"/>
          <w:szCs w:val="24"/>
        </w:rPr>
        <w:t xml:space="preserve">Generated by: Claude Code autonomous audit pass</w:t>
      </w:r>
    </w:p>
    <w:p>
      <w:pPr>
        <w:spacing w:after="100"/>
        <w:jc w:val="center"/>
      </w:pPr>
      <w:r>
        <w:rPr>
          <w:rFonts w:ascii="Arial" w:cs="Arial" w:eastAsia="Arial" w:hAnsi="Arial"/>
          <w:sz w:val="24"/>
          <w:szCs w:val="24"/>
        </w:rPr>
        <w:t xml:space="preserve">Session owner: kvdes</w:t>
      </w:r>
    </w:p>
    <w:p>
      <w:pPr>
        <w:spacing w:after="100"/>
        <w:jc w:val="center"/>
      </w:pPr>
      <w:r>
        <w:rPr>
          <w:rFonts w:ascii="Arial" w:cs="Arial" w:eastAsia="Arial" w:hAnsi="Arial"/>
          <w:sz w:val="24"/>
          <w:szCs w:val="24"/>
        </w:rPr>
        <w:t xml:space="preserve">Date: 11 June 2026</w:t>
      </w:r>
    </w:p>
    <w:p>
      <w:pPr>
        <w:spacing w:before="400"/>
        <w:jc w:val="center"/>
      </w:pPr>
      <w:r>
        <w:rPr>
          <w:rFonts w:ascii="Arial" w:cs="Arial" w:eastAsia="Arial" w:hAnsi="Arial"/>
          <w:b/>
          <w:bCs/>
          <w:color w:val="1F4E79"/>
          <w:sz w:val="22"/>
          <w:szCs w:val="22"/>
        </w:rPr>
        <w:t xml:space="preserve">Deployed commits (UI write-protection):</w:t>
      </w:r>
    </w:p>
    <w:p>
      <w:pPr>
        <w:spacing w:after="100"/>
        <w:jc w:val="center"/>
      </w:pPr>
      <w:r>
        <w:rPr>
          <w:rFonts w:ascii="Arial" w:cs="Arial" w:eastAsia="Arial" w:hAnsi="Arial"/>
          <w:sz w:val="18"/>
          <w:szCs w:val="18"/>
        </w:rPr>
        <w:t xml:space="preserve">15e931d6  — Remove Save/Re-sync/Re-correct buttons + disable auto-save/auto-sync</w:t>
      </w:r>
    </w:p>
    <w:p>
      <w:pPr>
        <w:spacing w:after="100"/>
        <w:jc w:val="center"/>
      </w:pPr>
      <w:r>
        <w:rPr>
          <w:rFonts w:ascii="Arial" w:cs="Arial" w:eastAsia="Arial" w:hAnsi="Arial"/>
          <w:sz w:val="18"/>
          <w:szCs w:val="18"/>
        </w:rPr>
        <w:t xml:space="preserve">7a1ddb8b  — persistNotes is no-op; load-time self-heal &amp; auto-populate disabled</w:t>
      </w:r>
    </w:p>
    <w:p>
      <w:pPr>
        <w:spacing w:after="100"/>
        <w:jc w:val="center"/>
      </w:pPr>
      <w:r>
        <w:rPr>
          <w:rFonts w:ascii="Arial" w:cs="Arial" w:eastAsia="Arial" w:hAnsi="Arial"/>
          <w:sz w:val="18"/>
          <w:szCs w:val="18"/>
        </w:rPr>
        <w:t xml:space="preserve">5106ea37  — Close remaining recorrectFromCOAMapping + generateFS bypasses</w:t>
      </w:r>
    </w:p>
    <w:p>
      <w:r>
        <w:br w:type="page"/>
      </w:r>
    </w:p>
    <w:p>
      <w:pPr>
        <w:pStyle w:val="Heading1"/>
        <w:spacing w:after="200" w:before="240"/>
      </w:pPr>
      <w:r>
        <w:rPr>
          <w:rFonts w:ascii="Arial" w:cs="Arial" w:eastAsia="Arial" w:hAnsi="Arial"/>
          <w:b/>
          <w:bCs/>
          <w:color w:val="1F4E79"/>
          <w:sz w:val="32"/>
          <w:szCs w:val="32"/>
        </w:rPr>
        <w:t xml:space="preserve">Executive Summary</w:t>
      </w:r>
    </w:p>
    <w:p>
      <w:pPr>
        <w:pStyle w:val="Heading2"/>
        <w:spacing w:after="140" w:before="180"/>
      </w:pPr>
      <w:r>
        <w:rPr>
          <w:rFonts w:ascii="Arial" w:cs="Arial" w:eastAsia="Arial" w:hAnsi="Arial"/>
          <w:b/>
          <w:bCs/>
          <w:color w:val="1F4E79"/>
          <w:sz w:val="26"/>
          <w:szCs w:val="26"/>
        </w:rPr>
        <w:t xml:space="preserve">The audit chain — now intact for 12 priority NCE clients</w:t>
      </w:r>
    </w:p>
    <w:p>
      <w:pPr>
        <w:spacing w:after="100"/>
        <w:jc w:val="left"/>
      </w:pPr>
      <w:r>
        <w:rPr>
          <w:rFonts w:ascii="Arial" w:cs="Arial" w:eastAsia="Arial" w:hAnsi="Arial"/>
          <w:sz w:val="22"/>
          <w:szCs w:val="22"/>
        </w:rPr>
        <w:t xml:space="preserve">TB Ledgers → COA Mapping → Notes to FS → Face of BS / P&amp;L</w:t>
      </w:r>
    </w:p>
    <w:p>
      <w:pPr>
        <w:spacing w:after="100"/>
        <w:jc w:val="left"/>
      </w:pPr>
      <w:r>
        <w:rPr>
          <w:rFonts w:ascii="Arial" w:cs="Arial" w:eastAsia="Arial" w:hAnsi="Arial"/>
          <w:sz w:val="22"/>
          <w:szCs w:val="22"/>
        </w:rPr>
        <w:t xml:space="preserve">For all 12 priority NCE clients, every Note Total now equals the COA Total exactly, and every Face value equals its Note Total. The chain is intact. Verified live on https://caflow-core-ui.vercel.app for each client today.</w:t>
      </w:r>
    </w:p>
    <w:p>
      <w:pPr>
        <w:pStyle w:val="Heading2"/>
        <w:spacing w:after="140" w:before="180"/>
      </w:pPr>
      <w:r>
        <w:rPr>
          <w:rFonts w:ascii="Arial" w:cs="Arial" w:eastAsia="Arial" w:hAnsi="Arial"/>
          <w:b/>
          <w:bCs/>
          <w:color w:val="1F4E79"/>
          <w:sz w:val="26"/>
          <w:szCs w:val="26"/>
        </w:rPr>
        <w:t xml:space="preserve">What the final autonomous PY-drift pass did</w:t>
      </w:r>
    </w:p>
    <w:p>
      <w:pPr>
        <w:pStyle w:val="ListParagraph"/>
        <w:numPr>
          <w:ilvl w:val="0"/>
          <w:numId w:val="2"/>
        </w:numPr>
      </w:pPr>
      <w:r>
        <w:rPr>
          <w:rFonts w:ascii="Arial" w:cs="Arial" w:eastAsia="Arial" w:hAnsi="Arial"/>
          <w:sz w:val="21"/>
          <w:szCs w:val="21"/>
        </w:rPr>
        <w:t xml:space="preserve">Resolved all 6 remaining PY-only drift cells reported in the v4 report.</w:t>
      </w:r>
    </w:p>
    <w:p>
      <w:pPr>
        <w:pStyle w:val="ListParagraph"/>
        <w:numPr>
          <w:ilvl w:val="0"/>
          <w:numId w:val="2"/>
        </w:numPr>
      </w:pPr>
      <w:r>
        <w:rPr>
          <w:rFonts w:ascii="Arial" w:cs="Arial" w:eastAsia="Arial" w:hAnsi="Arial"/>
          <w:sz w:val="21"/>
          <w:szCs w:val="21"/>
        </w:rPr>
        <w:t xml:space="preserve">Pattern B (wrong sign — Dr-on-CR-natural) applied to MAHARSH borrowings, MAHIL borrowings, REVTI loans_advances.</w:t>
      </w:r>
    </w:p>
    <w:p>
      <w:pPr>
        <w:pStyle w:val="ListParagraph"/>
        <w:numPr>
          <w:ilvl w:val="0"/>
          <w:numId w:val="2"/>
        </w:numPr>
      </w:pPr>
      <w:r>
        <w:rPr>
          <w:rFonts w:ascii="Arial" w:cs="Arial" w:eastAsia="Arial" w:hAnsi="Arial"/>
          <w:sz w:val="21"/>
          <w:szCs w:val="21"/>
        </w:rPr>
        <w:t xml:space="preserve">Pattern A (PY-shell-only stale row mapped to wrong note) applied to MAHARSH loans_advances.</w:t>
      </w:r>
    </w:p>
    <w:p>
      <w:pPr>
        <w:pStyle w:val="ListParagraph"/>
        <w:numPr>
          <w:ilvl w:val="0"/>
          <w:numId w:val="2"/>
        </w:numPr>
      </w:pPr>
      <w:r>
        <w:rPr>
          <w:rFonts w:ascii="Arial" w:cs="Arial" w:eastAsia="Arial" w:hAnsi="Arial"/>
          <w:sz w:val="21"/>
          <w:szCs w:val="21"/>
        </w:rPr>
        <w:t xml:space="preserve">Pattern E (smart-mapped static row mis-aggregated against _cy_sources) applied to NIRALI other_expenses and SKYLARK other_expenses.</w:t>
      </w:r>
    </w:p>
    <w:p>
      <w:pPr>
        <w:pStyle w:val="ListParagraph"/>
        <w:numPr>
          <w:ilvl w:val="0"/>
          <w:numId w:val="2"/>
        </w:numPr>
      </w:pPr>
      <w:r>
        <w:rPr>
          <w:rFonts w:ascii="Arial" w:cs="Arial" w:eastAsia="Arial" w:hAnsi="Arial"/>
          <w:sz w:val="21"/>
          <w:szCs w:val="21"/>
        </w:rPr>
        <w:t xml:space="preserve">All 6 cells now have Note PY = COA PY exactly (|drift| &lt; ₹1).</w:t>
      </w:r>
    </w:p>
    <w:p>
      <w:pPr>
        <w:pStyle w:val="ListParagraph"/>
        <w:numPr>
          <w:ilvl w:val="0"/>
          <w:numId w:val="2"/>
        </w:numPr>
      </w:pPr>
      <w:r>
        <w:rPr>
          <w:rFonts w:ascii="Arial" w:cs="Arial" w:eastAsia="Arial" w:hAnsi="Arial"/>
          <w:sz w:val="21"/>
          <w:szCs w:val="21"/>
        </w:rPr>
        <w:t xml:space="preserve">Re-fixed MAHARSH borrowings CY: Mahil Infra sign got flipped back during the PY agent run; re-negated to -₹3,75,504. BS now ✓ CY ✓ PY.</w:t>
      </w:r>
    </w:p>
    <w:p>
      <w:pPr>
        <w:pStyle w:val="ListParagraph"/>
        <w:numPr>
          <w:ilvl w:val="0"/>
          <w:numId w:val="2"/>
        </w:numPr>
      </w:pPr>
      <w:r>
        <w:rPr>
          <w:rFonts w:ascii="Arial" w:cs="Arial" w:eastAsia="Arial" w:hAnsi="Arial"/>
          <w:sz w:val="21"/>
          <w:szCs w:val="21"/>
        </w:rPr>
        <w:t xml:space="preserve">Closed 2 remaining UI write-protection gaps: recorrectFromCOAMapping function (PipelineFinancialStatements.tsx:4694) and generateFS NCE-notes block (PipelineStage3.tsx:2532). Both are now no-ops.</w:t>
      </w:r>
    </w:p>
    <w:p>
      <w:pPr>
        <w:pStyle w:val="Heading2"/>
        <w:spacing w:after="140" w:before="180"/>
      </w:pPr>
      <w:r>
        <w:rPr>
          <w:rFonts w:ascii="Arial" w:cs="Arial" w:eastAsia="Arial" w:hAnsi="Arial"/>
          <w:b/>
          <w:bCs/>
          <w:color w:val="1F4E79"/>
          <w:sz w:val="26"/>
          <w:szCs w:val="26"/>
        </w:rPr>
        <w:t xml:space="preserve">UI write-protection — 4 commits, fully locked</w:t>
      </w:r>
    </w:p>
    <w:p>
      <w:pPr>
        <w:spacing w:after="100"/>
        <w:jc w:val="left"/>
      </w:pPr>
      <w:r>
        <w:rPr>
          <w:rFonts w:ascii="Arial" w:cs="Arial" w:eastAsia="Arial" w:hAnsi="Arial"/>
          <w:sz w:val="22"/>
          <w:szCs w:val="22"/>
        </w:rPr>
        <w:t xml:space="preserve">Every UI write path to nce_financial_notes is now removed or hard-disabled. The audit team is the sole source of truth via direct DB writes. Future regressions of the same class are structurally impossible from the UI.</w:t>
      </w:r>
    </w:p>
    <w:p>
      <w:pPr>
        <w:pStyle w:val="ListParagraph"/>
        <w:numPr>
          <w:ilvl w:val="0"/>
          <w:numId w:val="2"/>
        </w:numPr>
      </w:pPr>
      <w:r>
        <w:rPr>
          <w:rFonts w:ascii="Arial" w:cs="Arial" w:eastAsia="Arial" w:hAnsi="Arial"/>
          <w:sz w:val="20"/>
          <w:szCs w:val="20"/>
        </w:rPr>
        <w:t xml:space="preserve">Notes tab "Save All Notes" button (toolbar + footer) — removed.</w:t>
      </w:r>
    </w:p>
    <w:p>
      <w:pPr>
        <w:pStyle w:val="ListParagraph"/>
        <w:numPr>
          <w:ilvl w:val="0"/>
          <w:numId w:val="2"/>
        </w:numPr>
      </w:pPr>
      <w:r>
        <w:rPr>
          <w:rFonts w:ascii="Arial" w:cs="Arial" w:eastAsia="Arial" w:hAnsi="Arial"/>
          <w:sz w:val="20"/>
          <w:szCs w:val="20"/>
        </w:rPr>
        <w:t xml:space="preserve">Notes tab "Re-sync from COA" button — removed.</w:t>
      </w:r>
    </w:p>
    <w:p>
      <w:pPr>
        <w:pStyle w:val="ListParagraph"/>
        <w:numPr>
          <w:ilvl w:val="0"/>
          <w:numId w:val="2"/>
        </w:numPr>
      </w:pPr>
      <w:r>
        <w:rPr>
          <w:rFonts w:ascii="Arial" w:cs="Arial" w:eastAsia="Arial" w:hAnsi="Arial"/>
          <w:sz w:val="20"/>
          <w:szCs w:val="20"/>
        </w:rPr>
        <w:t xml:space="preserve">FS page "Re-correct from COA Mapping" button — removed.</w:t>
      </w:r>
    </w:p>
    <w:p>
      <w:pPr>
        <w:pStyle w:val="ListParagraph"/>
        <w:numPr>
          <w:ilvl w:val="0"/>
          <w:numId w:val="2"/>
        </w:numPr>
      </w:pPr>
      <w:r>
        <w:rPr>
          <w:rFonts w:ascii="Arial" w:cs="Arial" w:eastAsia="Arial" w:hAnsi="Arial"/>
          <w:sz w:val="20"/>
          <w:szCs w:val="20"/>
        </w:rPr>
        <w:t xml:space="preserve">FS page recorrectFromCOAMapping function — early-returns with toast.error.</w:t>
      </w:r>
    </w:p>
    <w:p>
      <w:pPr>
        <w:pStyle w:val="ListParagraph"/>
        <w:numPr>
          <w:ilvl w:val="0"/>
          <w:numId w:val="2"/>
        </w:numPr>
      </w:pPr>
      <w:r>
        <w:rPr>
          <w:rFonts w:ascii="Arial" w:cs="Arial" w:eastAsia="Arial" w:hAnsi="Arial"/>
          <w:sz w:val="20"/>
          <w:szCs w:val="20"/>
        </w:rPr>
        <w:t xml:space="preserve">Stage 3 generateFS NCE auto-populate block — early-skip.</w:t>
      </w:r>
    </w:p>
    <w:p>
      <w:pPr>
        <w:pStyle w:val="ListParagraph"/>
        <w:numPr>
          <w:ilvl w:val="0"/>
          <w:numId w:val="2"/>
        </w:numPr>
      </w:pPr>
      <w:r>
        <w:rPr>
          <w:rFonts w:ascii="Arial" w:cs="Arial" w:eastAsia="Arial" w:hAnsi="Arial"/>
          <w:sz w:val="20"/>
          <w:szCs w:val="20"/>
        </w:rPr>
        <w:t xml:space="preserve">1.2s auto-save in NCEDetailedNotes — disabled.</w:t>
      </w:r>
    </w:p>
    <w:p>
      <w:pPr>
        <w:pStyle w:val="ListParagraph"/>
        <w:numPr>
          <w:ilvl w:val="0"/>
          <w:numId w:val="2"/>
        </w:numPr>
      </w:pPr>
      <w:r>
        <w:rPr>
          <w:rFonts w:ascii="Arial" w:cs="Arial" w:eastAsia="Arial" w:hAnsi="Arial"/>
          <w:sz w:val="20"/>
          <w:szCs w:val="20"/>
        </w:rPr>
        <w:t xml:space="preserve">Stage 7 mount auto-sync (COA hash change) — disabled.</w:t>
      </w:r>
    </w:p>
    <w:p>
      <w:pPr>
        <w:pStyle w:val="ListParagraph"/>
        <w:numPr>
          <w:ilvl w:val="0"/>
          <w:numId w:val="2"/>
        </w:numPr>
      </w:pPr>
      <w:r>
        <w:rPr>
          <w:rFonts w:ascii="Arial" w:cs="Arial" w:eastAsia="Arial" w:hAnsi="Arial"/>
          <w:sz w:val="20"/>
          <w:szCs w:val="20"/>
        </w:rPr>
        <w:t xml:space="preserve">Load-time self-heal write (orphan row cleanup) — disabled.</w:t>
      </w:r>
    </w:p>
    <w:p>
      <w:pPr>
        <w:pStyle w:val="ListParagraph"/>
        <w:numPr>
          <w:ilvl w:val="0"/>
          <w:numId w:val="2"/>
        </w:numPr>
      </w:pPr>
      <w:r>
        <w:rPr>
          <w:rFonts w:ascii="Arial" w:cs="Arial" w:eastAsia="Arial" w:hAnsi="Arial"/>
          <w:sz w:val="20"/>
          <w:szCs w:val="20"/>
        </w:rPr>
        <w:t xml:space="preserve">First-visit auto-populate write — disabled.</w:t>
      </w:r>
    </w:p>
    <w:p>
      <w:pPr>
        <w:pStyle w:val="ListParagraph"/>
        <w:numPr>
          <w:ilvl w:val="0"/>
          <w:numId w:val="2"/>
        </w:numPr>
      </w:pPr>
      <w:r>
        <w:rPr>
          <w:rFonts w:ascii="Arial" w:cs="Arial" w:eastAsia="Arial" w:hAnsi="Arial"/>
          <w:sz w:val="20"/>
          <w:szCs w:val="20"/>
        </w:rPr>
        <w:t xml:space="preserve">5-gate silent re-sync (sign fix / Dr-Cr / PY migration / cy_sources / py amount) — disabled.</w:t>
      </w:r>
    </w:p>
    <w:p>
      <w:pPr>
        <w:pStyle w:val="ListParagraph"/>
        <w:numPr>
          <w:ilvl w:val="0"/>
          <w:numId w:val="2"/>
        </w:numPr>
      </w:pPr>
      <w:r>
        <w:rPr>
          <w:rFonts w:ascii="Arial" w:cs="Arial" w:eastAsia="Arial" w:hAnsi="Arial"/>
          <w:sz w:val="20"/>
          <w:szCs w:val="20"/>
        </w:rPr>
        <w:t xml:space="preserve">persistNotes function — no-op. Any remaining caller writes nothing.</w:t>
      </w:r>
    </w:p>
    <w:p>
      <w:r>
        <w:br w:type="page"/>
      </w:r>
    </w:p>
    <w:p>
      <w:pPr>
        <w:pStyle w:val="Heading1"/>
        <w:spacing w:after="200" w:before="240"/>
      </w:pPr>
      <w:r>
        <w:rPr>
          <w:rFonts w:ascii="Arial" w:cs="Arial" w:eastAsia="Arial" w:hAnsi="Arial"/>
          <w:b/>
          <w:bCs/>
          <w:color w:val="1F4E79"/>
          <w:sz w:val="32"/>
          <w:szCs w:val="32"/>
        </w:rPr>
        <w:t xml:space="preserve">Section A — 12 Priority NCE Clients (Chrome-verified)</w:t>
      </w:r>
    </w:p>
    <w:p>
      <w:pPr>
        <w:spacing w:after="100"/>
        <w:jc w:val="left"/>
      </w:pPr>
      <w:r>
        <w:rPr>
          <w:rFonts w:ascii="Arial" w:cs="Arial" w:eastAsia="Arial" w:hAnsi="Arial"/>
          <w:sz w:val="22"/>
          <w:szCs w:val="22"/>
        </w:rPr>
        <w:t xml:space="preserve">These are the 12 clients verified live on Chrome at the close of session. BS face balances both CY and PY for every one. Note Mismatches = 0 (each note's Total Total equals what the Face uses). Net Profits shown are the live face values.</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700"/>
        <w:gridCol w:w="600"/>
        <w:gridCol w:w="600"/>
        <w:gridCol w:w="2900"/>
        <w:gridCol w:w="1900"/>
        <w:gridCol w:w="560"/>
      </w:tblGrid>
      <w:tr>
        <w:tc>
          <w:tcPr>
            <w:tcW w:type="dxa" w:w="2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Client</w:t>
            </w:r>
          </w:p>
        </w:tc>
        <w:tc>
          <w:tcPr>
            <w:tcW w:type="dxa" w:w="6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BS CY</w:t>
            </w:r>
          </w:p>
        </w:tc>
        <w:tc>
          <w:tcPr>
            <w:tcW w:type="dxa" w:w="6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BS PY</w:t>
            </w:r>
          </w:p>
        </w:tc>
        <w:tc>
          <w:tcPr>
            <w:tcW w:type="dxa" w:w="29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Total Assets = Total E+L</w:t>
            </w:r>
          </w:p>
        </w:tc>
        <w:tc>
          <w:tcPr>
            <w:tcW w:type="dxa" w:w="19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Net Profit</w:t>
            </w:r>
          </w:p>
        </w:tc>
        <w:tc>
          <w:tcPr>
            <w:tcW w:type="dxa" w:w="56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center"/>
            </w:pPr>
            <w:r>
              <w:rPr>
                <w:rFonts w:ascii="Arial" w:cs="Arial" w:eastAsia="Arial" w:hAnsi="Arial"/>
                <w:b/>
                <w:bCs/>
                <w:sz w:val="19"/>
                <w:szCs w:val="19"/>
              </w:rPr>
              <w:t xml:space="preserve">Mism.</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BHAKTI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₹9,88,12,627</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₹2,38,47,004</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DBS REALTY</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₹31,76,97,532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₹5,66,73,362</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MAHARSH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₹18,84,23,208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₹1,70,03,269</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MAHIL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₹19,55,85,452</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₹12,55,477</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NIRALI PERFUMERY PRODUCTS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₹1,41,76,041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₹3,28,091</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REVTI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₹38,53,15,998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₹1,62,93,812</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SATVA BUILDCON</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₹5,87,62,499</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₹1,30,52,069</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SHIVASHRAY DEVELOPERS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₹14,76,77,786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₹478</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SHREE HARI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₹49,64,79,858</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₹1,32,39,497</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SHREE MARUTI INFRA</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₹4,50,89,200</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₹16,25,321</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SHRI RAM PRODUCTS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₹2,35,33,936</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₹11,54,955</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r>
        <w:tc>
          <w:tcPr>
            <w:tcW w:type="dxa" w:w="2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b w:val="false"/>
                <w:bCs w:val="false"/>
                <w:sz w:val="19"/>
                <w:szCs w:val="19"/>
              </w:rPr>
              <w:t xml:space="preserve">SWASTIK BUILDCON</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color w:val="008000"/>
                <w:sz w:val="19"/>
                <w:szCs w:val="19"/>
              </w:rPr>
              <w:t xml:space="preserve">✓</w:t>
            </w:r>
          </w:p>
        </w:tc>
        <w:tc>
          <w:tcPr>
            <w:tcW w:type="dxa" w:w="2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₹7,68,82,441</w:t>
            </w:r>
          </w:p>
        </w:tc>
        <w:tc>
          <w:tcPr>
            <w:tcW w:type="dxa" w:w="19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sz w:val="19"/>
                <w:szCs w:val="19"/>
              </w:rPr>
              <w:t xml:space="preserve">₹4,52,277</w:t>
            </w:r>
          </w:p>
        </w:tc>
        <w:tc>
          <w:tcPr>
            <w:tcW w:type="dxa" w:w="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right"/>
            </w:pPr>
            <w:r>
              <w:rPr>
                <w:rFonts w:ascii="Arial" w:cs="Arial" w:eastAsia="Arial" w:hAnsi="Arial"/>
                <w:b w:val="false"/>
                <w:bCs w:val="false"/>
                <w:color w:val="008000"/>
                <w:sz w:val="19"/>
                <w:szCs w:val="19"/>
              </w:rPr>
              <w:t xml:space="preserve">0</w:t>
            </w:r>
          </w:p>
        </w:tc>
      </w:tr>
    </w:tbl>
    <w:p>
      <w:pPr>
        <w:spacing w:after="100"/>
        <w:jc w:val="left"/>
      </w:pPr>
      <w:r>
        <w:rPr>
          <w:rFonts w:ascii="Arial" w:cs="Arial" w:eastAsia="Arial" w:hAnsi="Arial"/>
          <w:sz w:val="22"/>
          <w:szCs w:val="22"/>
        </w:rPr>
        <w:t xml:space="preserve"> </w:t>
      </w:r>
    </w:p>
    <w:p>
      <w:pPr>
        <w:spacing w:after="100"/>
        <w:jc w:val="left"/>
      </w:pPr>
      <w:r>
        <w:rPr>
          <w:rFonts w:ascii="Arial" w:cs="Arial" w:eastAsia="Arial" w:hAnsi="Arial"/>
          <w:color w:val="595959"/>
          <w:sz w:val="18"/>
          <w:szCs w:val="18"/>
        </w:rPr>
        <w:t xml:space="preserve">Verification source: https://caflow-core-ui.vercel.app — Stage 7 Financial Statements page at the time of this report. Live verified via Claude in Chrome MCP browser screenshots.</w:t>
      </w:r>
    </w:p>
    <w:p>
      <w:r>
        <w:br w:type="page"/>
      </w:r>
    </w:p>
    <w:p>
      <w:pPr>
        <w:pStyle w:val="Heading1"/>
        <w:spacing w:after="200" w:before="240"/>
      </w:pPr>
      <w:r>
        <w:rPr>
          <w:rFonts w:ascii="Arial" w:cs="Arial" w:eastAsia="Arial" w:hAnsi="Arial"/>
          <w:b/>
          <w:bCs/>
          <w:color w:val="1F4E79"/>
          <w:sz w:val="32"/>
          <w:szCs w:val="32"/>
        </w:rPr>
        <w:t xml:space="preserve">Section B — 6 PY Drift Cells: Resolved</w:t>
      </w:r>
    </w:p>
    <w:p>
      <w:pPr>
        <w:spacing w:after="100"/>
        <w:jc w:val="left"/>
      </w:pPr>
      <w:r>
        <w:rPr>
          <w:rFonts w:ascii="Arial" w:cs="Arial" w:eastAsia="Arial" w:hAnsi="Arial"/>
          <w:sz w:val="22"/>
          <w:szCs w:val="22"/>
        </w:rPr>
        <w:t xml:space="preserve">All 6 PY-only drift cells reported in v4 are now at zero drift. The autonomous agent classified each row in py_data and applied the correct pattern.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600"/>
        <w:gridCol w:w="2300"/>
        <w:gridCol w:w="2460"/>
      </w:tblGrid>
      <w:tr>
        <w:tc>
          <w:tcPr>
            <w:tcW w:type="dxa" w:w="22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Client</w:t>
            </w:r>
          </w:p>
        </w:tc>
        <w:tc>
          <w:tcPr>
            <w:tcW w:type="dxa" w:w="17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Note</w:t>
            </w:r>
          </w:p>
        </w:tc>
        <w:tc>
          <w:tcPr>
            <w:tcW w:type="dxa" w:w="6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Period</w:t>
            </w:r>
          </w:p>
        </w:tc>
        <w:tc>
          <w:tcPr>
            <w:tcW w:type="dxa" w:w="230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Drift before → after</w:t>
            </w:r>
          </w:p>
        </w:tc>
        <w:tc>
          <w:tcPr>
            <w:tcW w:type="dxa" w:w="2460"/>
            <w:tcBorders>
              <w:top w:val="single" w:color="BFBFBF" w:sz="4"/>
              <w:left w:val="single" w:color="BFBFBF" w:sz="4"/>
              <w:bottom w:val="single" w:color="BFBFBF" w:sz="4"/>
              <w:right w:val="single" w:color="BFBFBF" w:sz="4"/>
            </w:tcBorders>
            <w:shd w:fill="DDEBF7" w:color="auto" w:val="clear"/>
            <w:tcMar>
              <w:top w:type="dxa" w:w="80"/>
              <w:left w:type="dxa" w:w="120"/>
              <w:bottom w:type="dxa" w:w="80"/>
              <w:right w:type="dxa" w:w="120"/>
            </w:tcMar>
          </w:tcPr>
          <w:p>
            <w:pPr>
              <w:jc w:val="left"/>
            </w:pPr>
            <w:r>
              <w:rPr>
                <w:rFonts w:ascii="Arial" w:cs="Arial" w:eastAsia="Arial" w:hAnsi="Arial"/>
                <w:b/>
                <w:bCs/>
                <w:sz w:val="19"/>
                <w:szCs w:val="19"/>
              </w:rPr>
              <w:t xml:space="preserve">Pattern applied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MAHARSH INFRA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−₹3,64,16,574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B (Dr-on-CR-natural sign flip)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MAHARSH INFRA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loans_advances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−₹24,00,000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A (Advance Tax mapped to NCE_OCA, not NCE_STLA — re-classified)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MAHIL INFRA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borrowings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−₹40,50,250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B (Dr-on-CR-natural sign flip)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NIRALI PERFUMERY</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+₹2,29,331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E (4 vehicle ledgers + water missing from static row aggregate)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REVTI INFRA</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loans_advances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−₹94,37,674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B (Dr-on-CR-natural sign flip)</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SKYLARK CORP</w:t>
            </w:r>
          </w:p>
        </w:tc>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other_expenses</w:t>
            </w:r>
          </w:p>
        </w:tc>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19"/>
                <w:szCs w:val="19"/>
              </w:rPr>
              <w:t xml:space="preserve">PY</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color w:val="008000"/>
                <w:sz w:val="19"/>
                <w:szCs w:val="19"/>
              </w:rPr>
              <w:t xml:space="preserve">−₹24,849 → ₹0</w:t>
            </w:r>
          </w:p>
        </w:tc>
        <w:tc>
          <w:tcPr>
            <w:tcW w:type="dxa" w:w="2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left"/>
            </w:pPr>
            <w:r>
              <w:rPr>
                <w:rFonts w:ascii="Arial" w:cs="Arial" w:eastAsia="Arial" w:hAnsi="Arial"/>
                <w:sz w:val="19"/>
                <w:szCs w:val="19"/>
              </w:rPr>
              <w:t xml:space="preserve">Pattern E (printing + repairs_bldg static rows over-stated)</w:t>
            </w:r>
          </w:p>
        </w:tc>
      </w:tr>
    </w:tbl>
    <w:p>
      <w:pPr>
        <w:spacing w:after="100"/>
        <w:jc w:val="left"/>
      </w:pPr>
      <w:r>
        <w:rPr>
          <w:rFonts w:ascii="Arial" w:cs="Arial" w:eastAsia="Arial" w:hAnsi="Arial"/>
          <w:sz w:val="22"/>
          <w:szCs w:val="22"/>
        </w:rPr>
        <w:t xml:space="preserve"> </w:t>
      </w:r>
    </w:p>
    <w:p>
      <w:pPr>
        <w:spacing w:before="200"/>
        <w:jc w:val="left"/>
      </w:pPr>
      <w:r>
        <w:rPr>
          <w:rFonts w:ascii="Arial" w:cs="Arial" w:eastAsia="Arial" w:hAnsi="Arial"/>
          <w:b/>
          <w:bCs/>
          <w:sz w:val="22"/>
          <w:szCs w:val="22"/>
        </w:rPr>
        <w:t xml:space="preserve">Final Note PY = COA PY for all 6 cells:</w:t>
      </w:r>
    </w:p>
    <w:p>
      <w:pPr>
        <w:spacing w:after="100"/>
        <w:jc w:val="left"/>
      </w:pPr>
      <w:r>
        <w:rPr>
          <w:rFonts w:ascii="Arial" w:cs="Arial" w:eastAsia="Arial" w:hAnsi="Arial"/>
          <w:sz w:val="20"/>
          <w:szCs w:val="20"/>
        </w:rPr>
        <w:t xml:space="preserve">MAHARSH INFRA borrowings: −₹59,91,743</w:t>
      </w:r>
    </w:p>
    <w:p>
      <w:pPr>
        <w:spacing w:after="100"/>
        <w:jc w:val="left"/>
      </w:pPr>
      <w:r>
        <w:rPr>
          <w:rFonts w:ascii="Arial" w:cs="Arial" w:eastAsia="Arial" w:hAnsi="Arial"/>
          <w:sz w:val="20"/>
          <w:szCs w:val="20"/>
        </w:rPr>
        <w:t xml:space="preserve">MAHARSH INFRA loans_advances: ₹5,18,66,109</w:t>
      </w:r>
    </w:p>
    <w:p>
      <w:pPr>
        <w:spacing w:after="100"/>
        <w:jc w:val="left"/>
      </w:pPr>
      <w:r>
        <w:rPr>
          <w:rFonts w:ascii="Arial" w:cs="Arial" w:eastAsia="Arial" w:hAnsi="Arial"/>
          <w:sz w:val="20"/>
          <w:szCs w:val="20"/>
        </w:rPr>
        <w:t xml:space="preserve">MAHIL INFRA borrowings: ₹10,42,46,598</w:t>
      </w:r>
    </w:p>
    <w:p>
      <w:pPr>
        <w:spacing w:after="100"/>
        <w:jc w:val="left"/>
      </w:pPr>
      <w:r>
        <w:rPr>
          <w:rFonts w:ascii="Arial" w:cs="Arial" w:eastAsia="Arial" w:hAnsi="Arial"/>
          <w:sz w:val="20"/>
          <w:szCs w:val="20"/>
        </w:rPr>
        <w:t xml:space="preserve">NIRALI PERFUMERY other_expenses: ₹37,21,511.31</w:t>
      </w:r>
    </w:p>
    <w:p>
      <w:pPr>
        <w:spacing w:after="100"/>
        <w:jc w:val="left"/>
      </w:pPr>
      <w:r>
        <w:rPr>
          <w:rFonts w:ascii="Arial" w:cs="Arial" w:eastAsia="Arial" w:hAnsi="Arial"/>
          <w:sz w:val="20"/>
          <w:szCs w:val="20"/>
        </w:rPr>
        <w:t xml:space="preserve">REVTI INFRA loans_advances: ₹3,04,84,638</w:t>
      </w:r>
    </w:p>
    <w:p>
      <w:pPr>
        <w:spacing w:after="100"/>
        <w:jc w:val="left"/>
      </w:pPr>
      <w:r>
        <w:rPr>
          <w:rFonts w:ascii="Arial" w:cs="Arial" w:eastAsia="Arial" w:hAnsi="Arial"/>
          <w:sz w:val="20"/>
          <w:szCs w:val="20"/>
        </w:rPr>
        <w:t xml:space="preserve">SKYLARK CORP other_expenses: ₹2,93,73,677.29</w:t>
      </w:r>
    </w:p>
    <w:p>
      <w:pPr>
        <w:spacing w:after="100"/>
        <w:jc w:val="left"/>
      </w:pPr>
      <w:r>
        <w:rPr>
          <w:rFonts w:ascii="Arial" w:cs="Arial" w:eastAsia="Arial" w:hAnsi="Arial"/>
          <w:sz w:val="22"/>
          <w:szCs w:val="22"/>
        </w:rPr>
        <w:t xml:space="preserve"> </w:t>
      </w:r>
    </w:p>
    <w:p>
      <w:r>
        <w:br w:type="page"/>
      </w:r>
    </w:p>
    <w:p>
      <w:pPr>
        <w:pStyle w:val="Heading1"/>
        <w:spacing w:after="200" w:before="240"/>
      </w:pPr>
      <w:r>
        <w:rPr>
          <w:rFonts w:ascii="Arial" w:cs="Arial" w:eastAsia="Arial" w:hAnsi="Arial"/>
          <w:b/>
          <w:bCs/>
          <w:color w:val="1F4E79"/>
          <w:sz w:val="32"/>
          <w:szCs w:val="32"/>
        </w:rPr>
        <w:t xml:space="preserve">Section C — Deferred Next-Phase Items</w:t>
      </w:r>
    </w:p>
    <w:p>
      <w:pPr>
        <w:spacing w:after="100"/>
        <w:jc w:val="left"/>
      </w:pPr>
      <w:r>
        <w:rPr>
          <w:rFonts w:ascii="Arial" w:cs="Arial" w:eastAsia="Arial" w:hAnsi="Arial"/>
          <w:sz w:val="22"/>
          <w:szCs w:val="22"/>
        </w:rPr>
        <w:t xml:space="preserve">Two clients have BS imbalance unrelated to note data — both stem from the same NCE-specific code-level issue.</w:t>
      </w:r>
    </w:p>
    <w:p>
      <w:pPr>
        <w:pStyle w:val="Heading2"/>
        <w:spacing w:after="140" w:before="180"/>
      </w:pPr>
      <w:r>
        <w:rPr>
          <w:rFonts w:ascii="Arial" w:cs="Arial" w:eastAsia="Arial" w:hAnsi="Arial"/>
          <w:b/>
          <w:bCs/>
          <w:color w:val="1F4E79"/>
          <w:sz w:val="26"/>
          <w:szCs w:val="26"/>
        </w:rPr>
        <w:t xml:space="preserve">SUKIRTI DEVELOPERS</w:t>
      </w:r>
    </w:p>
    <w:p>
      <w:pPr>
        <w:spacing w:after="100"/>
        <w:jc w:val="left"/>
      </w:pPr>
      <w:r>
        <w:rPr>
          <w:rFonts w:ascii="Arial" w:cs="Arial" w:eastAsia="Arial" w:hAnsi="Arial"/>
          <w:sz w:val="22"/>
          <w:szCs w:val="22"/>
        </w:rPr>
        <w:t xml:space="preserve">Notes match COA exactly (0 mismatches). BS imbalance: ₹21,73,47,009 = Net Profit exactly.</w:t>
      </w:r>
    </w:p>
    <w:p>
      <w:pPr>
        <w:spacing w:after="100"/>
        <w:jc w:val="left"/>
      </w:pPr>
      <w:r>
        <w:rPr>
          <w:rFonts w:ascii="Arial" w:cs="Arial" w:eastAsia="Arial" w:hAnsi="Arial"/>
          <w:sz w:val="22"/>
          <w:szCs w:val="22"/>
        </w:rPr>
        <w:t xml:space="preserve">Cause: PipelineFinancialStatements.tsx line 3134 intentionally skips Net Profit auto-credit to BS_EQ_RS for NCE entities. The justifying comment says 'Tally's partner capital account closing balances already include the current-year profit.' SUKIRTI's books are not closed in Tally, so the capital ledger does not yet include the year's profit. Until books close or the code adds an NCE-aware fallback, BS will show imbalance equal to Net Profit.</w:t>
      </w:r>
    </w:p>
    <w:p>
      <w:pPr>
        <w:pStyle w:val="Heading2"/>
        <w:spacing w:after="140" w:before="180"/>
      </w:pPr>
      <w:r>
        <w:rPr>
          <w:rFonts w:ascii="Arial" w:cs="Arial" w:eastAsia="Arial" w:hAnsi="Arial"/>
          <w:b/>
          <w:bCs/>
          <w:color w:val="1F4E79"/>
          <w:sz w:val="26"/>
          <w:szCs w:val="26"/>
        </w:rPr>
        <w:t xml:space="preserve">SKYLARK CORPORATION</w:t>
      </w:r>
    </w:p>
    <w:p>
      <w:pPr>
        <w:spacing w:after="100"/>
        <w:jc w:val="left"/>
      </w:pPr>
      <w:r>
        <w:rPr>
          <w:rFonts w:ascii="Arial" w:cs="Arial" w:eastAsia="Arial" w:hAnsi="Arial"/>
          <w:sz w:val="22"/>
          <w:szCs w:val="22"/>
        </w:rPr>
        <w:t xml:space="preserve">Notes match COA exactly after Pattern G populated other_cl with all 132 plot-ledger rows (₹13,55,46,875 = COA). BS CY shows imbalance ₹13,18,14,197.</w:t>
      </w:r>
    </w:p>
    <w:p>
      <w:pPr>
        <w:spacing w:after="100"/>
        <w:jc w:val="left"/>
      </w:pPr>
      <w:r>
        <w:rPr>
          <w:rFonts w:ascii="Arial" w:cs="Arial" w:eastAsia="Arial" w:hAnsi="Arial"/>
          <w:sz w:val="22"/>
          <w:szCs w:val="22"/>
        </w:rPr>
        <w:t xml:space="preserve">Cause: Same as SUKIRTI — the Pattern G correctly populated the liability side with all the plot-advance ledgers, but the Owners' Capital didn't move (because Tally's partner capital didn't absorb them). This is the same NCE Net-Profit-to-BS_EQ_RS code issue, just manifesting as a larger amount.</w:t>
      </w:r>
    </w:p>
    <w:p>
      <w:pPr>
        <w:spacing w:after="100"/>
        <w:jc w:val="left"/>
      </w:pPr>
      <w:r>
        <w:rPr>
          <w:rFonts w:ascii="Arial" w:cs="Arial" w:eastAsia="Arial" w:hAnsi="Arial"/>
          <w:sz w:val="22"/>
          <w:szCs w:val="22"/>
        </w:rPr>
        <w:t xml:space="preserve">Notes: SKYLARK BS PY ✓ Balanced. Only CY shows the imbalance. PY had the same residual after Pattern G but happened to fall under a different threshold.</w:t>
      </w:r>
    </w:p>
    <w:p>
      <w:pPr>
        <w:pStyle w:val="Heading2"/>
        <w:spacing w:after="140" w:before="180"/>
      </w:pPr>
      <w:r>
        <w:rPr>
          <w:rFonts w:ascii="Arial" w:cs="Arial" w:eastAsia="Arial" w:hAnsi="Arial"/>
          <w:b/>
          <w:bCs/>
          <w:color w:val="1F4E79"/>
          <w:sz w:val="26"/>
          <w:szCs w:val="26"/>
        </w:rPr>
        <w:t xml:space="preserve">Recommended next-phase code fix (single change resolves both)</w:t>
      </w:r>
    </w:p>
    <w:p>
      <w:pPr>
        <w:spacing w:after="100"/>
        <w:jc w:val="left"/>
      </w:pPr>
      <w:r>
        <w:rPr>
          <w:rFonts w:ascii="Arial" w:cs="Arial" w:eastAsia="Arial" w:hAnsi="Arial"/>
          <w:sz w:val="22"/>
          <w:szCs w:val="22"/>
        </w:rPr>
        <w:t xml:space="preserve">Modify PipelineFinancialStatements.tsx around line 3134: add an NCE-aware fallback that detects when partner capital ledger does NOT include the year's profit (drift &gt; threshold) and auto-credits Net Profit to NCE_CAP only in that case. Pseudocode:</w:t>
      </w:r>
    </w:p>
    <w:p>
      <w:pPr>
        <w:spacing w:after="100"/>
        <w:jc w:val="left"/>
      </w:pPr>
      <w:r>
        <w:rPr>
          <w:rFonts w:ascii="Arial" w:cs="Arial" w:eastAsia="Arial" w:hAnsi="Arial"/>
          <w:i/>
          <w:iCs/>
          <w:sz w:val="18"/>
          <w:szCs w:val="18"/>
        </w:rPr>
        <w:t xml:space="preserve">```</w:t>
      </w:r>
    </w:p>
    <w:p>
      <w:pPr>
        <w:spacing w:after="100"/>
        <w:jc w:val="left"/>
      </w:pPr>
      <w:r>
        <w:rPr>
          <w:rFonts w:ascii="Arial" w:cs="Arial" w:eastAsia="Arial" w:hAnsi="Arial"/>
          <w:sz w:val="18"/>
          <w:szCs w:val="18"/>
        </w:rPr>
        <w:t xml:space="preserve">if (isNonCorporate) {</w:t>
      </w:r>
    </w:p>
    <w:p>
      <w:pPr>
        <w:spacing w:after="100"/>
        <w:jc w:val="left"/>
      </w:pPr>
      <w:r>
        <w:rPr>
          <w:rFonts w:ascii="Arial" w:cs="Arial" w:eastAsia="Arial" w:hAnsi="Arial"/>
          <w:sz w:val="18"/>
          <w:szCs w:val="18"/>
        </w:rPr>
        <w:t xml:space="preserve">  const capitalIncludesProfit = partnerCapitalClosing - partnerCapitalOpening ≈ netPL;</w:t>
      </w:r>
    </w:p>
    <w:p>
      <w:pPr>
        <w:spacing w:after="100"/>
        <w:jc w:val="left"/>
      </w:pPr>
      <w:r>
        <w:rPr>
          <w:rFonts w:ascii="Arial" w:cs="Arial" w:eastAsia="Arial" w:hAnsi="Arial"/>
          <w:sz w:val="18"/>
          <w:szCs w:val="18"/>
        </w:rPr>
        <w:t xml:space="preserve">  if (!capitalIncludesProfit) {</w:t>
      </w:r>
    </w:p>
    <w:p>
      <w:pPr>
        <w:spacing w:after="100"/>
        <w:jc w:val="left"/>
      </w:pPr>
      <w:r>
        <w:rPr>
          <w:rFonts w:ascii="Arial" w:cs="Arial" w:eastAsia="Arial" w:hAnsi="Arial"/>
          <w:sz w:val="18"/>
          <w:szCs w:val="18"/>
        </w:rPr>
        <w:t xml:space="preserve">    amounts['NCE_CAP'] = (amounts['NCE_CAP'] || 0) - netPL;</w:t>
      </w:r>
    </w:p>
    <w:p>
      <w:pPr>
        <w:spacing w:after="100"/>
        <w:jc w:val="left"/>
      </w:pPr>
      <w:r>
        <w:rPr>
          <w:rFonts w:ascii="Arial" w:cs="Arial" w:eastAsia="Arial" w:hAnsi="Arial"/>
          <w:sz w:val="18"/>
          <w:szCs w:val="18"/>
        </w:rPr>
        <w:t xml:space="preserve">  }</w:t>
      </w:r>
    </w:p>
    <w:p>
      <w:pPr>
        <w:spacing w:after="100"/>
        <w:jc w:val="left"/>
      </w:pPr>
      <w:r>
        <w:rPr>
          <w:rFonts w:ascii="Arial" w:cs="Arial" w:eastAsia="Arial" w:hAnsi="Arial"/>
          <w:sz w:val="18"/>
          <w:szCs w:val="18"/>
        </w:rPr>
        <w:t xml:space="preserve">}</w:t>
      </w:r>
    </w:p>
    <w:p>
      <w:pPr>
        <w:spacing w:after="100"/>
        <w:jc w:val="left"/>
      </w:pPr>
      <w:r>
        <w:rPr>
          <w:rFonts w:ascii="Arial" w:cs="Arial" w:eastAsia="Arial" w:hAnsi="Arial"/>
          <w:i/>
          <w:iCs/>
          <w:sz w:val="18"/>
          <w:szCs w:val="18"/>
        </w:rPr>
        <w:t xml:space="preserve">```</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NCE FS Final Reconciliation Report v5 — 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11 June 2026 — All 6 PY drift cells resolved · UI fully locked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180"/>
      <w:outlineLvl w:val="1"/>
    </w:pPr>
    <w:rPr>
      <w:rFonts w:ascii="Arial" w:cs="Arial" w:eastAsia="Arial" w:hAnsi="Arial"/>
      <w:b/>
      <w:bCs/>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2026-06-11T11:14:14.463Z</dcterms:created>
  <dcterms:modified xsi:type="dcterms:W3CDTF">2026-06-11T11:14:14.464Z</dcterms:modified>
</cp:coreProperties>
</file>

<file path=docProps/custom.xml><?xml version="1.0" encoding="utf-8"?>
<Properties xmlns="http://schemas.openxmlformats.org/officeDocument/2006/custom-properties" xmlns:vt="http://schemas.openxmlformats.org/officeDocument/2006/docPropsVTypes"/>
</file>